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B821D5A" w14:textId="77777777" w:rsidR="001B7948" w:rsidRPr="002A0C01" w:rsidRDefault="00B2706C" w:rsidP="002A0C01">
      <w:pPr>
        <w:pStyle w:val="BodyA"/>
        <w:spacing w:before="240" w:after="0" w:line="360" w:lineRule="auto"/>
        <w:jc w:val="center"/>
        <w:rPr>
          <w:rFonts w:ascii="Times New Roman" w:eastAsia="Times New Roman" w:hAnsi="Times New Roman" w:cs="Times New Roman"/>
          <w:b/>
          <w:bCs/>
          <w:sz w:val="28"/>
          <w:szCs w:val="28"/>
        </w:rPr>
      </w:pPr>
      <w:r w:rsidRPr="002A0C01">
        <w:rPr>
          <w:rFonts w:ascii="Times New Roman" w:hAnsi="Times New Roman" w:cs="Times New Roman"/>
          <w:b/>
          <w:bCs/>
          <w:sz w:val="28"/>
          <w:szCs w:val="28"/>
        </w:rPr>
        <w:t>THE PRINCIPLE OF COMPLEMENTARITY: COMPREHENDING THE MOTIVES BEHIND STATES’ NEGLECT TO COOPERATE WITH THE ICC (CASE STUDY OF THE SITUATIONS IN KENYA AND SUDAN)</w:t>
      </w:r>
    </w:p>
    <w:p w14:paraId="79ACFD81" w14:textId="77777777" w:rsidR="001B7948" w:rsidRPr="002A0C01" w:rsidRDefault="001B7948" w:rsidP="002A0C01">
      <w:pPr>
        <w:pStyle w:val="BodyA"/>
        <w:spacing w:before="240" w:after="0" w:line="360" w:lineRule="auto"/>
        <w:jc w:val="center"/>
        <w:rPr>
          <w:rFonts w:ascii="Times New Roman" w:eastAsia="Times New Roman" w:hAnsi="Times New Roman" w:cs="Times New Roman"/>
          <w:b/>
          <w:bCs/>
          <w:sz w:val="28"/>
          <w:szCs w:val="28"/>
        </w:rPr>
      </w:pPr>
    </w:p>
    <w:p w14:paraId="7C8628C8" w14:textId="3E7829B2" w:rsidR="001B7948" w:rsidRPr="002A0C01" w:rsidRDefault="001B7948" w:rsidP="002A0C01">
      <w:pPr>
        <w:pStyle w:val="BodyA"/>
        <w:tabs>
          <w:tab w:val="left" w:pos="2182"/>
        </w:tabs>
        <w:spacing w:before="240" w:after="0" w:line="360" w:lineRule="auto"/>
        <w:jc w:val="center"/>
        <w:rPr>
          <w:rFonts w:ascii="Times New Roman" w:eastAsia="Times New Roman" w:hAnsi="Times New Roman" w:cs="Times New Roman"/>
          <w:sz w:val="24"/>
          <w:szCs w:val="24"/>
        </w:rPr>
      </w:pPr>
    </w:p>
    <w:p w14:paraId="41D788A7"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rPr>
        <w:t>Submitted in partial fulfilment of the requirements of the Bachelor of Laws Degree, Strathmore University Law School</w:t>
      </w:r>
    </w:p>
    <w:p w14:paraId="04A23C39"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5EED0A1B"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46A99EE0"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rPr>
        <w:t>By</w:t>
      </w:r>
    </w:p>
    <w:p w14:paraId="7440D4E2" w14:textId="22E455ED"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lang w:val="it-IT"/>
        </w:rPr>
      </w:pPr>
      <w:r w:rsidRPr="002A0C01">
        <w:rPr>
          <w:rFonts w:ascii="Times New Roman" w:hAnsi="Times New Roman" w:cs="Times New Roman"/>
          <w:sz w:val="24"/>
          <w:szCs w:val="24"/>
          <w:lang w:val="it-IT"/>
        </w:rPr>
        <w:t>Celine Cherono Tanui</w:t>
      </w:r>
    </w:p>
    <w:p w14:paraId="7633D650"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lang w:val="it-IT"/>
        </w:rPr>
        <w:t>ADM.NO.</w:t>
      </w:r>
      <w:r w:rsidRPr="002A0C01">
        <w:rPr>
          <w:rFonts w:ascii="Times New Roman" w:hAnsi="Times New Roman" w:cs="Times New Roman"/>
          <w:sz w:val="24"/>
          <w:szCs w:val="24"/>
        </w:rPr>
        <w:t>091620</w:t>
      </w:r>
    </w:p>
    <w:p w14:paraId="3DB1B0C6"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64D7838E"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3ADEC071"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rPr>
        <w:t>Prepared under the supervision of</w:t>
      </w:r>
    </w:p>
    <w:p w14:paraId="0E89916F"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lang w:val="fr-FR"/>
        </w:rPr>
      </w:pPr>
      <w:r w:rsidRPr="002A0C01">
        <w:rPr>
          <w:rFonts w:ascii="Times New Roman" w:hAnsi="Times New Roman" w:cs="Times New Roman"/>
          <w:sz w:val="24"/>
          <w:szCs w:val="24"/>
          <w:lang w:val="fr-FR"/>
        </w:rPr>
        <w:t>Claire Adionyi</w:t>
      </w:r>
    </w:p>
    <w:p w14:paraId="4E9D15C2"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7B58836C" w14:textId="77777777" w:rsidR="001B7948" w:rsidRPr="002A0C01" w:rsidRDefault="001B7948" w:rsidP="002A0C01">
      <w:pPr>
        <w:pStyle w:val="BodyA"/>
        <w:spacing w:before="240" w:after="0" w:line="360" w:lineRule="auto"/>
        <w:jc w:val="center"/>
        <w:rPr>
          <w:rFonts w:ascii="Times New Roman" w:eastAsia="Times New Roman" w:hAnsi="Times New Roman" w:cs="Times New Roman"/>
          <w:sz w:val="24"/>
          <w:szCs w:val="24"/>
        </w:rPr>
      </w:pPr>
    </w:p>
    <w:p w14:paraId="0DB6BF2C" w14:textId="77777777"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rPr>
        <w:t>29 November 2019</w:t>
      </w:r>
    </w:p>
    <w:p w14:paraId="36D0B50E" w14:textId="535258A4" w:rsidR="001B7948" w:rsidRPr="002A0C01" w:rsidRDefault="00B2706C" w:rsidP="002A0C01">
      <w:pPr>
        <w:pStyle w:val="BodyA"/>
        <w:spacing w:before="240" w:after="0" w:line="360" w:lineRule="auto"/>
        <w:jc w:val="center"/>
        <w:rPr>
          <w:rFonts w:ascii="Times New Roman" w:eastAsia="Times New Roman" w:hAnsi="Times New Roman" w:cs="Times New Roman"/>
          <w:sz w:val="24"/>
          <w:szCs w:val="24"/>
        </w:rPr>
      </w:pPr>
      <w:r w:rsidRPr="002A0C01">
        <w:rPr>
          <w:rFonts w:ascii="Times New Roman" w:hAnsi="Times New Roman" w:cs="Times New Roman"/>
          <w:sz w:val="24"/>
          <w:szCs w:val="24"/>
        </w:rPr>
        <w:t>Word count:</w:t>
      </w:r>
      <w:r w:rsidR="002A0C01">
        <w:rPr>
          <w:rFonts w:ascii="Times New Roman" w:hAnsi="Times New Roman" w:cs="Times New Roman"/>
          <w:sz w:val="24"/>
          <w:szCs w:val="24"/>
        </w:rPr>
        <w:t xml:space="preserve"> 12424</w:t>
      </w:r>
    </w:p>
    <w:p w14:paraId="7FBEAB28" w14:textId="77777777" w:rsidR="001B7948" w:rsidRPr="002A0C01" w:rsidRDefault="001B7948" w:rsidP="002A0C01">
      <w:pPr>
        <w:pStyle w:val="BodyA"/>
        <w:spacing w:line="360" w:lineRule="auto"/>
        <w:jc w:val="both"/>
        <w:rPr>
          <w:rFonts w:ascii="Times New Roman" w:eastAsia="Times New Roman" w:hAnsi="Times New Roman" w:cs="Times New Roman"/>
          <w:b/>
          <w:bCs/>
          <w:sz w:val="28"/>
          <w:szCs w:val="28"/>
        </w:rPr>
      </w:pPr>
    </w:p>
    <w:p w14:paraId="50B90BE6" w14:textId="77777777" w:rsidR="001B7948" w:rsidRPr="002A0C01" w:rsidRDefault="00B2706C" w:rsidP="002A0C01">
      <w:pPr>
        <w:pStyle w:val="TOCHeading"/>
        <w:spacing w:line="360" w:lineRule="auto"/>
        <w:jc w:val="both"/>
        <w:rPr>
          <w:rFonts w:ascii="Times New Roman" w:eastAsia="Times New Roman" w:hAnsi="Times New Roman" w:cs="Times New Roman"/>
          <w:color w:val="000000"/>
          <w:sz w:val="24"/>
          <w:szCs w:val="24"/>
          <w:u w:val="single" w:color="000000"/>
        </w:rPr>
      </w:pPr>
      <w:r w:rsidRPr="002A0C01">
        <w:rPr>
          <w:rFonts w:ascii="Times New Roman" w:hAnsi="Times New Roman" w:cs="Times New Roman"/>
          <w:color w:val="000000"/>
          <w:sz w:val="24"/>
          <w:szCs w:val="24"/>
          <w:u w:val="single" w:color="000000"/>
        </w:rPr>
        <w:lastRenderedPageBreak/>
        <w:t>TABLE OF CONTENTS</w:t>
      </w:r>
    </w:p>
    <w:p w14:paraId="660A65D2" w14:textId="77777777" w:rsidR="001B7948" w:rsidRPr="002A0C01" w:rsidRDefault="00B2706C" w:rsidP="002A0C01">
      <w:pPr>
        <w:pStyle w:val="Body"/>
        <w:spacing w:line="360" w:lineRule="auto"/>
        <w:jc w:val="both"/>
        <w:rPr>
          <w:noProof/>
        </w:rPr>
      </w:pPr>
      <w:r w:rsidRPr="002A0C01">
        <w:rPr>
          <w:u w:val="single"/>
        </w:rPr>
        <w:fldChar w:fldCharType="begin"/>
      </w:r>
      <w:r w:rsidRPr="002A0C01">
        <w:rPr>
          <w:u w:val="single"/>
        </w:rPr>
        <w:instrText xml:space="preserve"> TOC \o 1-3 \t "heading 4, 4"</w:instrText>
      </w:r>
      <w:r w:rsidRPr="002A0C01">
        <w:rPr>
          <w:u w:val="single"/>
        </w:rPr>
        <w:fldChar w:fldCharType="separate"/>
      </w:r>
    </w:p>
    <w:p w14:paraId="37F11F60" w14:textId="77777777" w:rsidR="001B7948" w:rsidRPr="002A0C01" w:rsidRDefault="00B2706C" w:rsidP="002A0C01">
      <w:pPr>
        <w:pStyle w:val="TOC1"/>
        <w:rPr>
          <w:noProof/>
        </w:rPr>
      </w:pPr>
      <w:r w:rsidRPr="002A0C01">
        <w:rPr>
          <w:noProof/>
        </w:rPr>
        <w:t>Abstract</w:t>
      </w:r>
      <w:r w:rsidRPr="002A0C01">
        <w:rPr>
          <w:noProof/>
        </w:rPr>
        <w:tab/>
      </w:r>
      <w:r w:rsidRPr="002A0C01">
        <w:rPr>
          <w:noProof/>
        </w:rPr>
        <w:fldChar w:fldCharType="begin"/>
      </w:r>
      <w:r w:rsidRPr="002A0C01">
        <w:rPr>
          <w:noProof/>
        </w:rPr>
        <w:instrText xml:space="preserve"> PAGEREF _Toc \h </w:instrText>
      </w:r>
      <w:r w:rsidRPr="002A0C01">
        <w:rPr>
          <w:noProof/>
        </w:rPr>
      </w:r>
      <w:r w:rsidRPr="002A0C01">
        <w:rPr>
          <w:noProof/>
        </w:rPr>
        <w:fldChar w:fldCharType="separate"/>
      </w:r>
      <w:r w:rsidR="00C61A2E">
        <w:rPr>
          <w:noProof/>
        </w:rPr>
        <w:t>vi</w:t>
      </w:r>
      <w:r w:rsidRPr="002A0C01">
        <w:rPr>
          <w:noProof/>
        </w:rPr>
        <w:fldChar w:fldCharType="end"/>
      </w:r>
    </w:p>
    <w:p w14:paraId="384D89E8" w14:textId="77777777" w:rsidR="001B7948" w:rsidRPr="002A0C01" w:rsidRDefault="00B2706C" w:rsidP="002A0C01">
      <w:pPr>
        <w:pStyle w:val="TOC1"/>
        <w:rPr>
          <w:noProof/>
        </w:rPr>
      </w:pPr>
      <w:r w:rsidRPr="002A0C01">
        <w:rPr>
          <w:noProof/>
        </w:rPr>
        <w:t>List of Abbreviations</w:t>
      </w:r>
      <w:r w:rsidRPr="002A0C01">
        <w:rPr>
          <w:noProof/>
        </w:rPr>
        <w:tab/>
      </w:r>
      <w:r w:rsidRPr="002A0C01">
        <w:rPr>
          <w:noProof/>
        </w:rPr>
        <w:fldChar w:fldCharType="begin"/>
      </w:r>
      <w:r w:rsidRPr="002A0C01">
        <w:rPr>
          <w:noProof/>
        </w:rPr>
        <w:instrText xml:space="preserve"> PAGEREF _Toc1 \h </w:instrText>
      </w:r>
      <w:r w:rsidRPr="002A0C01">
        <w:rPr>
          <w:noProof/>
        </w:rPr>
      </w:r>
      <w:r w:rsidRPr="002A0C01">
        <w:rPr>
          <w:noProof/>
        </w:rPr>
        <w:fldChar w:fldCharType="separate"/>
      </w:r>
      <w:r w:rsidR="00C61A2E">
        <w:rPr>
          <w:noProof/>
        </w:rPr>
        <w:t>vii</w:t>
      </w:r>
      <w:r w:rsidRPr="002A0C01">
        <w:rPr>
          <w:noProof/>
        </w:rPr>
        <w:fldChar w:fldCharType="end"/>
      </w:r>
    </w:p>
    <w:p w14:paraId="11B04F91" w14:textId="77777777" w:rsidR="001B7948" w:rsidRPr="002A0C01" w:rsidRDefault="00B2706C" w:rsidP="002A0C01">
      <w:pPr>
        <w:pStyle w:val="TOC1"/>
        <w:rPr>
          <w:noProof/>
        </w:rPr>
      </w:pPr>
      <w:r w:rsidRPr="002A0C01">
        <w:rPr>
          <w:noProof/>
        </w:rPr>
        <w:t>List of Cases</w:t>
      </w:r>
      <w:r w:rsidRPr="002A0C01">
        <w:rPr>
          <w:noProof/>
        </w:rPr>
        <w:tab/>
      </w:r>
      <w:r w:rsidRPr="002A0C01">
        <w:rPr>
          <w:noProof/>
        </w:rPr>
        <w:fldChar w:fldCharType="begin"/>
      </w:r>
      <w:r w:rsidRPr="002A0C01">
        <w:rPr>
          <w:noProof/>
        </w:rPr>
        <w:instrText xml:space="preserve"> PAGEREF _Toc2 \h </w:instrText>
      </w:r>
      <w:r w:rsidRPr="002A0C01">
        <w:rPr>
          <w:noProof/>
        </w:rPr>
      </w:r>
      <w:r w:rsidRPr="002A0C01">
        <w:rPr>
          <w:noProof/>
        </w:rPr>
        <w:fldChar w:fldCharType="separate"/>
      </w:r>
      <w:r w:rsidR="00C61A2E">
        <w:rPr>
          <w:noProof/>
        </w:rPr>
        <w:t>vii</w:t>
      </w:r>
      <w:r w:rsidRPr="002A0C01">
        <w:rPr>
          <w:noProof/>
        </w:rPr>
        <w:fldChar w:fldCharType="end"/>
      </w:r>
    </w:p>
    <w:p w14:paraId="33E92FB0" w14:textId="77777777" w:rsidR="001B7948" w:rsidRPr="002A0C01" w:rsidRDefault="00B2706C" w:rsidP="002A0C01">
      <w:pPr>
        <w:pStyle w:val="TOC1"/>
        <w:rPr>
          <w:noProof/>
        </w:rPr>
      </w:pPr>
      <w:r w:rsidRPr="002A0C01">
        <w:rPr>
          <w:noProof/>
        </w:rPr>
        <w:t>CHAPTER ONE</w:t>
      </w:r>
      <w:r w:rsidRPr="002A0C01">
        <w:rPr>
          <w:noProof/>
        </w:rPr>
        <w:tab/>
      </w:r>
      <w:r w:rsidRPr="002A0C01">
        <w:rPr>
          <w:noProof/>
        </w:rPr>
        <w:fldChar w:fldCharType="begin"/>
      </w:r>
      <w:r w:rsidRPr="002A0C01">
        <w:rPr>
          <w:noProof/>
        </w:rPr>
        <w:instrText xml:space="preserve"> PAGEREF _Toc3 \h </w:instrText>
      </w:r>
      <w:r w:rsidRPr="002A0C01">
        <w:rPr>
          <w:noProof/>
        </w:rPr>
      </w:r>
      <w:r w:rsidRPr="002A0C01">
        <w:rPr>
          <w:noProof/>
        </w:rPr>
        <w:fldChar w:fldCharType="separate"/>
      </w:r>
      <w:r w:rsidR="00C61A2E">
        <w:rPr>
          <w:noProof/>
        </w:rPr>
        <w:t>1</w:t>
      </w:r>
      <w:r w:rsidRPr="002A0C01">
        <w:rPr>
          <w:noProof/>
        </w:rPr>
        <w:fldChar w:fldCharType="end"/>
      </w:r>
    </w:p>
    <w:p w14:paraId="13D74DC1" w14:textId="77777777" w:rsidR="001B7948" w:rsidRPr="002A0C01" w:rsidRDefault="00B2706C" w:rsidP="002A0C01">
      <w:pPr>
        <w:pStyle w:val="TOC2"/>
        <w:spacing w:line="360" w:lineRule="auto"/>
        <w:rPr>
          <w:noProof/>
        </w:rPr>
      </w:pPr>
      <w:r w:rsidRPr="002A0C01">
        <w:rPr>
          <w:noProof/>
        </w:rPr>
        <w:t>1.0 INTRODUCTION</w:t>
      </w:r>
      <w:r w:rsidRPr="002A0C01">
        <w:rPr>
          <w:noProof/>
        </w:rPr>
        <w:tab/>
      </w:r>
      <w:r w:rsidRPr="002A0C01">
        <w:rPr>
          <w:noProof/>
        </w:rPr>
        <w:fldChar w:fldCharType="begin"/>
      </w:r>
      <w:r w:rsidRPr="002A0C01">
        <w:rPr>
          <w:noProof/>
        </w:rPr>
        <w:instrText xml:space="preserve"> PAGEREF _Toc4 \h </w:instrText>
      </w:r>
      <w:r w:rsidRPr="002A0C01">
        <w:rPr>
          <w:noProof/>
        </w:rPr>
      </w:r>
      <w:r w:rsidRPr="002A0C01">
        <w:rPr>
          <w:noProof/>
        </w:rPr>
        <w:fldChar w:fldCharType="separate"/>
      </w:r>
      <w:r w:rsidR="00C61A2E">
        <w:rPr>
          <w:noProof/>
        </w:rPr>
        <w:t>1</w:t>
      </w:r>
      <w:r w:rsidRPr="002A0C01">
        <w:rPr>
          <w:noProof/>
        </w:rPr>
        <w:fldChar w:fldCharType="end"/>
      </w:r>
    </w:p>
    <w:p w14:paraId="45CE9E49" w14:textId="77777777" w:rsidR="001B7948" w:rsidRPr="002A0C01" w:rsidRDefault="00B2706C" w:rsidP="002A0C01">
      <w:pPr>
        <w:pStyle w:val="TOC3"/>
        <w:numPr>
          <w:ilvl w:val="1"/>
          <w:numId w:val="1"/>
        </w:numPr>
        <w:spacing w:line="360" w:lineRule="auto"/>
        <w:rPr>
          <w:noProof/>
        </w:rPr>
      </w:pPr>
      <w:r w:rsidRPr="002A0C01">
        <w:rPr>
          <w:noProof/>
        </w:rPr>
        <w:t>Background</w:t>
      </w:r>
      <w:r w:rsidRPr="002A0C01">
        <w:rPr>
          <w:noProof/>
        </w:rPr>
        <w:tab/>
      </w:r>
      <w:r w:rsidRPr="002A0C01">
        <w:rPr>
          <w:noProof/>
        </w:rPr>
        <w:fldChar w:fldCharType="begin"/>
      </w:r>
      <w:r w:rsidRPr="002A0C01">
        <w:rPr>
          <w:noProof/>
        </w:rPr>
        <w:instrText xml:space="preserve"> PAGEREF _Toc5 \h </w:instrText>
      </w:r>
      <w:r w:rsidRPr="002A0C01">
        <w:rPr>
          <w:noProof/>
        </w:rPr>
      </w:r>
      <w:r w:rsidRPr="002A0C01">
        <w:rPr>
          <w:noProof/>
        </w:rPr>
        <w:fldChar w:fldCharType="separate"/>
      </w:r>
      <w:r w:rsidR="00C61A2E">
        <w:rPr>
          <w:noProof/>
        </w:rPr>
        <w:t>2</w:t>
      </w:r>
      <w:r w:rsidRPr="002A0C01">
        <w:rPr>
          <w:noProof/>
        </w:rPr>
        <w:fldChar w:fldCharType="end"/>
      </w:r>
    </w:p>
    <w:p w14:paraId="229B20B3" w14:textId="77777777" w:rsidR="001B7948" w:rsidRPr="002A0C01" w:rsidRDefault="00B2706C" w:rsidP="002A0C01">
      <w:pPr>
        <w:pStyle w:val="TOC3"/>
        <w:numPr>
          <w:ilvl w:val="1"/>
          <w:numId w:val="1"/>
        </w:numPr>
        <w:spacing w:line="360" w:lineRule="auto"/>
        <w:rPr>
          <w:noProof/>
        </w:rPr>
      </w:pPr>
      <w:r w:rsidRPr="002A0C01">
        <w:rPr>
          <w:noProof/>
        </w:rPr>
        <w:t>Statement of the Problem</w:t>
      </w:r>
      <w:r w:rsidRPr="002A0C01">
        <w:rPr>
          <w:noProof/>
        </w:rPr>
        <w:tab/>
      </w:r>
      <w:r w:rsidRPr="002A0C01">
        <w:rPr>
          <w:noProof/>
        </w:rPr>
        <w:fldChar w:fldCharType="begin"/>
      </w:r>
      <w:r w:rsidRPr="002A0C01">
        <w:rPr>
          <w:noProof/>
        </w:rPr>
        <w:instrText xml:space="preserve"> PAGEREF _Toc6 \h </w:instrText>
      </w:r>
      <w:r w:rsidRPr="002A0C01">
        <w:rPr>
          <w:noProof/>
        </w:rPr>
      </w:r>
      <w:r w:rsidRPr="002A0C01">
        <w:rPr>
          <w:noProof/>
        </w:rPr>
        <w:fldChar w:fldCharType="separate"/>
      </w:r>
      <w:r w:rsidR="00C61A2E">
        <w:rPr>
          <w:noProof/>
        </w:rPr>
        <w:t>4</w:t>
      </w:r>
      <w:r w:rsidRPr="002A0C01">
        <w:rPr>
          <w:noProof/>
        </w:rPr>
        <w:fldChar w:fldCharType="end"/>
      </w:r>
    </w:p>
    <w:p w14:paraId="34424620" w14:textId="77777777" w:rsidR="001B7948" w:rsidRPr="002A0C01" w:rsidRDefault="00B2706C" w:rsidP="002A0C01">
      <w:pPr>
        <w:pStyle w:val="TOC3"/>
        <w:numPr>
          <w:ilvl w:val="1"/>
          <w:numId w:val="1"/>
        </w:numPr>
        <w:spacing w:line="360" w:lineRule="auto"/>
        <w:rPr>
          <w:noProof/>
        </w:rPr>
      </w:pPr>
      <w:r w:rsidRPr="002A0C01">
        <w:rPr>
          <w:noProof/>
        </w:rPr>
        <w:t>Hypothesis</w:t>
      </w:r>
      <w:r w:rsidRPr="002A0C01">
        <w:rPr>
          <w:noProof/>
        </w:rPr>
        <w:tab/>
      </w:r>
      <w:r w:rsidRPr="002A0C01">
        <w:rPr>
          <w:noProof/>
        </w:rPr>
        <w:fldChar w:fldCharType="begin"/>
      </w:r>
      <w:r w:rsidRPr="002A0C01">
        <w:rPr>
          <w:noProof/>
        </w:rPr>
        <w:instrText xml:space="preserve"> PAGEREF _Toc7 \h </w:instrText>
      </w:r>
      <w:r w:rsidRPr="002A0C01">
        <w:rPr>
          <w:noProof/>
        </w:rPr>
      </w:r>
      <w:r w:rsidRPr="002A0C01">
        <w:rPr>
          <w:noProof/>
        </w:rPr>
        <w:fldChar w:fldCharType="separate"/>
      </w:r>
      <w:r w:rsidR="00C61A2E">
        <w:rPr>
          <w:noProof/>
        </w:rPr>
        <w:t>4</w:t>
      </w:r>
      <w:r w:rsidRPr="002A0C01">
        <w:rPr>
          <w:noProof/>
        </w:rPr>
        <w:fldChar w:fldCharType="end"/>
      </w:r>
    </w:p>
    <w:p w14:paraId="6D88FDF5" w14:textId="77777777" w:rsidR="001B7948" w:rsidRPr="002A0C01" w:rsidRDefault="00B2706C" w:rsidP="002A0C01">
      <w:pPr>
        <w:pStyle w:val="TOC3"/>
        <w:numPr>
          <w:ilvl w:val="1"/>
          <w:numId w:val="1"/>
        </w:numPr>
        <w:spacing w:line="360" w:lineRule="auto"/>
        <w:rPr>
          <w:noProof/>
        </w:rPr>
      </w:pPr>
      <w:r w:rsidRPr="002A0C01">
        <w:rPr>
          <w:noProof/>
        </w:rPr>
        <w:t>Research Questions</w:t>
      </w:r>
      <w:r w:rsidRPr="002A0C01">
        <w:rPr>
          <w:noProof/>
        </w:rPr>
        <w:tab/>
      </w:r>
      <w:r w:rsidRPr="002A0C01">
        <w:rPr>
          <w:noProof/>
        </w:rPr>
        <w:fldChar w:fldCharType="begin"/>
      </w:r>
      <w:r w:rsidRPr="002A0C01">
        <w:rPr>
          <w:noProof/>
        </w:rPr>
        <w:instrText xml:space="preserve"> PAGEREF _Toc8 \h </w:instrText>
      </w:r>
      <w:r w:rsidRPr="002A0C01">
        <w:rPr>
          <w:noProof/>
        </w:rPr>
      </w:r>
      <w:r w:rsidRPr="002A0C01">
        <w:rPr>
          <w:noProof/>
        </w:rPr>
        <w:fldChar w:fldCharType="separate"/>
      </w:r>
      <w:r w:rsidR="00C61A2E">
        <w:rPr>
          <w:noProof/>
        </w:rPr>
        <w:t>5</w:t>
      </w:r>
      <w:r w:rsidRPr="002A0C01">
        <w:rPr>
          <w:noProof/>
        </w:rPr>
        <w:fldChar w:fldCharType="end"/>
      </w:r>
    </w:p>
    <w:p w14:paraId="3B839305" w14:textId="77777777" w:rsidR="001B7948" w:rsidRPr="002A0C01" w:rsidRDefault="00B2706C" w:rsidP="002A0C01">
      <w:pPr>
        <w:pStyle w:val="TOC3"/>
        <w:numPr>
          <w:ilvl w:val="1"/>
          <w:numId w:val="1"/>
        </w:numPr>
        <w:spacing w:line="360" w:lineRule="auto"/>
        <w:rPr>
          <w:noProof/>
        </w:rPr>
      </w:pPr>
      <w:r w:rsidRPr="002A0C01">
        <w:rPr>
          <w:noProof/>
        </w:rPr>
        <w:t>Justification</w:t>
      </w:r>
      <w:r w:rsidRPr="002A0C01">
        <w:rPr>
          <w:noProof/>
        </w:rPr>
        <w:tab/>
      </w:r>
      <w:r w:rsidRPr="002A0C01">
        <w:rPr>
          <w:noProof/>
        </w:rPr>
        <w:fldChar w:fldCharType="begin"/>
      </w:r>
      <w:r w:rsidRPr="002A0C01">
        <w:rPr>
          <w:noProof/>
        </w:rPr>
        <w:instrText xml:space="preserve"> PAGEREF _Toc9 \h </w:instrText>
      </w:r>
      <w:r w:rsidRPr="002A0C01">
        <w:rPr>
          <w:noProof/>
        </w:rPr>
      </w:r>
      <w:r w:rsidRPr="002A0C01">
        <w:rPr>
          <w:noProof/>
        </w:rPr>
        <w:fldChar w:fldCharType="separate"/>
      </w:r>
      <w:r w:rsidR="00C61A2E">
        <w:rPr>
          <w:noProof/>
        </w:rPr>
        <w:t>5</w:t>
      </w:r>
      <w:r w:rsidRPr="002A0C01">
        <w:rPr>
          <w:noProof/>
        </w:rPr>
        <w:fldChar w:fldCharType="end"/>
      </w:r>
    </w:p>
    <w:p w14:paraId="41ABF9C3" w14:textId="77777777" w:rsidR="001B7948" w:rsidRPr="002A0C01" w:rsidRDefault="00B2706C" w:rsidP="002A0C01">
      <w:pPr>
        <w:pStyle w:val="TOC3"/>
        <w:numPr>
          <w:ilvl w:val="1"/>
          <w:numId w:val="1"/>
        </w:numPr>
        <w:spacing w:line="360" w:lineRule="auto"/>
        <w:rPr>
          <w:noProof/>
        </w:rPr>
      </w:pPr>
      <w:r w:rsidRPr="002A0C01">
        <w:rPr>
          <w:noProof/>
        </w:rPr>
        <w:t>Theoretical Framework</w:t>
      </w:r>
      <w:r w:rsidRPr="002A0C01">
        <w:rPr>
          <w:noProof/>
        </w:rPr>
        <w:tab/>
      </w:r>
      <w:r w:rsidRPr="002A0C01">
        <w:rPr>
          <w:noProof/>
        </w:rPr>
        <w:fldChar w:fldCharType="begin"/>
      </w:r>
      <w:r w:rsidRPr="002A0C01">
        <w:rPr>
          <w:noProof/>
        </w:rPr>
        <w:instrText xml:space="preserve"> PAGEREF _Toc10 \h </w:instrText>
      </w:r>
      <w:r w:rsidRPr="002A0C01">
        <w:rPr>
          <w:noProof/>
        </w:rPr>
      </w:r>
      <w:r w:rsidRPr="002A0C01">
        <w:rPr>
          <w:noProof/>
        </w:rPr>
        <w:fldChar w:fldCharType="separate"/>
      </w:r>
      <w:r w:rsidR="00C61A2E">
        <w:rPr>
          <w:noProof/>
        </w:rPr>
        <w:t>5</w:t>
      </w:r>
      <w:r w:rsidRPr="002A0C01">
        <w:rPr>
          <w:noProof/>
        </w:rPr>
        <w:fldChar w:fldCharType="end"/>
      </w:r>
    </w:p>
    <w:p w14:paraId="7D998A99" w14:textId="77777777" w:rsidR="001B7948" w:rsidRPr="002A0C01" w:rsidRDefault="00B2706C" w:rsidP="002A0C01">
      <w:pPr>
        <w:pStyle w:val="TOC2"/>
        <w:spacing w:line="360" w:lineRule="auto"/>
        <w:rPr>
          <w:noProof/>
        </w:rPr>
      </w:pPr>
      <w:r w:rsidRPr="002A0C01">
        <w:rPr>
          <w:noProof/>
        </w:rPr>
        <w:t>2.0 LITERATURE REVIEW</w:t>
      </w:r>
      <w:r w:rsidRPr="002A0C01">
        <w:rPr>
          <w:noProof/>
        </w:rPr>
        <w:tab/>
      </w:r>
      <w:r w:rsidRPr="002A0C01">
        <w:rPr>
          <w:noProof/>
        </w:rPr>
        <w:fldChar w:fldCharType="begin"/>
      </w:r>
      <w:r w:rsidRPr="002A0C01">
        <w:rPr>
          <w:noProof/>
        </w:rPr>
        <w:instrText xml:space="preserve"> PAGEREF _Toc11 \h </w:instrText>
      </w:r>
      <w:r w:rsidRPr="002A0C01">
        <w:rPr>
          <w:noProof/>
        </w:rPr>
      </w:r>
      <w:r w:rsidRPr="002A0C01">
        <w:rPr>
          <w:noProof/>
        </w:rPr>
        <w:fldChar w:fldCharType="separate"/>
      </w:r>
      <w:r w:rsidR="00C61A2E">
        <w:rPr>
          <w:noProof/>
        </w:rPr>
        <w:t>7</w:t>
      </w:r>
      <w:r w:rsidRPr="002A0C01">
        <w:rPr>
          <w:noProof/>
        </w:rPr>
        <w:fldChar w:fldCharType="end"/>
      </w:r>
    </w:p>
    <w:p w14:paraId="06670AD8" w14:textId="77777777" w:rsidR="001B7948" w:rsidRPr="002A0C01" w:rsidRDefault="00B2706C" w:rsidP="002A0C01">
      <w:pPr>
        <w:pStyle w:val="TOC2"/>
        <w:spacing w:line="360" w:lineRule="auto"/>
        <w:rPr>
          <w:noProof/>
        </w:rPr>
      </w:pPr>
      <w:r w:rsidRPr="002A0C01">
        <w:rPr>
          <w:noProof/>
        </w:rPr>
        <w:t>3.0 RESEARCH DESIGN</w:t>
      </w:r>
      <w:r w:rsidRPr="002A0C01">
        <w:rPr>
          <w:noProof/>
        </w:rPr>
        <w:tab/>
      </w:r>
      <w:r w:rsidRPr="002A0C01">
        <w:rPr>
          <w:noProof/>
        </w:rPr>
        <w:fldChar w:fldCharType="begin"/>
      </w:r>
      <w:r w:rsidRPr="002A0C01">
        <w:rPr>
          <w:noProof/>
        </w:rPr>
        <w:instrText xml:space="preserve"> PAGEREF _Toc12 \h </w:instrText>
      </w:r>
      <w:r w:rsidRPr="002A0C01">
        <w:rPr>
          <w:noProof/>
        </w:rPr>
      </w:r>
      <w:r w:rsidRPr="002A0C01">
        <w:rPr>
          <w:noProof/>
        </w:rPr>
        <w:fldChar w:fldCharType="separate"/>
      </w:r>
      <w:r w:rsidR="00C61A2E">
        <w:rPr>
          <w:noProof/>
        </w:rPr>
        <w:t>9</w:t>
      </w:r>
      <w:r w:rsidRPr="002A0C01">
        <w:rPr>
          <w:noProof/>
        </w:rPr>
        <w:fldChar w:fldCharType="end"/>
      </w:r>
    </w:p>
    <w:p w14:paraId="3A17AC4D" w14:textId="77777777" w:rsidR="001B7948" w:rsidRPr="002A0C01" w:rsidRDefault="00B2706C" w:rsidP="002A0C01">
      <w:pPr>
        <w:pStyle w:val="TOC3"/>
        <w:spacing w:line="360" w:lineRule="auto"/>
        <w:rPr>
          <w:noProof/>
        </w:rPr>
      </w:pPr>
      <w:r w:rsidRPr="002A0C01">
        <w:rPr>
          <w:noProof/>
        </w:rPr>
        <w:t>3.1 Research Methodology</w:t>
      </w:r>
      <w:r w:rsidRPr="002A0C01">
        <w:rPr>
          <w:noProof/>
        </w:rPr>
        <w:tab/>
      </w:r>
      <w:r w:rsidRPr="002A0C01">
        <w:rPr>
          <w:noProof/>
        </w:rPr>
        <w:fldChar w:fldCharType="begin"/>
      </w:r>
      <w:r w:rsidRPr="002A0C01">
        <w:rPr>
          <w:noProof/>
        </w:rPr>
        <w:instrText xml:space="preserve"> PAGEREF _Toc13 \h </w:instrText>
      </w:r>
      <w:r w:rsidRPr="002A0C01">
        <w:rPr>
          <w:noProof/>
        </w:rPr>
      </w:r>
      <w:r w:rsidRPr="002A0C01">
        <w:rPr>
          <w:noProof/>
        </w:rPr>
        <w:fldChar w:fldCharType="separate"/>
      </w:r>
      <w:r w:rsidR="00C61A2E">
        <w:rPr>
          <w:noProof/>
        </w:rPr>
        <w:t>9</w:t>
      </w:r>
      <w:r w:rsidRPr="002A0C01">
        <w:rPr>
          <w:noProof/>
        </w:rPr>
        <w:fldChar w:fldCharType="end"/>
      </w:r>
    </w:p>
    <w:p w14:paraId="3939E9C7" w14:textId="77777777" w:rsidR="001B7948" w:rsidRPr="002A0C01" w:rsidRDefault="00B2706C" w:rsidP="002A0C01">
      <w:pPr>
        <w:pStyle w:val="TOC3"/>
        <w:spacing w:line="360" w:lineRule="auto"/>
        <w:rPr>
          <w:noProof/>
        </w:rPr>
      </w:pPr>
      <w:r w:rsidRPr="002A0C01">
        <w:rPr>
          <w:noProof/>
        </w:rPr>
        <w:t>3.2 Assumptions</w:t>
      </w:r>
      <w:r w:rsidRPr="002A0C01">
        <w:rPr>
          <w:noProof/>
        </w:rPr>
        <w:tab/>
      </w:r>
      <w:r w:rsidRPr="002A0C01">
        <w:rPr>
          <w:noProof/>
        </w:rPr>
        <w:fldChar w:fldCharType="begin"/>
      </w:r>
      <w:r w:rsidRPr="002A0C01">
        <w:rPr>
          <w:noProof/>
        </w:rPr>
        <w:instrText xml:space="preserve"> PAGEREF _Toc14 \h </w:instrText>
      </w:r>
      <w:r w:rsidRPr="002A0C01">
        <w:rPr>
          <w:noProof/>
        </w:rPr>
      </w:r>
      <w:r w:rsidRPr="002A0C01">
        <w:rPr>
          <w:noProof/>
        </w:rPr>
        <w:fldChar w:fldCharType="separate"/>
      </w:r>
      <w:r w:rsidR="00C61A2E">
        <w:rPr>
          <w:noProof/>
        </w:rPr>
        <w:t>9</w:t>
      </w:r>
      <w:r w:rsidRPr="002A0C01">
        <w:rPr>
          <w:noProof/>
        </w:rPr>
        <w:fldChar w:fldCharType="end"/>
      </w:r>
    </w:p>
    <w:p w14:paraId="7DCA4F08" w14:textId="77777777" w:rsidR="001B7948" w:rsidRPr="002A0C01" w:rsidRDefault="00B2706C" w:rsidP="002A0C01">
      <w:pPr>
        <w:pStyle w:val="TOC3"/>
        <w:spacing w:line="360" w:lineRule="auto"/>
        <w:rPr>
          <w:noProof/>
        </w:rPr>
      </w:pPr>
      <w:r w:rsidRPr="002A0C01">
        <w:rPr>
          <w:noProof/>
        </w:rPr>
        <w:t>3.3 Limitations</w:t>
      </w:r>
      <w:r w:rsidRPr="002A0C01">
        <w:rPr>
          <w:noProof/>
        </w:rPr>
        <w:tab/>
      </w:r>
      <w:r w:rsidRPr="002A0C01">
        <w:rPr>
          <w:noProof/>
        </w:rPr>
        <w:fldChar w:fldCharType="begin"/>
      </w:r>
      <w:r w:rsidRPr="002A0C01">
        <w:rPr>
          <w:noProof/>
        </w:rPr>
        <w:instrText xml:space="preserve"> PAGEREF _Toc15 \h </w:instrText>
      </w:r>
      <w:r w:rsidRPr="002A0C01">
        <w:rPr>
          <w:noProof/>
        </w:rPr>
      </w:r>
      <w:r w:rsidRPr="002A0C01">
        <w:rPr>
          <w:noProof/>
        </w:rPr>
        <w:fldChar w:fldCharType="separate"/>
      </w:r>
      <w:r w:rsidR="00C61A2E">
        <w:rPr>
          <w:noProof/>
        </w:rPr>
        <w:t>9</w:t>
      </w:r>
      <w:r w:rsidRPr="002A0C01">
        <w:rPr>
          <w:noProof/>
        </w:rPr>
        <w:fldChar w:fldCharType="end"/>
      </w:r>
    </w:p>
    <w:p w14:paraId="5546DAA5" w14:textId="77777777" w:rsidR="001B7948" w:rsidRPr="002A0C01" w:rsidRDefault="00B2706C" w:rsidP="002A0C01">
      <w:pPr>
        <w:pStyle w:val="TOC3"/>
        <w:spacing w:line="360" w:lineRule="auto"/>
        <w:rPr>
          <w:noProof/>
        </w:rPr>
      </w:pPr>
      <w:r w:rsidRPr="002A0C01">
        <w:rPr>
          <w:noProof/>
        </w:rPr>
        <w:t>3.4 Chapter Breakdown</w:t>
      </w:r>
      <w:r w:rsidRPr="002A0C01">
        <w:rPr>
          <w:noProof/>
        </w:rPr>
        <w:tab/>
      </w:r>
      <w:r w:rsidRPr="002A0C01">
        <w:rPr>
          <w:noProof/>
        </w:rPr>
        <w:fldChar w:fldCharType="begin"/>
      </w:r>
      <w:r w:rsidRPr="002A0C01">
        <w:rPr>
          <w:noProof/>
        </w:rPr>
        <w:instrText xml:space="preserve"> PAGEREF _Toc16 \h </w:instrText>
      </w:r>
      <w:r w:rsidRPr="002A0C01">
        <w:rPr>
          <w:noProof/>
        </w:rPr>
      </w:r>
      <w:r w:rsidRPr="002A0C01">
        <w:rPr>
          <w:noProof/>
        </w:rPr>
        <w:fldChar w:fldCharType="separate"/>
      </w:r>
      <w:r w:rsidR="00C61A2E">
        <w:rPr>
          <w:noProof/>
        </w:rPr>
        <w:t>9</w:t>
      </w:r>
      <w:r w:rsidRPr="002A0C01">
        <w:rPr>
          <w:noProof/>
        </w:rPr>
        <w:fldChar w:fldCharType="end"/>
      </w:r>
    </w:p>
    <w:p w14:paraId="1A3EC5C8" w14:textId="77777777" w:rsidR="001B7948" w:rsidRPr="002A0C01" w:rsidRDefault="00B2706C" w:rsidP="002A0C01">
      <w:pPr>
        <w:pStyle w:val="TOC1"/>
        <w:rPr>
          <w:noProof/>
        </w:rPr>
      </w:pPr>
      <w:r w:rsidRPr="002A0C01">
        <w:rPr>
          <w:noProof/>
        </w:rPr>
        <w:t>CHAPTER TWO</w:t>
      </w:r>
      <w:r w:rsidRPr="002A0C01">
        <w:rPr>
          <w:noProof/>
        </w:rPr>
        <w:tab/>
      </w:r>
      <w:r w:rsidRPr="002A0C01">
        <w:rPr>
          <w:noProof/>
        </w:rPr>
        <w:fldChar w:fldCharType="begin"/>
      </w:r>
      <w:r w:rsidRPr="002A0C01">
        <w:rPr>
          <w:noProof/>
        </w:rPr>
        <w:instrText xml:space="preserve"> PAGEREF _Toc17 \h </w:instrText>
      </w:r>
      <w:r w:rsidRPr="002A0C01">
        <w:rPr>
          <w:noProof/>
        </w:rPr>
      </w:r>
      <w:r w:rsidRPr="002A0C01">
        <w:rPr>
          <w:noProof/>
        </w:rPr>
        <w:fldChar w:fldCharType="separate"/>
      </w:r>
      <w:r w:rsidR="00C61A2E">
        <w:rPr>
          <w:noProof/>
        </w:rPr>
        <w:t>11</w:t>
      </w:r>
      <w:r w:rsidRPr="002A0C01">
        <w:rPr>
          <w:noProof/>
        </w:rPr>
        <w:fldChar w:fldCharType="end"/>
      </w:r>
    </w:p>
    <w:p w14:paraId="75365B53" w14:textId="77777777" w:rsidR="001B7948" w:rsidRPr="002A0C01" w:rsidRDefault="00B2706C" w:rsidP="002A0C01">
      <w:pPr>
        <w:pStyle w:val="TOC1"/>
        <w:rPr>
          <w:noProof/>
        </w:rPr>
      </w:pPr>
      <w:r w:rsidRPr="002A0C01">
        <w:rPr>
          <w:noProof/>
        </w:rPr>
        <w:t>AN ANALYSIS OF THE VARIOUS LAWS PROVIDING FOR STATE COOPERATION</w:t>
      </w:r>
      <w:r w:rsidRPr="002A0C01">
        <w:rPr>
          <w:noProof/>
        </w:rPr>
        <w:tab/>
      </w:r>
      <w:r w:rsidRPr="002A0C01">
        <w:rPr>
          <w:noProof/>
        </w:rPr>
        <w:fldChar w:fldCharType="begin"/>
      </w:r>
      <w:r w:rsidRPr="002A0C01">
        <w:rPr>
          <w:noProof/>
        </w:rPr>
        <w:instrText xml:space="preserve"> PAGEREF _Toc18 \h </w:instrText>
      </w:r>
      <w:r w:rsidRPr="002A0C01">
        <w:rPr>
          <w:noProof/>
        </w:rPr>
      </w:r>
      <w:r w:rsidRPr="002A0C01">
        <w:rPr>
          <w:noProof/>
        </w:rPr>
        <w:fldChar w:fldCharType="separate"/>
      </w:r>
      <w:r w:rsidR="00C61A2E">
        <w:rPr>
          <w:noProof/>
        </w:rPr>
        <w:t>11</w:t>
      </w:r>
      <w:r w:rsidRPr="002A0C01">
        <w:rPr>
          <w:noProof/>
        </w:rPr>
        <w:fldChar w:fldCharType="end"/>
      </w:r>
    </w:p>
    <w:p w14:paraId="415A7EE8" w14:textId="77777777" w:rsidR="001B7948" w:rsidRPr="002A0C01" w:rsidRDefault="00B2706C" w:rsidP="002A0C01">
      <w:pPr>
        <w:pStyle w:val="TOC2"/>
        <w:spacing w:line="360" w:lineRule="auto"/>
        <w:rPr>
          <w:noProof/>
        </w:rPr>
      </w:pPr>
      <w:r w:rsidRPr="002A0C01">
        <w:rPr>
          <w:noProof/>
        </w:rPr>
        <w:t>INTRODUCTION</w:t>
      </w:r>
      <w:r w:rsidRPr="002A0C01">
        <w:rPr>
          <w:noProof/>
        </w:rPr>
        <w:tab/>
      </w:r>
      <w:r w:rsidRPr="002A0C01">
        <w:rPr>
          <w:noProof/>
        </w:rPr>
        <w:fldChar w:fldCharType="begin"/>
      </w:r>
      <w:r w:rsidRPr="002A0C01">
        <w:rPr>
          <w:noProof/>
        </w:rPr>
        <w:instrText xml:space="preserve"> PAGEREF _Toc19 \h </w:instrText>
      </w:r>
      <w:r w:rsidRPr="002A0C01">
        <w:rPr>
          <w:noProof/>
        </w:rPr>
      </w:r>
      <w:r w:rsidRPr="002A0C01">
        <w:rPr>
          <w:noProof/>
        </w:rPr>
        <w:fldChar w:fldCharType="separate"/>
      </w:r>
      <w:r w:rsidR="00C61A2E">
        <w:rPr>
          <w:noProof/>
        </w:rPr>
        <w:t>11</w:t>
      </w:r>
      <w:r w:rsidRPr="002A0C01">
        <w:rPr>
          <w:noProof/>
        </w:rPr>
        <w:fldChar w:fldCharType="end"/>
      </w:r>
    </w:p>
    <w:p w14:paraId="47C35895" w14:textId="77777777" w:rsidR="001B7948" w:rsidRPr="002A0C01" w:rsidRDefault="00B2706C" w:rsidP="002A0C01">
      <w:pPr>
        <w:pStyle w:val="TOC2"/>
        <w:spacing w:line="360" w:lineRule="auto"/>
        <w:rPr>
          <w:noProof/>
        </w:rPr>
      </w:pPr>
      <w:r w:rsidRPr="002A0C01">
        <w:rPr>
          <w:noProof/>
        </w:rPr>
        <w:t>I. ARREST AND SURRENDER</w:t>
      </w:r>
      <w:r w:rsidRPr="002A0C01">
        <w:rPr>
          <w:noProof/>
        </w:rPr>
        <w:tab/>
      </w:r>
      <w:r w:rsidRPr="002A0C01">
        <w:rPr>
          <w:noProof/>
        </w:rPr>
        <w:fldChar w:fldCharType="begin"/>
      </w:r>
      <w:r w:rsidRPr="002A0C01">
        <w:rPr>
          <w:noProof/>
        </w:rPr>
        <w:instrText xml:space="preserve"> PAGEREF _Toc20 \h </w:instrText>
      </w:r>
      <w:r w:rsidRPr="002A0C01">
        <w:rPr>
          <w:noProof/>
        </w:rPr>
      </w:r>
      <w:r w:rsidRPr="002A0C01">
        <w:rPr>
          <w:noProof/>
        </w:rPr>
        <w:fldChar w:fldCharType="separate"/>
      </w:r>
      <w:r w:rsidR="00C61A2E">
        <w:rPr>
          <w:noProof/>
        </w:rPr>
        <w:t>12</w:t>
      </w:r>
      <w:r w:rsidRPr="002A0C01">
        <w:rPr>
          <w:noProof/>
        </w:rPr>
        <w:fldChar w:fldCharType="end"/>
      </w:r>
    </w:p>
    <w:p w14:paraId="2C2A1EDA" w14:textId="77777777" w:rsidR="001B7948" w:rsidRPr="002A0C01" w:rsidRDefault="00B2706C" w:rsidP="002A0C01">
      <w:pPr>
        <w:pStyle w:val="TOC2"/>
        <w:spacing w:line="360" w:lineRule="auto"/>
        <w:rPr>
          <w:noProof/>
        </w:rPr>
      </w:pPr>
      <w:r w:rsidRPr="002A0C01">
        <w:rPr>
          <w:noProof/>
        </w:rPr>
        <w:t>II. INVESTIGATION AND EVIDENCE GATHERING</w:t>
      </w:r>
      <w:r w:rsidRPr="002A0C01">
        <w:rPr>
          <w:noProof/>
        </w:rPr>
        <w:tab/>
      </w:r>
      <w:r w:rsidRPr="002A0C01">
        <w:rPr>
          <w:noProof/>
        </w:rPr>
        <w:fldChar w:fldCharType="begin"/>
      </w:r>
      <w:r w:rsidRPr="002A0C01">
        <w:rPr>
          <w:noProof/>
        </w:rPr>
        <w:instrText xml:space="preserve"> PAGEREF _Toc21 \h </w:instrText>
      </w:r>
      <w:r w:rsidRPr="002A0C01">
        <w:rPr>
          <w:noProof/>
        </w:rPr>
      </w:r>
      <w:r w:rsidRPr="002A0C01">
        <w:rPr>
          <w:noProof/>
        </w:rPr>
        <w:fldChar w:fldCharType="separate"/>
      </w:r>
      <w:r w:rsidR="00C61A2E">
        <w:rPr>
          <w:noProof/>
        </w:rPr>
        <w:t>13</w:t>
      </w:r>
      <w:r w:rsidRPr="002A0C01">
        <w:rPr>
          <w:noProof/>
        </w:rPr>
        <w:fldChar w:fldCharType="end"/>
      </w:r>
    </w:p>
    <w:p w14:paraId="66EE590D" w14:textId="77777777" w:rsidR="001B7948" w:rsidRPr="002A0C01" w:rsidRDefault="00B2706C" w:rsidP="002A0C01">
      <w:pPr>
        <w:pStyle w:val="TOC2"/>
        <w:spacing w:line="360" w:lineRule="auto"/>
        <w:rPr>
          <w:noProof/>
        </w:rPr>
      </w:pPr>
      <w:r w:rsidRPr="002A0C01">
        <w:rPr>
          <w:noProof/>
        </w:rPr>
        <w:t>III. PROTECTION OF WITNESSES</w:t>
      </w:r>
      <w:r w:rsidRPr="002A0C01">
        <w:rPr>
          <w:noProof/>
        </w:rPr>
        <w:tab/>
      </w:r>
      <w:r w:rsidRPr="002A0C01">
        <w:rPr>
          <w:noProof/>
        </w:rPr>
        <w:fldChar w:fldCharType="begin"/>
      </w:r>
      <w:r w:rsidRPr="002A0C01">
        <w:rPr>
          <w:noProof/>
        </w:rPr>
        <w:instrText xml:space="preserve"> PAGEREF _Toc22 \h </w:instrText>
      </w:r>
      <w:r w:rsidRPr="002A0C01">
        <w:rPr>
          <w:noProof/>
        </w:rPr>
      </w:r>
      <w:r w:rsidRPr="002A0C01">
        <w:rPr>
          <w:noProof/>
        </w:rPr>
        <w:fldChar w:fldCharType="separate"/>
      </w:r>
      <w:r w:rsidR="00C61A2E">
        <w:rPr>
          <w:noProof/>
        </w:rPr>
        <w:t>15</w:t>
      </w:r>
      <w:r w:rsidRPr="002A0C01">
        <w:rPr>
          <w:noProof/>
        </w:rPr>
        <w:fldChar w:fldCharType="end"/>
      </w:r>
    </w:p>
    <w:p w14:paraId="60DB28FA" w14:textId="77777777" w:rsidR="001B7948" w:rsidRPr="002A0C01" w:rsidRDefault="00B2706C" w:rsidP="002A0C01">
      <w:pPr>
        <w:pStyle w:val="TOC2"/>
        <w:spacing w:line="360" w:lineRule="auto"/>
        <w:rPr>
          <w:noProof/>
        </w:rPr>
      </w:pPr>
      <w:r w:rsidRPr="002A0C01">
        <w:rPr>
          <w:noProof/>
        </w:rPr>
        <w:t>CONCLUSION</w:t>
      </w:r>
      <w:r w:rsidRPr="002A0C01">
        <w:rPr>
          <w:noProof/>
        </w:rPr>
        <w:tab/>
      </w:r>
      <w:r w:rsidRPr="002A0C01">
        <w:rPr>
          <w:noProof/>
        </w:rPr>
        <w:fldChar w:fldCharType="begin"/>
      </w:r>
      <w:r w:rsidRPr="002A0C01">
        <w:rPr>
          <w:noProof/>
        </w:rPr>
        <w:instrText xml:space="preserve"> PAGEREF _Toc23 \h </w:instrText>
      </w:r>
      <w:r w:rsidRPr="002A0C01">
        <w:rPr>
          <w:noProof/>
        </w:rPr>
      </w:r>
      <w:r w:rsidRPr="002A0C01">
        <w:rPr>
          <w:noProof/>
        </w:rPr>
        <w:fldChar w:fldCharType="separate"/>
      </w:r>
      <w:r w:rsidR="00C61A2E">
        <w:rPr>
          <w:noProof/>
        </w:rPr>
        <w:t>17</w:t>
      </w:r>
      <w:r w:rsidRPr="002A0C01">
        <w:rPr>
          <w:noProof/>
        </w:rPr>
        <w:fldChar w:fldCharType="end"/>
      </w:r>
    </w:p>
    <w:p w14:paraId="52BFF62E" w14:textId="77777777" w:rsidR="001B7948" w:rsidRPr="002A0C01" w:rsidRDefault="00B2706C" w:rsidP="002A0C01">
      <w:pPr>
        <w:pStyle w:val="TOC1"/>
        <w:rPr>
          <w:noProof/>
        </w:rPr>
      </w:pPr>
      <w:r w:rsidRPr="002A0C01">
        <w:rPr>
          <w:noProof/>
        </w:rPr>
        <w:lastRenderedPageBreak/>
        <w:t>CHAPTER THREE</w:t>
      </w:r>
      <w:r w:rsidRPr="002A0C01">
        <w:rPr>
          <w:noProof/>
        </w:rPr>
        <w:tab/>
      </w:r>
      <w:r w:rsidRPr="002A0C01">
        <w:rPr>
          <w:noProof/>
        </w:rPr>
        <w:fldChar w:fldCharType="begin"/>
      </w:r>
      <w:r w:rsidRPr="002A0C01">
        <w:rPr>
          <w:noProof/>
        </w:rPr>
        <w:instrText xml:space="preserve"> PAGEREF _Toc24 \h </w:instrText>
      </w:r>
      <w:r w:rsidRPr="002A0C01">
        <w:rPr>
          <w:noProof/>
        </w:rPr>
      </w:r>
      <w:r w:rsidRPr="002A0C01">
        <w:rPr>
          <w:noProof/>
        </w:rPr>
        <w:fldChar w:fldCharType="separate"/>
      </w:r>
      <w:r w:rsidR="00C61A2E">
        <w:rPr>
          <w:noProof/>
        </w:rPr>
        <w:t>17</w:t>
      </w:r>
      <w:r w:rsidRPr="002A0C01">
        <w:rPr>
          <w:noProof/>
        </w:rPr>
        <w:fldChar w:fldCharType="end"/>
      </w:r>
    </w:p>
    <w:p w14:paraId="29542A1D" w14:textId="77777777" w:rsidR="001B7948" w:rsidRPr="002A0C01" w:rsidRDefault="00B2706C" w:rsidP="002A0C01">
      <w:pPr>
        <w:pStyle w:val="TOC1"/>
        <w:rPr>
          <w:noProof/>
        </w:rPr>
      </w:pPr>
      <w:r w:rsidRPr="002A0C01">
        <w:rPr>
          <w:noProof/>
        </w:rPr>
        <w:t>THE SITUATION IN KENYA: SECURITY CONCERNS v THE DUTY TO COOPERATE WITH THE ICC</w:t>
      </w:r>
      <w:r w:rsidRPr="002A0C01">
        <w:rPr>
          <w:noProof/>
        </w:rPr>
        <w:tab/>
      </w:r>
      <w:r w:rsidRPr="002A0C01">
        <w:rPr>
          <w:noProof/>
        </w:rPr>
        <w:fldChar w:fldCharType="begin"/>
      </w:r>
      <w:r w:rsidRPr="002A0C01">
        <w:rPr>
          <w:noProof/>
        </w:rPr>
        <w:instrText xml:space="preserve"> PAGEREF _Toc25 \h </w:instrText>
      </w:r>
      <w:r w:rsidRPr="002A0C01">
        <w:rPr>
          <w:noProof/>
        </w:rPr>
      </w:r>
      <w:r w:rsidRPr="002A0C01">
        <w:rPr>
          <w:noProof/>
        </w:rPr>
        <w:fldChar w:fldCharType="separate"/>
      </w:r>
      <w:r w:rsidR="00C61A2E">
        <w:rPr>
          <w:noProof/>
        </w:rPr>
        <w:t>18</w:t>
      </w:r>
      <w:r w:rsidRPr="002A0C01">
        <w:rPr>
          <w:noProof/>
        </w:rPr>
        <w:fldChar w:fldCharType="end"/>
      </w:r>
    </w:p>
    <w:p w14:paraId="1CE0677D" w14:textId="77777777" w:rsidR="001B7948" w:rsidRPr="002A0C01" w:rsidRDefault="00B2706C" w:rsidP="002A0C01">
      <w:pPr>
        <w:pStyle w:val="TOC2"/>
        <w:spacing w:line="360" w:lineRule="auto"/>
        <w:rPr>
          <w:noProof/>
        </w:rPr>
      </w:pPr>
      <w:r w:rsidRPr="002A0C01">
        <w:rPr>
          <w:noProof/>
        </w:rPr>
        <w:t>1.0 INTRODUCTION</w:t>
      </w:r>
      <w:r w:rsidRPr="002A0C01">
        <w:rPr>
          <w:noProof/>
        </w:rPr>
        <w:tab/>
      </w:r>
      <w:r w:rsidRPr="002A0C01">
        <w:rPr>
          <w:noProof/>
        </w:rPr>
        <w:fldChar w:fldCharType="begin"/>
      </w:r>
      <w:r w:rsidRPr="002A0C01">
        <w:rPr>
          <w:noProof/>
        </w:rPr>
        <w:instrText xml:space="preserve"> PAGEREF _Toc26 \h </w:instrText>
      </w:r>
      <w:r w:rsidRPr="002A0C01">
        <w:rPr>
          <w:noProof/>
        </w:rPr>
      </w:r>
      <w:r w:rsidRPr="002A0C01">
        <w:rPr>
          <w:noProof/>
        </w:rPr>
        <w:fldChar w:fldCharType="separate"/>
      </w:r>
      <w:r w:rsidR="00C61A2E">
        <w:rPr>
          <w:noProof/>
        </w:rPr>
        <w:t>18</w:t>
      </w:r>
      <w:r w:rsidRPr="002A0C01">
        <w:rPr>
          <w:noProof/>
        </w:rPr>
        <w:fldChar w:fldCharType="end"/>
      </w:r>
    </w:p>
    <w:p w14:paraId="67EEEECA" w14:textId="77777777" w:rsidR="001B7948" w:rsidRPr="002A0C01" w:rsidRDefault="00B2706C" w:rsidP="002A0C01">
      <w:pPr>
        <w:pStyle w:val="TOC2"/>
        <w:spacing w:line="360" w:lineRule="auto"/>
        <w:rPr>
          <w:noProof/>
        </w:rPr>
      </w:pPr>
      <w:r w:rsidRPr="002A0C01">
        <w:rPr>
          <w:noProof/>
        </w:rPr>
        <w:t>2.0 SUMMARY OF THE SITUATION IN KENYA</w:t>
      </w:r>
      <w:r w:rsidRPr="002A0C01">
        <w:rPr>
          <w:noProof/>
        </w:rPr>
        <w:tab/>
      </w:r>
      <w:r w:rsidRPr="002A0C01">
        <w:rPr>
          <w:noProof/>
        </w:rPr>
        <w:fldChar w:fldCharType="begin"/>
      </w:r>
      <w:r w:rsidRPr="002A0C01">
        <w:rPr>
          <w:noProof/>
        </w:rPr>
        <w:instrText xml:space="preserve"> PAGEREF _Toc27 \h </w:instrText>
      </w:r>
      <w:r w:rsidRPr="002A0C01">
        <w:rPr>
          <w:noProof/>
        </w:rPr>
      </w:r>
      <w:r w:rsidRPr="002A0C01">
        <w:rPr>
          <w:noProof/>
        </w:rPr>
        <w:fldChar w:fldCharType="separate"/>
      </w:r>
      <w:r w:rsidR="00C61A2E">
        <w:rPr>
          <w:noProof/>
        </w:rPr>
        <w:t>19</w:t>
      </w:r>
      <w:r w:rsidRPr="002A0C01">
        <w:rPr>
          <w:noProof/>
        </w:rPr>
        <w:fldChar w:fldCharType="end"/>
      </w:r>
    </w:p>
    <w:p w14:paraId="544BA70E" w14:textId="77777777" w:rsidR="001B7948" w:rsidRPr="002A0C01" w:rsidRDefault="00B2706C" w:rsidP="002A0C01">
      <w:pPr>
        <w:pStyle w:val="TOC3"/>
        <w:spacing w:line="360" w:lineRule="auto"/>
        <w:rPr>
          <w:noProof/>
        </w:rPr>
      </w:pPr>
      <w:r w:rsidRPr="002A0C01">
        <w:rPr>
          <w:noProof/>
        </w:rPr>
        <w:t>2.1 A Background of Bad Governance &amp; Impunity</w:t>
      </w:r>
      <w:r w:rsidRPr="002A0C01">
        <w:rPr>
          <w:noProof/>
        </w:rPr>
        <w:tab/>
      </w:r>
      <w:r w:rsidRPr="002A0C01">
        <w:rPr>
          <w:noProof/>
        </w:rPr>
        <w:fldChar w:fldCharType="begin"/>
      </w:r>
      <w:r w:rsidRPr="002A0C01">
        <w:rPr>
          <w:noProof/>
        </w:rPr>
        <w:instrText xml:space="preserve"> PAGEREF _Toc28 \h </w:instrText>
      </w:r>
      <w:r w:rsidRPr="002A0C01">
        <w:rPr>
          <w:noProof/>
        </w:rPr>
      </w:r>
      <w:r w:rsidRPr="002A0C01">
        <w:rPr>
          <w:noProof/>
        </w:rPr>
        <w:fldChar w:fldCharType="separate"/>
      </w:r>
      <w:r w:rsidR="00C61A2E">
        <w:rPr>
          <w:noProof/>
        </w:rPr>
        <w:t>19</w:t>
      </w:r>
      <w:r w:rsidRPr="002A0C01">
        <w:rPr>
          <w:noProof/>
        </w:rPr>
        <w:fldChar w:fldCharType="end"/>
      </w:r>
    </w:p>
    <w:p w14:paraId="75549E99" w14:textId="77777777" w:rsidR="001B7948" w:rsidRPr="002A0C01" w:rsidRDefault="00B2706C" w:rsidP="002A0C01">
      <w:pPr>
        <w:pStyle w:val="TOC3"/>
        <w:spacing w:line="360" w:lineRule="auto"/>
        <w:rPr>
          <w:noProof/>
        </w:rPr>
      </w:pPr>
      <w:r w:rsidRPr="002A0C01">
        <w:rPr>
          <w:noProof/>
        </w:rPr>
        <w:t>2.2 Investigation and Prosecution at the ICC</w:t>
      </w:r>
      <w:r w:rsidRPr="002A0C01">
        <w:rPr>
          <w:noProof/>
        </w:rPr>
        <w:tab/>
      </w:r>
      <w:r w:rsidRPr="002A0C01">
        <w:rPr>
          <w:noProof/>
        </w:rPr>
        <w:fldChar w:fldCharType="begin"/>
      </w:r>
      <w:r w:rsidRPr="002A0C01">
        <w:rPr>
          <w:noProof/>
        </w:rPr>
        <w:instrText xml:space="preserve"> PAGEREF _Toc29 \h </w:instrText>
      </w:r>
      <w:r w:rsidRPr="002A0C01">
        <w:rPr>
          <w:noProof/>
        </w:rPr>
      </w:r>
      <w:r w:rsidRPr="002A0C01">
        <w:rPr>
          <w:noProof/>
        </w:rPr>
        <w:fldChar w:fldCharType="separate"/>
      </w:r>
      <w:r w:rsidR="00C61A2E">
        <w:rPr>
          <w:noProof/>
        </w:rPr>
        <w:t>20</w:t>
      </w:r>
      <w:r w:rsidRPr="002A0C01">
        <w:rPr>
          <w:noProof/>
        </w:rPr>
        <w:fldChar w:fldCharType="end"/>
      </w:r>
    </w:p>
    <w:p w14:paraId="4A553D9B" w14:textId="77777777" w:rsidR="001B7948" w:rsidRPr="002A0C01" w:rsidRDefault="00B2706C" w:rsidP="002A0C01">
      <w:pPr>
        <w:pStyle w:val="TOC4"/>
        <w:spacing w:line="360" w:lineRule="auto"/>
        <w:jc w:val="both"/>
        <w:rPr>
          <w:noProof/>
        </w:rPr>
      </w:pPr>
      <w:r w:rsidRPr="002A0C01">
        <w:rPr>
          <w:noProof/>
        </w:rPr>
        <w:t>2.2.1 The Prosecutor v William Samoei Ruto, Henry Kiprono Kosgey and Joshua Arap Sang</w:t>
      </w:r>
      <w:r w:rsidRPr="002A0C01">
        <w:rPr>
          <w:noProof/>
        </w:rPr>
        <w:tab/>
      </w:r>
      <w:r w:rsidRPr="002A0C01">
        <w:rPr>
          <w:noProof/>
        </w:rPr>
        <w:fldChar w:fldCharType="begin"/>
      </w:r>
      <w:r w:rsidRPr="002A0C01">
        <w:rPr>
          <w:noProof/>
        </w:rPr>
        <w:instrText xml:space="preserve"> PAGEREF _Toc30 \h </w:instrText>
      </w:r>
      <w:r w:rsidRPr="002A0C01">
        <w:rPr>
          <w:noProof/>
        </w:rPr>
      </w:r>
      <w:r w:rsidRPr="002A0C01">
        <w:rPr>
          <w:noProof/>
        </w:rPr>
        <w:fldChar w:fldCharType="separate"/>
      </w:r>
      <w:r w:rsidR="00C61A2E">
        <w:rPr>
          <w:noProof/>
        </w:rPr>
        <w:t>22</w:t>
      </w:r>
      <w:r w:rsidRPr="002A0C01">
        <w:rPr>
          <w:noProof/>
        </w:rPr>
        <w:fldChar w:fldCharType="end"/>
      </w:r>
    </w:p>
    <w:p w14:paraId="43293E0C" w14:textId="77777777" w:rsidR="001B7948" w:rsidRPr="002A0C01" w:rsidRDefault="00B2706C" w:rsidP="002A0C01">
      <w:pPr>
        <w:pStyle w:val="TOC4"/>
        <w:spacing w:line="360" w:lineRule="auto"/>
        <w:jc w:val="both"/>
        <w:rPr>
          <w:noProof/>
        </w:rPr>
      </w:pPr>
      <w:r w:rsidRPr="002A0C01">
        <w:rPr>
          <w:noProof/>
        </w:rPr>
        <w:t>2.2.2 The Prosecutor v. Francis Kirimi Muthaura, Uhuru Muigai Kenyatta and Mohammed Hussein Ali</w:t>
      </w:r>
      <w:r w:rsidRPr="002A0C01">
        <w:rPr>
          <w:noProof/>
        </w:rPr>
        <w:tab/>
      </w:r>
      <w:r w:rsidRPr="002A0C01">
        <w:rPr>
          <w:noProof/>
        </w:rPr>
        <w:fldChar w:fldCharType="begin"/>
      </w:r>
      <w:r w:rsidRPr="002A0C01">
        <w:rPr>
          <w:noProof/>
        </w:rPr>
        <w:instrText xml:space="preserve"> PAGEREF _Toc31 \h </w:instrText>
      </w:r>
      <w:r w:rsidRPr="002A0C01">
        <w:rPr>
          <w:noProof/>
        </w:rPr>
      </w:r>
      <w:r w:rsidRPr="002A0C01">
        <w:rPr>
          <w:noProof/>
        </w:rPr>
        <w:fldChar w:fldCharType="separate"/>
      </w:r>
      <w:r w:rsidR="00C61A2E">
        <w:rPr>
          <w:noProof/>
        </w:rPr>
        <w:t>23</w:t>
      </w:r>
      <w:r w:rsidRPr="002A0C01">
        <w:rPr>
          <w:noProof/>
        </w:rPr>
        <w:fldChar w:fldCharType="end"/>
      </w:r>
    </w:p>
    <w:p w14:paraId="203E2AED" w14:textId="77777777" w:rsidR="001B7948" w:rsidRPr="002A0C01" w:rsidRDefault="00B2706C" w:rsidP="002A0C01">
      <w:pPr>
        <w:pStyle w:val="TOC2"/>
        <w:spacing w:line="360" w:lineRule="auto"/>
        <w:rPr>
          <w:noProof/>
        </w:rPr>
      </w:pPr>
      <w:r w:rsidRPr="002A0C01">
        <w:rPr>
          <w:noProof/>
        </w:rPr>
        <w:t>3.0 THE RATIONALE BEHIND KENYA’S FAILURE TO COOPERATE WITH THE ICC</w:t>
      </w:r>
      <w:r w:rsidRPr="002A0C01">
        <w:rPr>
          <w:noProof/>
        </w:rPr>
        <w:tab/>
      </w:r>
      <w:r w:rsidRPr="002A0C01">
        <w:rPr>
          <w:noProof/>
        </w:rPr>
        <w:fldChar w:fldCharType="begin"/>
      </w:r>
      <w:r w:rsidRPr="002A0C01">
        <w:rPr>
          <w:noProof/>
        </w:rPr>
        <w:instrText xml:space="preserve"> PAGEREF _Toc32 \h </w:instrText>
      </w:r>
      <w:r w:rsidRPr="002A0C01">
        <w:rPr>
          <w:noProof/>
        </w:rPr>
      </w:r>
      <w:r w:rsidRPr="002A0C01">
        <w:rPr>
          <w:noProof/>
        </w:rPr>
        <w:fldChar w:fldCharType="separate"/>
      </w:r>
      <w:r w:rsidR="00C61A2E">
        <w:rPr>
          <w:noProof/>
        </w:rPr>
        <w:t>24</w:t>
      </w:r>
      <w:r w:rsidRPr="002A0C01">
        <w:rPr>
          <w:noProof/>
        </w:rPr>
        <w:fldChar w:fldCharType="end"/>
      </w:r>
    </w:p>
    <w:p w14:paraId="0C019467" w14:textId="77777777" w:rsidR="001B7948" w:rsidRPr="002A0C01" w:rsidRDefault="00B2706C" w:rsidP="002A0C01">
      <w:pPr>
        <w:pStyle w:val="TOC2"/>
        <w:spacing w:line="360" w:lineRule="auto"/>
        <w:rPr>
          <w:noProof/>
        </w:rPr>
      </w:pPr>
      <w:r w:rsidRPr="002A0C01">
        <w:rPr>
          <w:noProof/>
        </w:rPr>
        <w:t>4.0 CONCLUSION</w:t>
      </w:r>
      <w:r w:rsidRPr="002A0C01">
        <w:rPr>
          <w:noProof/>
        </w:rPr>
        <w:tab/>
      </w:r>
      <w:r w:rsidRPr="002A0C01">
        <w:rPr>
          <w:noProof/>
        </w:rPr>
        <w:fldChar w:fldCharType="begin"/>
      </w:r>
      <w:r w:rsidRPr="002A0C01">
        <w:rPr>
          <w:noProof/>
        </w:rPr>
        <w:instrText xml:space="preserve"> PAGEREF _Toc33 \h </w:instrText>
      </w:r>
      <w:r w:rsidRPr="002A0C01">
        <w:rPr>
          <w:noProof/>
        </w:rPr>
      </w:r>
      <w:r w:rsidRPr="002A0C01">
        <w:rPr>
          <w:noProof/>
        </w:rPr>
        <w:fldChar w:fldCharType="separate"/>
      </w:r>
      <w:r w:rsidR="00C61A2E">
        <w:rPr>
          <w:noProof/>
        </w:rPr>
        <w:t>27</w:t>
      </w:r>
      <w:r w:rsidRPr="002A0C01">
        <w:rPr>
          <w:noProof/>
        </w:rPr>
        <w:fldChar w:fldCharType="end"/>
      </w:r>
    </w:p>
    <w:p w14:paraId="33A6DFC7" w14:textId="77777777" w:rsidR="001B7948" w:rsidRPr="002A0C01" w:rsidRDefault="00B2706C" w:rsidP="002A0C01">
      <w:pPr>
        <w:pStyle w:val="TOC1"/>
        <w:rPr>
          <w:noProof/>
        </w:rPr>
      </w:pPr>
      <w:r w:rsidRPr="002A0C01">
        <w:rPr>
          <w:noProof/>
        </w:rPr>
        <w:t>CHAPTER FOUR</w:t>
      </w:r>
      <w:r w:rsidRPr="002A0C01">
        <w:rPr>
          <w:noProof/>
        </w:rPr>
        <w:tab/>
      </w:r>
      <w:r w:rsidRPr="002A0C01">
        <w:rPr>
          <w:noProof/>
        </w:rPr>
        <w:fldChar w:fldCharType="begin"/>
      </w:r>
      <w:r w:rsidRPr="002A0C01">
        <w:rPr>
          <w:noProof/>
        </w:rPr>
        <w:instrText xml:space="preserve"> PAGEREF _Toc34 \h </w:instrText>
      </w:r>
      <w:r w:rsidRPr="002A0C01">
        <w:rPr>
          <w:noProof/>
        </w:rPr>
      </w:r>
      <w:r w:rsidRPr="002A0C01">
        <w:rPr>
          <w:noProof/>
        </w:rPr>
        <w:fldChar w:fldCharType="separate"/>
      </w:r>
      <w:r w:rsidR="00C61A2E">
        <w:rPr>
          <w:noProof/>
        </w:rPr>
        <w:t>28</w:t>
      </w:r>
      <w:r w:rsidRPr="002A0C01">
        <w:rPr>
          <w:noProof/>
        </w:rPr>
        <w:fldChar w:fldCharType="end"/>
      </w:r>
    </w:p>
    <w:p w14:paraId="23E39D27" w14:textId="77777777" w:rsidR="001B7948" w:rsidRPr="002A0C01" w:rsidRDefault="00B2706C" w:rsidP="002A0C01">
      <w:pPr>
        <w:pStyle w:val="TOC1"/>
        <w:rPr>
          <w:noProof/>
        </w:rPr>
      </w:pPr>
      <w:r w:rsidRPr="002A0C01">
        <w:rPr>
          <w:noProof/>
        </w:rPr>
        <w:t>THE SITUATION IN SUDAN: SECURITY CONCERNS v THE DUTY TO COOPERATE WITH THE ICC</w:t>
      </w:r>
      <w:r w:rsidRPr="002A0C01">
        <w:rPr>
          <w:noProof/>
        </w:rPr>
        <w:tab/>
      </w:r>
      <w:r w:rsidRPr="002A0C01">
        <w:rPr>
          <w:noProof/>
        </w:rPr>
        <w:fldChar w:fldCharType="begin"/>
      </w:r>
      <w:r w:rsidRPr="002A0C01">
        <w:rPr>
          <w:noProof/>
        </w:rPr>
        <w:instrText xml:space="preserve"> PAGEREF _Toc35 \h </w:instrText>
      </w:r>
      <w:r w:rsidRPr="002A0C01">
        <w:rPr>
          <w:noProof/>
        </w:rPr>
      </w:r>
      <w:r w:rsidRPr="002A0C01">
        <w:rPr>
          <w:noProof/>
        </w:rPr>
        <w:fldChar w:fldCharType="separate"/>
      </w:r>
      <w:r w:rsidR="00C61A2E">
        <w:rPr>
          <w:noProof/>
        </w:rPr>
        <w:t>28</w:t>
      </w:r>
      <w:r w:rsidRPr="002A0C01">
        <w:rPr>
          <w:noProof/>
        </w:rPr>
        <w:fldChar w:fldCharType="end"/>
      </w:r>
    </w:p>
    <w:p w14:paraId="6E109C0F" w14:textId="77777777" w:rsidR="001B7948" w:rsidRPr="002A0C01" w:rsidRDefault="00B2706C" w:rsidP="002A0C01">
      <w:pPr>
        <w:pStyle w:val="TOC2"/>
        <w:spacing w:line="360" w:lineRule="auto"/>
        <w:rPr>
          <w:noProof/>
        </w:rPr>
      </w:pPr>
      <w:r w:rsidRPr="002A0C01">
        <w:rPr>
          <w:noProof/>
        </w:rPr>
        <w:t>1.0 INTRODUCTION</w:t>
      </w:r>
      <w:r w:rsidRPr="002A0C01">
        <w:rPr>
          <w:noProof/>
        </w:rPr>
        <w:tab/>
      </w:r>
      <w:r w:rsidRPr="002A0C01">
        <w:rPr>
          <w:noProof/>
        </w:rPr>
        <w:fldChar w:fldCharType="begin"/>
      </w:r>
      <w:r w:rsidRPr="002A0C01">
        <w:rPr>
          <w:noProof/>
        </w:rPr>
        <w:instrText xml:space="preserve"> PAGEREF _Toc36 \h </w:instrText>
      </w:r>
      <w:r w:rsidRPr="002A0C01">
        <w:rPr>
          <w:noProof/>
        </w:rPr>
      </w:r>
      <w:r w:rsidRPr="002A0C01">
        <w:rPr>
          <w:noProof/>
        </w:rPr>
        <w:fldChar w:fldCharType="separate"/>
      </w:r>
      <w:r w:rsidR="00C61A2E">
        <w:rPr>
          <w:noProof/>
        </w:rPr>
        <w:t>28</w:t>
      </w:r>
      <w:r w:rsidRPr="002A0C01">
        <w:rPr>
          <w:noProof/>
        </w:rPr>
        <w:fldChar w:fldCharType="end"/>
      </w:r>
    </w:p>
    <w:p w14:paraId="0E3FE2D0" w14:textId="77777777" w:rsidR="001B7948" w:rsidRPr="002A0C01" w:rsidRDefault="00B2706C" w:rsidP="002A0C01">
      <w:pPr>
        <w:pStyle w:val="TOC2"/>
        <w:spacing w:line="360" w:lineRule="auto"/>
        <w:rPr>
          <w:noProof/>
        </w:rPr>
      </w:pPr>
      <w:r w:rsidRPr="002A0C01">
        <w:rPr>
          <w:noProof/>
        </w:rPr>
        <w:t>2.0 SUMMARY OF THE SITUATION IN SUDAN</w:t>
      </w:r>
      <w:r w:rsidRPr="002A0C01">
        <w:rPr>
          <w:noProof/>
        </w:rPr>
        <w:tab/>
      </w:r>
      <w:r w:rsidRPr="002A0C01">
        <w:rPr>
          <w:noProof/>
        </w:rPr>
        <w:fldChar w:fldCharType="begin"/>
      </w:r>
      <w:r w:rsidRPr="002A0C01">
        <w:rPr>
          <w:noProof/>
        </w:rPr>
        <w:instrText xml:space="preserve"> PAGEREF _Toc37 \h </w:instrText>
      </w:r>
      <w:r w:rsidRPr="002A0C01">
        <w:rPr>
          <w:noProof/>
        </w:rPr>
      </w:r>
      <w:r w:rsidRPr="002A0C01">
        <w:rPr>
          <w:noProof/>
        </w:rPr>
        <w:fldChar w:fldCharType="separate"/>
      </w:r>
      <w:r w:rsidR="00C61A2E">
        <w:rPr>
          <w:noProof/>
        </w:rPr>
        <w:t>28</w:t>
      </w:r>
      <w:r w:rsidRPr="002A0C01">
        <w:rPr>
          <w:noProof/>
        </w:rPr>
        <w:fldChar w:fldCharType="end"/>
      </w:r>
    </w:p>
    <w:p w14:paraId="43ED06AD" w14:textId="77777777" w:rsidR="001B7948" w:rsidRPr="002A0C01" w:rsidRDefault="00B2706C" w:rsidP="002A0C01">
      <w:pPr>
        <w:pStyle w:val="TOC3"/>
        <w:spacing w:line="360" w:lineRule="auto"/>
        <w:rPr>
          <w:noProof/>
        </w:rPr>
      </w:pPr>
      <w:r w:rsidRPr="002A0C01">
        <w:rPr>
          <w:noProof/>
        </w:rPr>
        <w:t>2.1 A Background of Bad Governance &amp; Impunity</w:t>
      </w:r>
      <w:r w:rsidRPr="002A0C01">
        <w:rPr>
          <w:noProof/>
        </w:rPr>
        <w:tab/>
      </w:r>
      <w:r w:rsidRPr="002A0C01">
        <w:rPr>
          <w:noProof/>
        </w:rPr>
        <w:fldChar w:fldCharType="begin"/>
      </w:r>
      <w:r w:rsidRPr="002A0C01">
        <w:rPr>
          <w:noProof/>
        </w:rPr>
        <w:instrText xml:space="preserve"> PAGEREF _Toc38 \h </w:instrText>
      </w:r>
      <w:r w:rsidRPr="002A0C01">
        <w:rPr>
          <w:noProof/>
        </w:rPr>
      </w:r>
      <w:r w:rsidRPr="002A0C01">
        <w:rPr>
          <w:noProof/>
        </w:rPr>
        <w:fldChar w:fldCharType="separate"/>
      </w:r>
      <w:r w:rsidR="00C61A2E">
        <w:rPr>
          <w:noProof/>
        </w:rPr>
        <w:t>28</w:t>
      </w:r>
      <w:r w:rsidRPr="002A0C01">
        <w:rPr>
          <w:noProof/>
        </w:rPr>
        <w:fldChar w:fldCharType="end"/>
      </w:r>
    </w:p>
    <w:p w14:paraId="7725EEC4" w14:textId="77777777" w:rsidR="001B7948" w:rsidRPr="002A0C01" w:rsidRDefault="00B2706C" w:rsidP="002A0C01">
      <w:pPr>
        <w:pStyle w:val="TOC3"/>
        <w:spacing w:line="360" w:lineRule="auto"/>
        <w:rPr>
          <w:noProof/>
        </w:rPr>
      </w:pPr>
      <w:r w:rsidRPr="002A0C01">
        <w:rPr>
          <w:noProof/>
        </w:rPr>
        <w:t>2.2 Investigation &amp; Prosecution at the ICC</w:t>
      </w:r>
      <w:r w:rsidRPr="002A0C01">
        <w:rPr>
          <w:noProof/>
        </w:rPr>
        <w:tab/>
      </w:r>
      <w:r w:rsidRPr="002A0C01">
        <w:rPr>
          <w:noProof/>
        </w:rPr>
        <w:fldChar w:fldCharType="begin"/>
      </w:r>
      <w:r w:rsidRPr="002A0C01">
        <w:rPr>
          <w:noProof/>
        </w:rPr>
        <w:instrText xml:space="preserve"> PAGEREF _Toc39 \h </w:instrText>
      </w:r>
      <w:r w:rsidRPr="002A0C01">
        <w:rPr>
          <w:noProof/>
        </w:rPr>
      </w:r>
      <w:r w:rsidRPr="002A0C01">
        <w:rPr>
          <w:noProof/>
        </w:rPr>
        <w:fldChar w:fldCharType="separate"/>
      </w:r>
      <w:r w:rsidR="00C61A2E">
        <w:rPr>
          <w:noProof/>
        </w:rPr>
        <w:t>30</w:t>
      </w:r>
      <w:r w:rsidRPr="002A0C01">
        <w:rPr>
          <w:noProof/>
        </w:rPr>
        <w:fldChar w:fldCharType="end"/>
      </w:r>
    </w:p>
    <w:p w14:paraId="0545BFD4" w14:textId="77777777" w:rsidR="001B7948" w:rsidRPr="002A0C01" w:rsidRDefault="00B2706C" w:rsidP="002A0C01">
      <w:pPr>
        <w:pStyle w:val="TOC4"/>
        <w:spacing w:line="360" w:lineRule="auto"/>
        <w:jc w:val="both"/>
        <w:rPr>
          <w:noProof/>
        </w:rPr>
      </w:pPr>
      <w:r w:rsidRPr="002A0C01">
        <w:rPr>
          <w:noProof/>
        </w:rPr>
        <w:t>2.2.1 The Prosecutor v Omar Hassan Ahmad Al Bashir</w:t>
      </w:r>
      <w:r w:rsidRPr="002A0C01">
        <w:rPr>
          <w:noProof/>
        </w:rPr>
        <w:tab/>
      </w:r>
      <w:r w:rsidRPr="002A0C01">
        <w:rPr>
          <w:noProof/>
        </w:rPr>
        <w:fldChar w:fldCharType="begin"/>
      </w:r>
      <w:r w:rsidRPr="002A0C01">
        <w:rPr>
          <w:noProof/>
        </w:rPr>
        <w:instrText xml:space="preserve"> PAGEREF _Toc40 \h </w:instrText>
      </w:r>
      <w:r w:rsidRPr="002A0C01">
        <w:rPr>
          <w:noProof/>
        </w:rPr>
      </w:r>
      <w:r w:rsidRPr="002A0C01">
        <w:rPr>
          <w:noProof/>
        </w:rPr>
        <w:fldChar w:fldCharType="separate"/>
      </w:r>
      <w:r w:rsidR="00C61A2E">
        <w:rPr>
          <w:noProof/>
        </w:rPr>
        <w:t>31</w:t>
      </w:r>
      <w:r w:rsidRPr="002A0C01">
        <w:rPr>
          <w:noProof/>
        </w:rPr>
        <w:fldChar w:fldCharType="end"/>
      </w:r>
    </w:p>
    <w:p w14:paraId="5FDCEDC6" w14:textId="77777777" w:rsidR="001B7948" w:rsidRPr="002A0C01" w:rsidRDefault="00B2706C" w:rsidP="002A0C01">
      <w:pPr>
        <w:pStyle w:val="TOC2"/>
        <w:spacing w:line="360" w:lineRule="auto"/>
        <w:rPr>
          <w:noProof/>
        </w:rPr>
      </w:pPr>
      <w:r w:rsidRPr="002A0C01">
        <w:rPr>
          <w:noProof/>
        </w:rPr>
        <w:t>3.0 THE RATIONALE BEHIND SUDAN’S FAILURE TO COOPERATE WITH THE ICC</w:t>
      </w:r>
      <w:r w:rsidRPr="002A0C01">
        <w:rPr>
          <w:noProof/>
        </w:rPr>
        <w:tab/>
      </w:r>
      <w:r w:rsidRPr="002A0C01">
        <w:rPr>
          <w:noProof/>
        </w:rPr>
        <w:fldChar w:fldCharType="begin"/>
      </w:r>
      <w:r w:rsidRPr="002A0C01">
        <w:rPr>
          <w:noProof/>
        </w:rPr>
        <w:instrText xml:space="preserve"> PAGEREF _Toc41 \h </w:instrText>
      </w:r>
      <w:r w:rsidRPr="002A0C01">
        <w:rPr>
          <w:noProof/>
        </w:rPr>
      </w:r>
      <w:r w:rsidRPr="002A0C01">
        <w:rPr>
          <w:noProof/>
        </w:rPr>
        <w:fldChar w:fldCharType="separate"/>
      </w:r>
      <w:r w:rsidR="00C61A2E">
        <w:rPr>
          <w:noProof/>
        </w:rPr>
        <w:t>32</w:t>
      </w:r>
      <w:r w:rsidRPr="002A0C01">
        <w:rPr>
          <w:noProof/>
        </w:rPr>
        <w:fldChar w:fldCharType="end"/>
      </w:r>
    </w:p>
    <w:p w14:paraId="399AA2E4" w14:textId="77777777" w:rsidR="001B7948" w:rsidRPr="002A0C01" w:rsidRDefault="00B2706C" w:rsidP="002A0C01">
      <w:pPr>
        <w:pStyle w:val="TOC2"/>
        <w:spacing w:line="360" w:lineRule="auto"/>
        <w:rPr>
          <w:noProof/>
        </w:rPr>
      </w:pPr>
      <w:r w:rsidRPr="002A0C01">
        <w:rPr>
          <w:noProof/>
        </w:rPr>
        <w:t>4.0 CONCLUSION</w:t>
      </w:r>
      <w:r w:rsidRPr="002A0C01">
        <w:rPr>
          <w:noProof/>
        </w:rPr>
        <w:tab/>
      </w:r>
      <w:r w:rsidRPr="002A0C01">
        <w:rPr>
          <w:noProof/>
        </w:rPr>
        <w:fldChar w:fldCharType="begin"/>
      </w:r>
      <w:r w:rsidRPr="002A0C01">
        <w:rPr>
          <w:noProof/>
        </w:rPr>
        <w:instrText xml:space="preserve"> PAGEREF _Toc42 \h </w:instrText>
      </w:r>
      <w:r w:rsidRPr="002A0C01">
        <w:rPr>
          <w:noProof/>
        </w:rPr>
      </w:r>
      <w:r w:rsidRPr="002A0C01">
        <w:rPr>
          <w:noProof/>
        </w:rPr>
        <w:fldChar w:fldCharType="separate"/>
      </w:r>
      <w:r w:rsidR="00C61A2E">
        <w:rPr>
          <w:noProof/>
        </w:rPr>
        <w:t>35</w:t>
      </w:r>
      <w:r w:rsidRPr="002A0C01">
        <w:rPr>
          <w:noProof/>
        </w:rPr>
        <w:fldChar w:fldCharType="end"/>
      </w:r>
    </w:p>
    <w:p w14:paraId="7C67D61F" w14:textId="77777777" w:rsidR="001B7948" w:rsidRPr="002A0C01" w:rsidRDefault="00B2706C" w:rsidP="002A0C01">
      <w:pPr>
        <w:pStyle w:val="TOC1"/>
        <w:rPr>
          <w:noProof/>
        </w:rPr>
      </w:pPr>
      <w:r w:rsidRPr="002A0C01">
        <w:rPr>
          <w:noProof/>
        </w:rPr>
        <w:t>CHAPTER FIVE</w:t>
      </w:r>
      <w:r w:rsidRPr="002A0C01">
        <w:rPr>
          <w:noProof/>
        </w:rPr>
        <w:tab/>
      </w:r>
      <w:r w:rsidRPr="002A0C01">
        <w:rPr>
          <w:noProof/>
        </w:rPr>
        <w:fldChar w:fldCharType="begin"/>
      </w:r>
      <w:r w:rsidRPr="002A0C01">
        <w:rPr>
          <w:noProof/>
        </w:rPr>
        <w:instrText xml:space="preserve"> PAGEREF _Toc43 \h </w:instrText>
      </w:r>
      <w:r w:rsidRPr="002A0C01">
        <w:rPr>
          <w:noProof/>
        </w:rPr>
      </w:r>
      <w:r w:rsidRPr="002A0C01">
        <w:rPr>
          <w:noProof/>
        </w:rPr>
        <w:fldChar w:fldCharType="separate"/>
      </w:r>
      <w:r w:rsidR="00C61A2E">
        <w:rPr>
          <w:noProof/>
        </w:rPr>
        <w:t>36</w:t>
      </w:r>
      <w:r w:rsidRPr="002A0C01">
        <w:rPr>
          <w:noProof/>
        </w:rPr>
        <w:fldChar w:fldCharType="end"/>
      </w:r>
    </w:p>
    <w:p w14:paraId="368E6689" w14:textId="77777777" w:rsidR="001B7948" w:rsidRPr="002A0C01" w:rsidRDefault="00B2706C" w:rsidP="002A0C01">
      <w:pPr>
        <w:pStyle w:val="TOC1"/>
        <w:rPr>
          <w:noProof/>
        </w:rPr>
      </w:pPr>
      <w:r w:rsidRPr="002A0C01">
        <w:rPr>
          <w:noProof/>
        </w:rPr>
        <w:t>CONCLUSION AND RECOMMENDATIONS</w:t>
      </w:r>
      <w:r w:rsidRPr="002A0C01">
        <w:rPr>
          <w:noProof/>
        </w:rPr>
        <w:tab/>
      </w:r>
      <w:r w:rsidRPr="002A0C01">
        <w:rPr>
          <w:noProof/>
        </w:rPr>
        <w:fldChar w:fldCharType="begin"/>
      </w:r>
      <w:r w:rsidRPr="002A0C01">
        <w:rPr>
          <w:noProof/>
        </w:rPr>
        <w:instrText xml:space="preserve"> PAGEREF _Toc44 \h </w:instrText>
      </w:r>
      <w:r w:rsidRPr="002A0C01">
        <w:rPr>
          <w:noProof/>
        </w:rPr>
      </w:r>
      <w:r w:rsidRPr="002A0C01">
        <w:rPr>
          <w:noProof/>
        </w:rPr>
        <w:fldChar w:fldCharType="separate"/>
      </w:r>
      <w:r w:rsidR="00C61A2E">
        <w:rPr>
          <w:noProof/>
        </w:rPr>
        <w:t>36</w:t>
      </w:r>
      <w:r w:rsidRPr="002A0C01">
        <w:rPr>
          <w:noProof/>
        </w:rPr>
        <w:fldChar w:fldCharType="end"/>
      </w:r>
    </w:p>
    <w:p w14:paraId="1000789A" w14:textId="77777777" w:rsidR="001B7948" w:rsidRPr="002A0C01" w:rsidRDefault="00B2706C" w:rsidP="002A0C01">
      <w:pPr>
        <w:pStyle w:val="TOC2"/>
        <w:spacing w:line="360" w:lineRule="auto"/>
        <w:rPr>
          <w:noProof/>
        </w:rPr>
      </w:pPr>
      <w:r w:rsidRPr="002A0C01">
        <w:rPr>
          <w:noProof/>
        </w:rPr>
        <w:lastRenderedPageBreak/>
        <w:t>1.0 INTRODUCTION</w:t>
      </w:r>
      <w:r w:rsidRPr="002A0C01">
        <w:rPr>
          <w:noProof/>
        </w:rPr>
        <w:tab/>
      </w:r>
      <w:r w:rsidRPr="002A0C01">
        <w:rPr>
          <w:noProof/>
        </w:rPr>
        <w:fldChar w:fldCharType="begin"/>
      </w:r>
      <w:r w:rsidRPr="002A0C01">
        <w:rPr>
          <w:noProof/>
        </w:rPr>
        <w:instrText xml:space="preserve"> PAGEREF _Toc45 \h </w:instrText>
      </w:r>
      <w:r w:rsidRPr="002A0C01">
        <w:rPr>
          <w:noProof/>
        </w:rPr>
      </w:r>
      <w:r w:rsidRPr="002A0C01">
        <w:rPr>
          <w:noProof/>
        </w:rPr>
        <w:fldChar w:fldCharType="separate"/>
      </w:r>
      <w:r w:rsidR="00C61A2E">
        <w:rPr>
          <w:noProof/>
        </w:rPr>
        <w:t>36</w:t>
      </w:r>
      <w:r w:rsidRPr="002A0C01">
        <w:rPr>
          <w:noProof/>
        </w:rPr>
        <w:fldChar w:fldCharType="end"/>
      </w:r>
    </w:p>
    <w:p w14:paraId="7D1F75D2" w14:textId="77777777" w:rsidR="001B7948" w:rsidRPr="002A0C01" w:rsidRDefault="00B2706C" w:rsidP="002A0C01">
      <w:pPr>
        <w:pStyle w:val="TOC2"/>
        <w:spacing w:line="360" w:lineRule="auto"/>
        <w:rPr>
          <w:noProof/>
        </w:rPr>
      </w:pPr>
      <w:r w:rsidRPr="002A0C01">
        <w:rPr>
          <w:noProof/>
        </w:rPr>
        <w:t>2.0 CONCLUSION</w:t>
      </w:r>
      <w:r w:rsidRPr="002A0C01">
        <w:rPr>
          <w:noProof/>
        </w:rPr>
        <w:tab/>
      </w:r>
      <w:r w:rsidRPr="002A0C01">
        <w:rPr>
          <w:noProof/>
        </w:rPr>
        <w:fldChar w:fldCharType="begin"/>
      </w:r>
      <w:r w:rsidRPr="002A0C01">
        <w:rPr>
          <w:noProof/>
        </w:rPr>
        <w:instrText xml:space="preserve"> PAGEREF _Toc46 \h </w:instrText>
      </w:r>
      <w:r w:rsidRPr="002A0C01">
        <w:rPr>
          <w:noProof/>
        </w:rPr>
      </w:r>
      <w:r w:rsidRPr="002A0C01">
        <w:rPr>
          <w:noProof/>
        </w:rPr>
        <w:fldChar w:fldCharType="separate"/>
      </w:r>
      <w:r w:rsidR="00C61A2E">
        <w:rPr>
          <w:noProof/>
        </w:rPr>
        <w:t>36</w:t>
      </w:r>
      <w:r w:rsidRPr="002A0C01">
        <w:rPr>
          <w:noProof/>
        </w:rPr>
        <w:fldChar w:fldCharType="end"/>
      </w:r>
    </w:p>
    <w:p w14:paraId="3AF7FD3D" w14:textId="77777777" w:rsidR="001B7948" w:rsidRPr="002A0C01" w:rsidRDefault="00B2706C" w:rsidP="002A0C01">
      <w:pPr>
        <w:pStyle w:val="TOC2"/>
        <w:spacing w:line="360" w:lineRule="auto"/>
        <w:rPr>
          <w:noProof/>
        </w:rPr>
      </w:pPr>
      <w:r w:rsidRPr="002A0C01">
        <w:rPr>
          <w:noProof/>
        </w:rPr>
        <w:t>3.0 RECOMMENDATIONS</w:t>
      </w:r>
      <w:r w:rsidRPr="002A0C01">
        <w:rPr>
          <w:noProof/>
        </w:rPr>
        <w:tab/>
      </w:r>
      <w:r w:rsidRPr="002A0C01">
        <w:rPr>
          <w:noProof/>
        </w:rPr>
        <w:fldChar w:fldCharType="begin"/>
      </w:r>
      <w:r w:rsidRPr="002A0C01">
        <w:rPr>
          <w:noProof/>
        </w:rPr>
        <w:instrText xml:space="preserve"> PAGEREF _Toc47 \h </w:instrText>
      </w:r>
      <w:r w:rsidRPr="002A0C01">
        <w:rPr>
          <w:noProof/>
        </w:rPr>
      </w:r>
      <w:r w:rsidRPr="002A0C01">
        <w:rPr>
          <w:noProof/>
        </w:rPr>
        <w:fldChar w:fldCharType="separate"/>
      </w:r>
      <w:r w:rsidR="00C61A2E">
        <w:rPr>
          <w:noProof/>
        </w:rPr>
        <w:t>37</w:t>
      </w:r>
      <w:r w:rsidRPr="002A0C01">
        <w:rPr>
          <w:noProof/>
        </w:rPr>
        <w:fldChar w:fldCharType="end"/>
      </w:r>
    </w:p>
    <w:p w14:paraId="56BAE20E" w14:textId="77777777" w:rsidR="001B7948" w:rsidRPr="002A0C01" w:rsidRDefault="00B2706C" w:rsidP="002A0C01">
      <w:pPr>
        <w:pStyle w:val="TOC2"/>
        <w:spacing w:line="360" w:lineRule="auto"/>
        <w:ind w:left="0"/>
        <w:rPr>
          <w:noProof/>
        </w:rPr>
      </w:pPr>
      <w:r w:rsidRPr="002A0C01">
        <w:rPr>
          <w:noProof/>
        </w:rPr>
        <w:t>BIBLIOGRAPHY</w:t>
      </w:r>
      <w:r w:rsidRPr="002A0C01">
        <w:rPr>
          <w:noProof/>
        </w:rPr>
        <w:tab/>
      </w:r>
      <w:r w:rsidRPr="002A0C01">
        <w:rPr>
          <w:noProof/>
        </w:rPr>
        <w:fldChar w:fldCharType="begin"/>
      </w:r>
      <w:r w:rsidRPr="002A0C01">
        <w:rPr>
          <w:noProof/>
        </w:rPr>
        <w:instrText xml:space="preserve"> PAGEREF _Toc48 \h </w:instrText>
      </w:r>
      <w:r w:rsidRPr="002A0C01">
        <w:rPr>
          <w:noProof/>
        </w:rPr>
      </w:r>
      <w:r w:rsidRPr="002A0C01">
        <w:rPr>
          <w:noProof/>
        </w:rPr>
        <w:fldChar w:fldCharType="separate"/>
      </w:r>
      <w:r w:rsidR="00C61A2E">
        <w:rPr>
          <w:noProof/>
        </w:rPr>
        <w:t>39</w:t>
      </w:r>
      <w:r w:rsidRPr="002A0C01">
        <w:rPr>
          <w:noProof/>
        </w:rPr>
        <w:fldChar w:fldCharType="end"/>
      </w:r>
    </w:p>
    <w:p w14:paraId="5A7F0535" w14:textId="77777777" w:rsidR="001B7948" w:rsidRPr="002A0C01" w:rsidRDefault="00B2706C" w:rsidP="002A0C01">
      <w:pPr>
        <w:pStyle w:val="TOC3"/>
        <w:spacing w:line="360" w:lineRule="auto"/>
        <w:rPr>
          <w:noProof/>
        </w:rPr>
      </w:pPr>
      <w:r w:rsidRPr="002A0C01">
        <w:rPr>
          <w:noProof/>
        </w:rPr>
        <w:t>Books</w:t>
      </w:r>
      <w:r w:rsidRPr="002A0C01">
        <w:rPr>
          <w:noProof/>
        </w:rPr>
        <w:tab/>
        <w:t>…………………………………………………………………………………………….51</w:t>
      </w:r>
    </w:p>
    <w:p w14:paraId="55F79F17" w14:textId="77777777" w:rsidR="001B7948" w:rsidRPr="002A0C01" w:rsidRDefault="00B2706C" w:rsidP="002A0C01">
      <w:pPr>
        <w:pStyle w:val="TOC3"/>
        <w:spacing w:line="360" w:lineRule="auto"/>
        <w:rPr>
          <w:noProof/>
        </w:rPr>
      </w:pPr>
      <w:r w:rsidRPr="002A0C01">
        <w:rPr>
          <w:noProof/>
        </w:rPr>
        <w:t>Chapters in Books</w:t>
      </w:r>
      <w:r w:rsidRPr="002A0C01">
        <w:rPr>
          <w:noProof/>
        </w:rPr>
        <w:tab/>
      </w:r>
      <w:r w:rsidRPr="002A0C01">
        <w:rPr>
          <w:noProof/>
        </w:rPr>
        <w:fldChar w:fldCharType="begin"/>
      </w:r>
      <w:r w:rsidRPr="002A0C01">
        <w:rPr>
          <w:noProof/>
        </w:rPr>
        <w:instrText xml:space="preserve"> PAGEREF _Toc50 \h </w:instrText>
      </w:r>
      <w:r w:rsidRPr="002A0C01">
        <w:rPr>
          <w:noProof/>
        </w:rPr>
      </w:r>
      <w:r w:rsidRPr="002A0C01">
        <w:rPr>
          <w:noProof/>
        </w:rPr>
        <w:fldChar w:fldCharType="separate"/>
      </w:r>
      <w:r w:rsidR="00C61A2E">
        <w:rPr>
          <w:noProof/>
        </w:rPr>
        <w:t>40</w:t>
      </w:r>
      <w:r w:rsidRPr="002A0C01">
        <w:rPr>
          <w:noProof/>
        </w:rPr>
        <w:fldChar w:fldCharType="end"/>
      </w:r>
    </w:p>
    <w:p w14:paraId="179F1138" w14:textId="77777777" w:rsidR="001B7948" w:rsidRPr="002A0C01" w:rsidRDefault="00B2706C" w:rsidP="002A0C01">
      <w:pPr>
        <w:pStyle w:val="TOC3"/>
        <w:spacing w:line="360" w:lineRule="auto"/>
        <w:rPr>
          <w:noProof/>
        </w:rPr>
      </w:pPr>
      <w:r w:rsidRPr="002A0C01">
        <w:rPr>
          <w:noProof/>
        </w:rPr>
        <w:t>Journals</w:t>
      </w:r>
      <w:r w:rsidRPr="002A0C01">
        <w:rPr>
          <w:noProof/>
        </w:rPr>
        <w:tab/>
      </w:r>
      <w:r w:rsidRPr="002A0C01">
        <w:rPr>
          <w:noProof/>
        </w:rPr>
        <w:fldChar w:fldCharType="begin"/>
      </w:r>
      <w:r w:rsidRPr="002A0C01">
        <w:rPr>
          <w:noProof/>
        </w:rPr>
        <w:instrText xml:space="preserve"> PAGEREF _Toc51 \h </w:instrText>
      </w:r>
      <w:r w:rsidRPr="002A0C01">
        <w:rPr>
          <w:noProof/>
        </w:rPr>
      </w:r>
      <w:r w:rsidRPr="002A0C01">
        <w:rPr>
          <w:noProof/>
        </w:rPr>
        <w:fldChar w:fldCharType="separate"/>
      </w:r>
      <w:r w:rsidR="00C61A2E">
        <w:rPr>
          <w:noProof/>
        </w:rPr>
        <w:t>40</w:t>
      </w:r>
      <w:r w:rsidRPr="002A0C01">
        <w:rPr>
          <w:noProof/>
        </w:rPr>
        <w:fldChar w:fldCharType="end"/>
      </w:r>
    </w:p>
    <w:p w14:paraId="4C645F58" w14:textId="77777777" w:rsidR="001B7948" w:rsidRPr="002A0C01" w:rsidRDefault="00B2706C" w:rsidP="002A0C01">
      <w:pPr>
        <w:pStyle w:val="TOC3"/>
        <w:spacing w:line="360" w:lineRule="auto"/>
        <w:rPr>
          <w:noProof/>
        </w:rPr>
      </w:pPr>
      <w:r w:rsidRPr="002A0C01">
        <w:rPr>
          <w:noProof/>
        </w:rPr>
        <w:t>Working Papers</w:t>
      </w:r>
      <w:r w:rsidRPr="002A0C01">
        <w:rPr>
          <w:noProof/>
        </w:rPr>
        <w:tab/>
      </w:r>
      <w:r w:rsidRPr="002A0C01">
        <w:rPr>
          <w:noProof/>
        </w:rPr>
        <w:fldChar w:fldCharType="begin"/>
      </w:r>
      <w:r w:rsidRPr="002A0C01">
        <w:rPr>
          <w:noProof/>
        </w:rPr>
        <w:instrText xml:space="preserve"> PAGEREF _Toc52 \h </w:instrText>
      </w:r>
      <w:r w:rsidRPr="002A0C01">
        <w:rPr>
          <w:noProof/>
        </w:rPr>
      </w:r>
      <w:r w:rsidRPr="002A0C01">
        <w:rPr>
          <w:noProof/>
        </w:rPr>
        <w:fldChar w:fldCharType="separate"/>
      </w:r>
      <w:r w:rsidR="00C61A2E">
        <w:rPr>
          <w:noProof/>
        </w:rPr>
        <w:t>43</w:t>
      </w:r>
      <w:r w:rsidRPr="002A0C01">
        <w:rPr>
          <w:noProof/>
        </w:rPr>
        <w:fldChar w:fldCharType="end"/>
      </w:r>
    </w:p>
    <w:p w14:paraId="41AA902E" w14:textId="77777777" w:rsidR="001B7948" w:rsidRPr="002A0C01" w:rsidRDefault="00B2706C" w:rsidP="002A0C01">
      <w:pPr>
        <w:pStyle w:val="TOC3"/>
        <w:spacing w:line="360" w:lineRule="auto"/>
        <w:rPr>
          <w:noProof/>
        </w:rPr>
      </w:pPr>
      <w:r w:rsidRPr="002A0C01">
        <w:rPr>
          <w:noProof/>
        </w:rPr>
        <w:t>Newspapers/Magazines</w:t>
      </w:r>
      <w:r w:rsidRPr="002A0C01">
        <w:rPr>
          <w:noProof/>
        </w:rPr>
        <w:tab/>
      </w:r>
      <w:r w:rsidRPr="002A0C01">
        <w:rPr>
          <w:noProof/>
        </w:rPr>
        <w:fldChar w:fldCharType="begin"/>
      </w:r>
      <w:r w:rsidRPr="002A0C01">
        <w:rPr>
          <w:noProof/>
        </w:rPr>
        <w:instrText xml:space="preserve"> PAGEREF _Toc53 \h </w:instrText>
      </w:r>
      <w:r w:rsidRPr="002A0C01">
        <w:rPr>
          <w:noProof/>
        </w:rPr>
      </w:r>
      <w:r w:rsidRPr="002A0C01">
        <w:rPr>
          <w:noProof/>
        </w:rPr>
        <w:fldChar w:fldCharType="separate"/>
      </w:r>
      <w:r w:rsidR="00C61A2E">
        <w:rPr>
          <w:noProof/>
        </w:rPr>
        <w:t>43</w:t>
      </w:r>
      <w:r w:rsidRPr="002A0C01">
        <w:rPr>
          <w:noProof/>
        </w:rPr>
        <w:fldChar w:fldCharType="end"/>
      </w:r>
    </w:p>
    <w:p w14:paraId="476A0D0D" w14:textId="77777777" w:rsidR="001B7948" w:rsidRPr="002A0C01" w:rsidRDefault="00B2706C" w:rsidP="002A0C01">
      <w:pPr>
        <w:pStyle w:val="TOC3"/>
        <w:spacing w:line="360" w:lineRule="auto"/>
        <w:rPr>
          <w:noProof/>
        </w:rPr>
      </w:pPr>
      <w:r w:rsidRPr="002A0C01">
        <w:rPr>
          <w:noProof/>
        </w:rPr>
        <w:t>Reports</w:t>
      </w:r>
      <w:r w:rsidRPr="002A0C01">
        <w:rPr>
          <w:noProof/>
        </w:rPr>
        <w:tab/>
      </w:r>
      <w:r w:rsidRPr="002A0C01">
        <w:rPr>
          <w:noProof/>
        </w:rPr>
        <w:fldChar w:fldCharType="begin"/>
      </w:r>
      <w:r w:rsidRPr="002A0C01">
        <w:rPr>
          <w:noProof/>
        </w:rPr>
        <w:instrText xml:space="preserve"> PAGEREF _Toc54 \h </w:instrText>
      </w:r>
      <w:r w:rsidRPr="002A0C01">
        <w:rPr>
          <w:noProof/>
        </w:rPr>
      </w:r>
      <w:r w:rsidRPr="002A0C01">
        <w:rPr>
          <w:noProof/>
        </w:rPr>
        <w:fldChar w:fldCharType="separate"/>
      </w:r>
      <w:r w:rsidR="00C61A2E">
        <w:rPr>
          <w:noProof/>
        </w:rPr>
        <w:t>45</w:t>
      </w:r>
      <w:r w:rsidRPr="002A0C01">
        <w:rPr>
          <w:noProof/>
        </w:rPr>
        <w:fldChar w:fldCharType="end"/>
      </w:r>
    </w:p>
    <w:p w14:paraId="4A838B7B" w14:textId="77777777" w:rsidR="001B7948" w:rsidRPr="002A0C01" w:rsidRDefault="00B2706C" w:rsidP="002A0C01">
      <w:pPr>
        <w:pStyle w:val="TOC3"/>
        <w:spacing w:line="360" w:lineRule="auto"/>
        <w:rPr>
          <w:noProof/>
        </w:rPr>
      </w:pPr>
      <w:r w:rsidRPr="002A0C01">
        <w:rPr>
          <w:noProof/>
        </w:rPr>
        <w:t>Thesis.</w:t>
      </w:r>
      <w:r w:rsidRPr="002A0C01">
        <w:rPr>
          <w:noProof/>
        </w:rPr>
        <w:tab/>
      </w:r>
      <w:r w:rsidRPr="002A0C01">
        <w:rPr>
          <w:noProof/>
        </w:rPr>
        <w:fldChar w:fldCharType="begin"/>
      </w:r>
      <w:r w:rsidRPr="002A0C01">
        <w:rPr>
          <w:noProof/>
        </w:rPr>
        <w:instrText xml:space="preserve"> PAGEREF _Toc55 \h </w:instrText>
      </w:r>
      <w:r w:rsidRPr="002A0C01">
        <w:rPr>
          <w:noProof/>
        </w:rPr>
      </w:r>
      <w:r w:rsidRPr="002A0C01">
        <w:rPr>
          <w:noProof/>
        </w:rPr>
        <w:fldChar w:fldCharType="separate"/>
      </w:r>
      <w:r w:rsidR="00C61A2E">
        <w:rPr>
          <w:noProof/>
        </w:rPr>
        <w:t>45</w:t>
      </w:r>
      <w:r w:rsidRPr="002A0C01">
        <w:rPr>
          <w:noProof/>
        </w:rPr>
        <w:fldChar w:fldCharType="end"/>
      </w:r>
    </w:p>
    <w:p w14:paraId="338ACCC5" w14:textId="77777777" w:rsidR="001B7948" w:rsidRPr="002A0C01" w:rsidRDefault="00B2706C" w:rsidP="002A0C01">
      <w:pPr>
        <w:pStyle w:val="TOC3"/>
        <w:spacing w:line="360" w:lineRule="auto"/>
        <w:rPr>
          <w:noProof/>
        </w:rPr>
      </w:pPr>
      <w:r w:rsidRPr="002A0C01">
        <w:rPr>
          <w:noProof/>
        </w:rPr>
        <w:t>Other Internet Resources</w:t>
      </w:r>
      <w:r w:rsidRPr="002A0C01">
        <w:rPr>
          <w:noProof/>
        </w:rPr>
        <w:tab/>
      </w:r>
      <w:r w:rsidRPr="002A0C01">
        <w:rPr>
          <w:noProof/>
        </w:rPr>
        <w:fldChar w:fldCharType="begin"/>
      </w:r>
      <w:r w:rsidRPr="002A0C01">
        <w:rPr>
          <w:noProof/>
        </w:rPr>
        <w:instrText xml:space="preserve"> PAGEREF _Toc56 \h </w:instrText>
      </w:r>
      <w:r w:rsidRPr="002A0C01">
        <w:rPr>
          <w:noProof/>
        </w:rPr>
      </w:r>
      <w:r w:rsidRPr="002A0C01">
        <w:rPr>
          <w:noProof/>
        </w:rPr>
        <w:fldChar w:fldCharType="separate"/>
      </w:r>
      <w:r w:rsidR="00C61A2E">
        <w:rPr>
          <w:noProof/>
        </w:rPr>
        <w:t>45</w:t>
      </w:r>
      <w:r w:rsidRPr="002A0C01">
        <w:rPr>
          <w:noProof/>
        </w:rPr>
        <w:fldChar w:fldCharType="end"/>
      </w:r>
    </w:p>
    <w:p w14:paraId="6EDE684C" w14:textId="77777777" w:rsidR="001B7948" w:rsidRPr="002A0C01" w:rsidRDefault="00B2706C" w:rsidP="002A0C01">
      <w:pPr>
        <w:spacing w:line="360" w:lineRule="auto"/>
        <w:jc w:val="both"/>
        <w:rPr>
          <w:rFonts w:eastAsia="Helvetica Neue"/>
          <w:color w:val="000000"/>
          <w:u w:color="000000"/>
        </w:rPr>
      </w:pPr>
      <w:r w:rsidRPr="002A0C01">
        <w:rPr>
          <w:color w:val="000000"/>
          <w:u w:val="single" w:color="000000"/>
        </w:rPr>
        <w:fldChar w:fldCharType="end"/>
      </w:r>
    </w:p>
    <w:p w14:paraId="6554176E" w14:textId="77777777" w:rsidR="001B7948" w:rsidRPr="002A0C01" w:rsidRDefault="00B2706C" w:rsidP="002A0C01">
      <w:pPr>
        <w:pStyle w:val="BodyA"/>
        <w:keepNext/>
        <w:keepLines/>
        <w:pageBreakBefore/>
        <w:spacing w:before="240" w:after="0" w:line="360" w:lineRule="auto"/>
        <w:jc w:val="both"/>
        <w:outlineLvl w:val="0"/>
        <w:rPr>
          <w:rFonts w:ascii="Times New Roman" w:eastAsia="Times New Roman" w:hAnsi="Times New Roman" w:cs="Times New Roman"/>
          <w:sz w:val="24"/>
          <w:szCs w:val="24"/>
          <w:u w:val="single"/>
        </w:rPr>
      </w:pPr>
      <w:r w:rsidRPr="002A0C01">
        <w:rPr>
          <w:rFonts w:ascii="Times New Roman" w:hAnsi="Times New Roman" w:cs="Times New Roman"/>
          <w:sz w:val="24"/>
          <w:szCs w:val="24"/>
          <w:u w:val="single"/>
        </w:rPr>
        <w:lastRenderedPageBreak/>
        <w:t>Declaration</w:t>
      </w:r>
    </w:p>
    <w:p w14:paraId="6613BF7C"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rPr>
      </w:pPr>
      <w:r w:rsidRPr="002A0C01">
        <w:rPr>
          <w:rFonts w:ascii="Times New Roman" w:hAnsi="Times New Roman" w:cs="Times New Roman"/>
          <w:sz w:val="24"/>
          <w:szCs w:val="24"/>
        </w:rPr>
        <w:t xml:space="preserve">I, CELINE CHERONO TANUI, do hereby declare that this research is my original work and that to the best of my knowledge and belief, it has not been previously, in its entirety or in part, been submitted to any other university for a degree or diploma. Other works cited or referred to are accordingly acknowledged. </w:t>
      </w:r>
    </w:p>
    <w:p w14:paraId="1EA5E0CD"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5CADC966"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12143F59"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2DCF0563"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lang w:val="da-DK"/>
        </w:rPr>
      </w:pPr>
      <w:r w:rsidRPr="002A0C01">
        <w:rPr>
          <w:rFonts w:ascii="Times New Roman" w:hAnsi="Times New Roman" w:cs="Times New Roman"/>
          <w:sz w:val="24"/>
          <w:szCs w:val="24"/>
          <w:lang w:val="da-DK"/>
        </w:rPr>
        <w:t>Signed: .......................................................................</w:t>
      </w:r>
    </w:p>
    <w:p w14:paraId="7A0E6873"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lang w:val="de-DE"/>
        </w:rPr>
      </w:pPr>
      <w:r w:rsidRPr="002A0C01">
        <w:rPr>
          <w:rFonts w:ascii="Times New Roman" w:hAnsi="Times New Roman" w:cs="Times New Roman"/>
          <w:sz w:val="24"/>
          <w:szCs w:val="24"/>
          <w:lang w:val="de-DE"/>
        </w:rPr>
        <w:t>Date: ..........................................................................</w:t>
      </w:r>
    </w:p>
    <w:p w14:paraId="15C9FA8B"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009D563B"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2F01BD99"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70D357D8"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rPr>
      </w:pPr>
      <w:r w:rsidRPr="002A0C01">
        <w:rPr>
          <w:rFonts w:ascii="Times New Roman" w:hAnsi="Times New Roman" w:cs="Times New Roman"/>
          <w:sz w:val="24"/>
          <w:szCs w:val="24"/>
        </w:rPr>
        <w:t xml:space="preserve">This proposal has been submitted to my University Supervisor for examination. </w:t>
      </w:r>
    </w:p>
    <w:p w14:paraId="76DDE6D3"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39ED1DB8"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5899F96E" w14:textId="77777777" w:rsidR="001B7948" w:rsidRPr="002A0C01" w:rsidRDefault="001B7948" w:rsidP="002A0C01">
      <w:pPr>
        <w:pStyle w:val="BodyA"/>
        <w:spacing w:before="240" w:after="0" w:line="360" w:lineRule="auto"/>
        <w:jc w:val="both"/>
        <w:rPr>
          <w:rFonts w:ascii="Times New Roman" w:eastAsia="Times New Roman" w:hAnsi="Times New Roman" w:cs="Times New Roman"/>
          <w:sz w:val="24"/>
          <w:szCs w:val="24"/>
        </w:rPr>
      </w:pPr>
    </w:p>
    <w:p w14:paraId="2602C5C8"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lang w:val="da-DK"/>
        </w:rPr>
      </w:pPr>
      <w:r w:rsidRPr="002A0C01">
        <w:rPr>
          <w:rFonts w:ascii="Times New Roman" w:hAnsi="Times New Roman" w:cs="Times New Roman"/>
          <w:sz w:val="24"/>
          <w:szCs w:val="24"/>
          <w:lang w:val="da-DK"/>
        </w:rPr>
        <w:t>Signed:..........................................................................</w:t>
      </w:r>
    </w:p>
    <w:p w14:paraId="536A54CF"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lang w:val="fr-FR"/>
        </w:rPr>
      </w:pPr>
      <w:r w:rsidRPr="002A0C01">
        <w:rPr>
          <w:rFonts w:ascii="Times New Roman" w:hAnsi="Times New Roman" w:cs="Times New Roman"/>
          <w:sz w:val="24"/>
          <w:szCs w:val="24"/>
          <w:lang w:val="fr-FR"/>
        </w:rPr>
        <w:t>Claire Adionyi</w:t>
      </w:r>
    </w:p>
    <w:p w14:paraId="31446A28" w14:textId="77777777" w:rsidR="001B7948" w:rsidRPr="002A0C01" w:rsidRDefault="001B7948" w:rsidP="002A0C01">
      <w:pPr>
        <w:pStyle w:val="BodyA"/>
        <w:spacing w:line="360" w:lineRule="auto"/>
        <w:jc w:val="both"/>
        <w:rPr>
          <w:rFonts w:ascii="Times New Roman" w:eastAsia="Times New Roman" w:hAnsi="Times New Roman" w:cs="Times New Roman"/>
          <w:b/>
          <w:bCs/>
          <w:sz w:val="28"/>
          <w:szCs w:val="28"/>
        </w:rPr>
      </w:pPr>
    </w:p>
    <w:p w14:paraId="28A95C05" w14:textId="77777777" w:rsidR="001B7948" w:rsidRPr="002A0C01" w:rsidRDefault="001B7948" w:rsidP="002A0C01">
      <w:pPr>
        <w:pStyle w:val="BodyA"/>
        <w:spacing w:line="360" w:lineRule="auto"/>
        <w:jc w:val="both"/>
        <w:rPr>
          <w:rFonts w:ascii="Times New Roman" w:eastAsia="Times New Roman" w:hAnsi="Times New Roman" w:cs="Times New Roman"/>
          <w:b/>
          <w:bCs/>
          <w:sz w:val="28"/>
          <w:szCs w:val="28"/>
        </w:rPr>
      </w:pPr>
    </w:p>
    <w:p w14:paraId="043BFD58" w14:textId="77777777" w:rsidR="001B7948" w:rsidRPr="002A0C01" w:rsidRDefault="00B2706C" w:rsidP="002A0C01">
      <w:pPr>
        <w:pStyle w:val="Heading"/>
        <w:spacing w:line="360" w:lineRule="auto"/>
        <w:jc w:val="both"/>
        <w:rPr>
          <w:rFonts w:ascii="Times New Roman" w:eastAsia="Times New Roman" w:hAnsi="Times New Roman" w:cs="Times New Roman"/>
          <w:color w:val="000000"/>
          <w:sz w:val="24"/>
          <w:szCs w:val="24"/>
          <w:u w:val="single" w:color="000000"/>
          <w:lang w:val="de-DE"/>
        </w:rPr>
      </w:pPr>
      <w:bookmarkStart w:id="0" w:name="_Toc"/>
      <w:r w:rsidRPr="002A0C01">
        <w:rPr>
          <w:rFonts w:ascii="Times New Roman" w:hAnsi="Times New Roman" w:cs="Times New Roman"/>
          <w:color w:val="000000"/>
          <w:sz w:val="24"/>
          <w:szCs w:val="24"/>
          <w:u w:val="single" w:color="000000"/>
          <w:lang w:val="de-DE"/>
        </w:rPr>
        <w:lastRenderedPageBreak/>
        <w:t>Abstract</w:t>
      </w:r>
      <w:bookmarkEnd w:id="0"/>
    </w:p>
    <w:p w14:paraId="0C72BE10" w14:textId="77777777" w:rsidR="001B7948" w:rsidRPr="002A0C01" w:rsidRDefault="001B7948" w:rsidP="002A0C01">
      <w:pPr>
        <w:pStyle w:val="BodyA"/>
        <w:spacing w:line="360" w:lineRule="auto"/>
        <w:jc w:val="both"/>
        <w:rPr>
          <w:rFonts w:ascii="Times New Roman" w:hAnsi="Times New Roman" w:cs="Times New Roman"/>
        </w:rPr>
      </w:pPr>
    </w:p>
    <w:p w14:paraId="28F21BEB" w14:textId="77777777" w:rsidR="001B7948" w:rsidRPr="002A0C01" w:rsidRDefault="00B2706C" w:rsidP="002A0C01">
      <w:pPr>
        <w:pStyle w:val="BodyA"/>
        <w:spacing w:line="360" w:lineRule="auto"/>
        <w:jc w:val="both"/>
        <w:rPr>
          <w:rFonts w:ascii="Times New Roman" w:eastAsia="Times New Roman" w:hAnsi="Times New Roman" w:cs="Times New Roman"/>
          <w:i/>
          <w:iCs/>
          <w:u w:val="single"/>
        </w:rPr>
      </w:pPr>
      <w:r w:rsidRPr="002A0C01">
        <w:rPr>
          <w:rFonts w:ascii="Times New Roman" w:hAnsi="Times New Roman" w:cs="Times New Roman"/>
          <w:i/>
          <w:iCs/>
          <w:sz w:val="24"/>
          <w:szCs w:val="24"/>
        </w:rPr>
        <w:t>On the institution of the International Criminal Court (ICC) State cooperation, through the principle of complementarity, was seen to be a key component in enabling the functions of the International Criminal Court. Despite its importance, some State Parties have still failed to cooperate with the ICC when called upon to. Why is this? This paper seeks to understand and classify the reasons behind States’ neglect to cooperate with the ICC. In the process, the scope of cooperation as is will be provided for and recommendations (if any) made to encourage State Parties to cooperate with the ICC.  The study will be conducted in five chapters. In Chapter One, an introduction encapsulating the background, a statement of the problem, hypotheses, research questions, justification and theoretical framework, will be provided for. This will be followed by a literature review and research design of the proposal. Chapter Two will lay out detailed provisions of the legislation, which State Parties failed to cooperate with. Chapter Three and Four will then discuss Kenya and Sudan as case studies of the research. Chapters Three and Four will illustrate ways through which Kenya and Sudan failed to cooperate with the ICC, why they failed to cooperate with the ICC and what classification their motivations fall under. Finally, Chapter Five will summarise the contents of all the previous chapters and give recommendations to enable the ICC to cope with State Parties’ failure to cooperate with it. The paper concludes by mainly recommending the ICC’s concentration of its works on other parts of the worlds.</w:t>
      </w:r>
    </w:p>
    <w:p w14:paraId="6B25D15F" w14:textId="77777777" w:rsidR="001B7948" w:rsidRPr="002A0C01" w:rsidRDefault="001B7948" w:rsidP="002A0C01">
      <w:pPr>
        <w:pStyle w:val="Heading"/>
        <w:spacing w:line="360" w:lineRule="auto"/>
        <w:jc w:val="both"/>
        <w:rPr>
          <w:rFonts w:ascii="Times New Roman" w:eastAsia="Times New Roman" w:hAnsi="Times New Roman" w:cs="Times New Roman"/>
          <w:color w:val="000000"/>
          <w:sz w:val="24"/>
          <w:szCs w:val="24"/>
          <w:u w:val="single" w:color="000000"/>
        </w:rPr>
      </w:pPr>
    </w:p>
    <w:p w14:paraId="24DE22E6" w14:textId="77777777" w:rsidR="001B7948" w:rsidRPr="002A0C01" w:rsidRDefault="001B7948" w:rsidP="002A0C01">
      <w:pPr>
        <w:pStyle w:val="BodyA"/>
        <w:spacing w:line="360" w:lineRule="auto"/>
        <w:jc w:val="both"/>
        <w:rPr>
          <w:rFonts w:ascii="Times New Roman" w:hAnsi="Times New Roman" w:cs="Times New Roman"/>
        </w:rPr>
      </w:pPr>
    </w:p>
    <w:p w14:paraId="78ED8EEB" w14:textId="77777777" w:rsidR="001B7948" w:rsidRPr="002A0C01" w:rsidRDefault="001B7948" w:rsidP="002A0C01">
      <w:pPr>
        <w:pStyle w:val="BodyA"/>
        <w:spacing w:line="360" w:lineRule="auto"/>
        <w:jc w:val="both"/>
        <w:rPr>
          <w:rFonts w:ascii="Times New Roman" w:hAnsi="Times New Roman" w:cs="Times New Roman"/>
        </w:rPr>
      </w:pPr>
    </w:p>
    <w:p w14:paraId="4C90C482" w14:textId="77777777" w:rsidR="00B2706C" w:rsidRPr="002A0C01" w:rsidRDefault="00B2706C" w:rsidP="002A0C01">
      <w:pPr>
        <w:pStyle w:val="BodyA"/>
        <w:spacing w:line="360" w:lineRule="auto"/>
        <w:jc w:val="both"/>
        <w:rPr>
          <w:rFonts w:ascii="Times New Roman" w:hAnsi="Times New Roman" w:cs="Times New Roman"/>
        </w:rPr>
      </w:pPr>
    </w:p>
    <w:p w14:paraId="68CF81DF" w14:textId="77777777" w:rsidR="00100B06" w:rsidRPr="002A0C01" w:rsidRDefault="00100B06" w:rsidP="002A0C01">
      <w:pPr>
        <w:pStyle w:val="BodyA"/>
        <w:spacing w:line="360" w:lineRule="auto"/>
        <w:jc w:val="both"/>
        <w:rPr>
          <w:rFonts w:ascii="Times New Roman" w:hAnsi="Times New Roman" w:cs="Times New Roman"/>
        </w:rPr>
      </w:pPr>
    </w:p>
    <w:p w14:paraId="7BB62F42" w14:textId="77777777" w:rsidR="00100B06" w:rsidRPr="002A0C01" w:rsidRDefault="00100B06" w:rsidP="002A0C01">
      <w:pPr>
        <w:pStyle w:val="BodyA"/>
        <w:spacing w:line="360" w:lineRule="auto"/>
        <w:jc w:val="both"/>
        <w:rPr>
          <w:rFonts w:ascii="Times New Roman" w:hAnsi="Times New Roman" w:cs="Times New Roman"/>
        </w:rPr>
      </w:pPr>
    </w:p>
    <w:p w14:paraId="174002B8" w14:textId="77777777" w:rsidR="00100B06" w:rsidRPr="002A0C01" w:rsidRDefault="00100B06" w:rsidP="002A0C01">
      <w:pPr>
        <w:pStyle w:val="BodyA"/>
        <w:spacing w:line="360" w:lineRule="auto"/>
        <w:jc w:val="both"/>
        <w:rPr>
          <w:rFonts w:ascii="Times New Roman" w:hAnsi="Times New Roman" w:cs="Times New Roman"/>
        </w:rPr>
      </w:pPr>
    </w:p>
    <w:p w14:paraId="0DB51D8B" w14:textId="77777777" w:rsidR="00100B06" w:rsidRPr="002A0C01" w:rsidRDefault="00100B06" w:rsidP="002A0C01">
      <w:pPr>
        <w:pStyle w:val="BodyA"/>
        <w:spacing w:line="360" w:lineRule="auto"/>
        <w:jc w:val="both"/>
        <w:rPr>
          <w:rFonts w:ascii="Times New Roman" w:hAnsi="Times New Roman" w:cs="Times New Roman"/>
        </w:rPr>
      </w:pPr>
    </w:p>
    <w:p w14:paraId="783B2905" w14:textId="77777777" w:rsidR="001B7948" w:rsidRPr="002A0C01" w:rsidRDefault="00B2706C" w:rsidP="002A0C01">
      <w:pPr>
        <w:pStyle w:val="Heading"/>
        <w:spacing w:line="360" w:lineRule="auto"/>
        <w:jc w:val="both"/>
        <w:rPr>
          <w:rFonts w:ascii="Times New Roman" w:eastAsia="Times New Roman" w:hAnsi="Times New Roman" w:cs="Times New Roman"/>
          <w:color w:val="000000"/>
          <w:sz w:val="24"/>
          <w:szCs w:val="24"/>
          <w:u w:val="single" w:color="000000"/>
        </w:rPr>
      </w:pPr>
      <w:bookmarkStart w:id="1" w:name="_Toc1"/>
      <w:r w:rsidRPr="002A0C01">
        <w:rPr>
          <w:rFonts w:ascii="Times New Roman" w:hAnsi="Times New Roman" w:cs="Times New Roman"/>
          <w:color w:val="000000"/>
          <w:sz w:val="24"/>
          <w:szCs w:val="24"/>
          <w:u w:val="single" w:color="000000"/>
        </w:rPr>
        <w:lastRenderedPageBreak/>
        <w:t>List of Abbreviations</w:t>
      </w:r>
      <w:bookmarkEnd w:id="1"/>
    </w:p>
    <w:p w14:paraId="10A1A89E" w14:textId="77777777" w:rsidR="001B7948" w:rsidRPr="002A0C01" w:rsidRDefault="00B2706C" w:rsidP="002A0C01">
      <w:pPr>
        <w:pStyle w:val="BodyA"/>
        <w:spacing w:before="240" w:after="0" w:line="360" w:lineRule="auto"/>
        <w:jc w:val="both"/>
        <w:rPr>
          <w:rFonts w:ascii="Times New Roman" w:eastAsia="Times New Roman" w:hAnsi="Times New Roman" w:cs="Times New Roman"/>
          <w:sz w:val="24"/>
          <w:szCs w:val="24"/>
        </w:rPr>
      </w:pPr>
      <w:r w:rsidRPr="002A0C01">
        <w:rPr>
          <w:rFonts w:ascii="Times New Roman" w:hAnsi="Times New Roman" w:cs="Times New Roman"/>
          <w:sz w:val="24"/>
          <w:szCs w:val="24"/>
        </w:rPr>
        <w:t xml:space="preserve">AU                         African Union </w:t>
      </w:r>
    </w:p>
    <w:p w14:paraId="24CE7C5C" w14:textId="77777777" w:rsidR="001B7948" w:rsidRPr="002A0C01" w:rsidRDefault="00B2706C" w:rsidP="002A0C01">
      <w:pPr>
        <w:pStyle w:val="Body"/>
        <w:spacing w:line="360" w:lineRule="auto"/>
        <w:jc w:val="both"/>
      </w:pPr>
      <w:r w:rsidRPr="002A0C01">
        <w:t>CIPEV                   International Commission on Post-Election Violence</w:t>
      </w:r>
    </w:p>
    <w:p w14:paraId="2085896D" w14:textId="77777777" w:rsidR="001B7948" w:rsidRPr="002A0C01" w:rsidRDefault="00B2706C" w:rsidP="002A0C01">
      <w:pPr>
        <w:pStyle w:val="Body"/>
        <w:spacing w:line="360" w:lineRule="auto"/>
        <w:jc w:val="both"/>
      </w:pPr>
      <w:r w:rsidRPr="002A0C01">
        <w:t xml:space="preserve">EACJ                     East African Court of Justice </w:t>
      </w:r>
    </w:p>
    <w:p w14:paraId="3DF5D052" w14:textId="77777777" w:rsidR="001B7948" w:rsidRPr="002A0C01" w:rsidRDefault="00B2706C" w:rsidP="002A0C01">
      <w:pPr>
        <w:pStyle w:val="Body"/>
        <w:spacing w:line="360" w:lineRule="auto"/>
        <w:jc w:val="both"/>
      </w:pPr>
      <w:r w:rsidRPr="002A0C01">
        <w:t xml:space="preserve">ECOWAS CCJ      Court of Justice of the Economic Community of West African States </w:t>
      </w:r>
    </w:p>
    <w:p w14:paraId="1A45BCB2" w14:textId="77777777" w:rsidR="001B7948" w:rsidRPr="002A0C01" w:rsidRDefault="00B2706C" w:rsidP="002A0C01">
      <w:pPr>
        <w:pStyle w:val="Body"/>
        <w:spacing w:line="360" w:lineRule="auto"/>
        <w:jc w:val="both"/>
      </w:pPr>
      <w:r w:rsidRPr="002A0C01">
        <w:t>ICC                        International Criminal Court</w:t>
      </w:r>
    </w:p>
    <w:p w14:paraId="0064C984" w14:textId="77777777" w:rsidR="001B7948" w:rsidRPr="002A0C01" w:rsidRDefault="00B2706C" w:rsidP="002A0C01">
      <w:pPr>
        <w:pStyle w:val="Body"/>
        <w:spacing w:line="360" w:lineRule="auto"/>
        <w:jc w:val="both"/>
      </w:pPr>
      <w:r w:rsidRPr="002A0C01">
        <w:t xml:space="preserve">ICJ                         International Court of Justice </w:t>
      </w:r>
    </w:p>
    <w:p w14:paraId="3593800E" w14:textId="77777777" w:rsidR="001B7948" w:rsidRPr="002A0C01" w:rsidRDefault="00B2706C" w:rsidP="002A0C01">
      <w:pPr>
        <w:pStyle w:val="Body"/>
        <w:spacing w:line="360" w:lineRule="auto"/>
        <w:jc w:val="both"/>
      </w:pPr>
      <w:r w:rsidRPr="002A0C01">
        <w:t xml:space="preserve">JEM                       Justice and Equality Movement  </w:t>
      </w:r>
    </w:p>
    <w:p w14:paraId="76A46E47" w14:textId="77777777" w:rsidR="001B7948" w:rsidRPr="002A0C01" w:rsidRDefault="00B2706C" w:rsidP="002A0C01">
      <w:pPr>
        <w:pStyle w:val="Body"/>
        <w:spacing w:line="360" w:lineRule="auto"/>
        <w:jc w:val="both"/>
      </w:pPr>
      <w:r w:rsidRPr="002A0C01">
        <w:t xml:space="preserve">ODM                     Orange Democratic Movement </w:t>
      </w:r>
    </w:p>
    <w:p w14:paraId="1D27962D" w14:textId="77777777" w:rsidR="001B7948" w:rsidRPr="002A0C01" w:rsidRDefault="00B2706C" w:rsidP="002A0C01">
      <w:pPr>
        <w:pStyle w:val="Body"/>
        <w:spacing w:line="360" w:lineRule="auto"/>
        <w:jc w:val="both"/>
      </w:pPr>
      <w:r w:rsidRPr="002A0C01">
        <w:t xml:space="preserve">PNU                       Party of National Unity </w:t>
      </w:r>
    </w:p>
    <w:p w14:paraId="12B903E8" w14:textId="77777777" w:rsidR="001B7948" w:rsidRPr="002A0C01" w:rsidRDefault="00B2706C" w:rsidP="002A0C01">
      <w:pPr>
        <w:pStyle w:val="Body"/>
        <w:spacing w:line="360" w:lineRule="auto"/>
        <w:jc w:val="both"/>
      </w:pPr>
      <w:r w:rsidRPr="002A0C01">
        <w:t xml:space="preserve">SADC T                 Tribunal of the Southern Africa Development Community </w:t>
      </w:r>
    </w:p>
    <w:p w14:paraId="5ED7A0AA" w14:textId="77777777" w:rsidR="001B7948" w:rsidRPr="002A0C01" w:rsidRDefault="00B2706C" w:rsidP="002A0C01">
      <w:pPr>
        <w:pStyle w:val="Body"/>
        <w:spacing w:line="360" w:lineRule="auto"/>
        <w:jc w:val="both"/>
      </w:pPr>
      <w:r w:rsidRPr="002A0C01">
        <w:t xml:space="preserve">SLM/A                   Sudanese Liberation Movement/Army  </w:t>
      </w:r>
    </w:p>
    <w:p w14:paraId="113B7B3E" w14:textId="77777777" w:rsidR="001B7948" w:rsidRPr="002A0C01" w:rsidRDefault="00B2706C" w:rsidP="002A0C01">
      <w:pPr>
        <w:pStyle w:val="Body"/>
        <w:spacing w:line="360" w:lineRule="auto"/>
        <w:jc w:val="both"/>
      </w:pPr>
      <w:r w:rsidRPr="002A0C01">
        <w:t>UN                         United Nations</w:t>
      </w:r>
    </w:p>
    <w:p w14:paraId="31F3B910" w14:textId="77777777" w:rsidR="001B7948" w:rsidRPr="002A0C01" w:rsidRDefault="00B2706C" w:rsidP="002A0C01">
      <w:pPr>
        <w:pStyle w:val="Heading"/>
        <w:spacing w:line="360" w:lineRule="auto"/>
        <w:jc w:val="both"/>
        <w:rPr>
          <w:rFonts w:ascii="Times New Roman" w:eastAsia="Times New Roman" w:hAnsi="Times New Roman" w:cs="Times New Roman"/>
          <w:color w:val="000000"/>
          <w:sz w:val="24"/>
          <w:szCs w:val="24"/>
          <w:u w:val="single" w:color="000000"/>
        </w:rPr>
      </w:pPr>
      <w:bookmarkStart w:id="2" w:name="_Toc2"/>
      <w:r w:rsidRPr="002A0C01">
        <w:rPr>
          <w:rFonts w:ascii="Times New Roman" w:hAnsi="Times New Roman" w:cs="Times New Roman"/>
          <w:color w:val="000000"/>
          <w:sz w:val="24"/>
          <w:szCs w:val="24"/>
          <w:u w:val="single" w:color="000000"/>
        </w:rPr>
        <w:t>List of Cases</w:t>
      </w:r>
      <w:bookmarkEnd w:id="2"/>
    </w:p>
    <w:p w14:paraId="6E0F75D9" w14:textId="77777777" w:rsidR="001B7948" w:rsidRPr="002A0C01" w:rsidRDefault="00B2706C" w:rsidP="002A0C01">
      <w:pPr>
        <w:pStyle w:val="FootnoteText"/>
        <w:spacing w:line="360" w:lineRule="auto"/>
        <w:jc w:val="both"/>
        <w:rPr>
          <w:rFonts w:ascii="Times New Roman" w:eastAsia="Times New Roman" w:hAnsi="Times New Roman" w:cs="Times New Roman"/>
          <w:i/>
          <w:iCs/>
          <w:sz w:val="24"/>
          <w:szCs w:val="24"/>
        </w:rPr>
      </w:pPr>
      <w:r w:rsidRPr="002A0C01">
        <w:rPr>
          <w:rFonts w:ascii="Times New Roman" w:hAnsi="Times New Roman" w:cs="Times New Roman"/>
          <w:i/>
          <w:iCs/>
          <w:sz w:val="24"/>
          <w:szCs w:val="24"/>
        </w:rPr>
        <w:t>Situation in the Democratic Republic of Congo</w:t>
      </w:r>
    </w:p>
    <w:p w14:paraId="6228FA45"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Fonts w:ascii="Times New Roman" w:hAnsi="Times New Roman" w:cs="Times New Roman"/>
          <w:sz w:val="24"/>
          <w:szCs w:val="24"/>
        </w:rPr>
        <w:t xml:space="preserve">Prosecutor v Jean-Pierre Bemba Gombo, Case No. ICC-01/05-01/08 OA 4, Judgment on the appeal of Mr Jean-Pierre Bemba Gombo against the decision of Trial Chamber HI of 28 July 2010, 19 November 2010, </w:t>
      </w:r>
      <w:hyperlink r:id="rId8" w:history="1">
        <w:r w:rsidRPr="002A0C01">
          <w:rPr>
            <w:rStyle w:val="Hyperlink0"/>
            <w:rFonts w:eastAsia="Calibri"/>
            <w:sz w:val="24"/>
            <w:szCs w:val="24"/>
          </w:rPr>
          <w:t>https://www.icc-cpi.int/CourtRecords/CR2010_10640.PDF</w:t>
        </w:r>
      </w:hyperlink>
      <w:r w:rsidRPr="002A0C01">
        <w:rPr>
          <w:rFonts w:ascii="Times New Roman" w:hAnsi="Times New Roman" w:cs="Times New Roman"/>
          <w:sz w:val="24"/>
          <w:szCs w:val="24"/>
        </w:rPr>
        <w:t>.</w:t>
      </w:r>
    </w:p>
    <w:p w14:paraId="59160D65"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Fonts w:ascii="Times New Roman" w:hAnsi="Times New Roman" w:cs="Times New Roman"/>
          <w:sz w:val="24"/>
          <w:szCs w:val="24"/>
        </w:rPr>
        <w:t>Prosecutor v Jean</w:t>
      </w:r>
      <w:r w:rsidRPr="002A0C01">
        <w:rPr>
          <w:rFonts w:ascii="Times New Roman" w:eastAsia="Arial Unicode MS" w:hAnsi="Times New Roman" w:cs="Times New Roman"/>
          <w:sz w:val="24"/>
          <w:szCs w:val="24"/>
        </w:rPr>
        <w:t>‐</w:t>
      </w:r>
      <w:r w:rsidRPr="002A0C01">
        <w:rPr>
          <w:rFonts w:ascii="Times New Roman" w:hAnsi="Times New Roman" w:cs="Times New Roman"/>
          <w:sz w:val="24"/>
          <w:szCs w:val="24"/>
        </w:rPr>
        <w:t>Pierre Bemba Gombo, Case No. ICC</w:t>
      </w:r>
      <w:r w:rsidRPr="002A0C01">
        <w:rPr>
          <w:rFonts w:ascii="Times New Roman" w:eastAsia="Arial Unicode MS" w:hAnsi="Times New Roman" w:cs="Times New Roman"/>
          <w:sz w:val="24"/>
          <w:szCs w:val="24"/>
        </w:rPr>
        <w:t>‐</w:t>
      </w:r>
      <w:r w:rsidRPr="002A0C01">
        <w:rPr>
          <w:rFonts w:ascii="Times New Roman" w:hAnsi="Times New Roman" w:cs="Times New Roman"/>
          <w:sz w:val="24"/>
          <w:szCs w:val="24"/>
        </w:rPr>
        <w:t>01/05</w:t>
      </w:r>
      <w:r w:rsidRPr="002A0C01">
        <w:rPr>
          <w:rFonts w:ascii="Times New Roman" w:eastAsia="Arial Unicode MS" w:hAnsi="Times New Roman" w:cs="Times New Roman"/>
          <w:sz w:val="24"/>
          <w:szCs w:val="24"/>
        </w:rPr>
        <w:t>‐</w:t>
      </w:r>
      <w:r w:rsidRPr="002A0C01">
        <w:rPr>
          <w:rFonts w:ascii="Times New Roman" w:hAnsi="Times New Roman" w:cs="Times New Roman"/>
          <w:sz w:val="24"/>
          <w:szCs w:val="24"/>
        </w:rPr>
        <w:t xml:space="preserve">01/08, Warrant of Arrest, 23 May 2008, </w:t>
      </w:r>
      <w:hyperlink r:id="rId9" w:history="1">
        <w:r w:rsidRPr="002A0C01">
          <w:rPr>
            <w:rStyle w:val="Link"/>
            <w:rFonts w:ascii="Times New Roman" w:hAnsi="Times New Roman" w:cs="Times New Roman"/>
            <w:sz w:val="24"/>
            <w:szCs w:val="24"/>
          </w:rPr>
          <w:t>https://www.icc-cpi.int/CourtRecords/CR2008_04180.PDF</w:t>
        </w:r>
      </w:hyperlink>
      <w:r w:rsidRPr="002A0C01">
        <w:rPr>
          <w:rFonts w:ascii="Times New Roman" w:hAnsi="Times New Roman" w:cs="Times New Roman"/>
          <w:sz w:val="24"/>
          <w:szCs w:val="24"/>
        </w:rPr>
        <w:t>.</w:t>
      </w:r>
    </w:p>
    <w:p w14:paraId="3E0CBDD9"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Fonts w:ascii="Times New Roman" w:hAnsi="Times New Roman" w:cs="Times New Roman"/>
          <w:sz w:val="24"/>
          <w:szCs w:val="24"/>
        </w:rPr>
        <w:t xml:space="preserve">Prosecutor v Thomas Lubanga Dyilo, Case No. ICC-01/04-01/06, Decision on the status before the Trial Chamber of the evidence heard by the PreTrial Chamber and the decisions of the Pre-Trial Chamber in trial proceedings, and the manner in which evidence shall be submitted, 13 December 2007, </w:t>
      </w:r>
      <w:hyperlink r:id="rId10" w:history="1">
        <w:r w:rsidRPr="002A0C01">
          <w:rPr>
            <w:rStyle w:val="Hyperlink1"/>
            <w:rFonts w:ascii="Times New Roman" w:hAnsi="Times New Roman" w:cs="Times New Roman"/>
          </w:rPr>
          <w:t>https://www.icc-cpi.int/CourtRecords/CR2007_05160.PDF</w:t>
        </w:r>
      </w:hyperlink>
      <w:r w:rsidRPr="002A0C01">
        <w:rPr>
          <w:rFonts w:ascii="Times New Roman" w:hAnsi="Times New Roman" w:cs="Times New Roman"/>
          <w:sz w:val="24"/>
          <w:szCs w:val="24"/>
        </w:rPr>
        <w:t>.</w:t>
      </w:r>
    </w:p>
    <w:p w14:paraId="09DC05BA" w14:textId="77777777" w:rsidR="001B7948" w:rsidRPr="002A0C01" w:rsidRDefault="001B7948" w:rsidP="002A0C01">
      <w:pPr>
        <w:pStyle w:val="FootnoteText"/>
        <w:spacing w:line="360" w:lineRule="auto"/>
        <w:jc w:val="both"/>
        <w:rPr>
          <w:rFonts w:ascii="Times New Roman" w:hAnsi="Times New Roman" w:cs="Times New Roman"/>
          <w:i/>
          <w:iCs/>
          <w:sz w:val="24"/>
          <w:szCs w:val="24"/>
        </w:rPr>
      </w:pPr>
    </w:p>
    <w:p w14:paraId="58D46684" w14:textId="77777777" w:rsidR="001B7948" w:rsidRPr="002A0C01" w:rsidRDefault="00B2706C" w:rsidP="002A0C01">
      <w:pPr>
        <w:pStyle w:val="FootnoteText"/>
        <w:spacing w:line="360" w:lineRule="auto"/>
        <w:jc w:val="both"/>
        <w:rPr>
          <w:rFonts w:ascii="Times New Roman" w:hAnsi="Times New Roman" w:cs="Times New Roman"/>
          <w:i/>
          <w:iCs/>
          <w:sz w:val="24"/>
          <w:szCs w:val="24"/>
        </w:rPr>
      </w:pPr>
      <w:r w:rsidRPr="002A0C01">
        <w:rPr>
          <w:rFonts w:ascii="Times New Roman" w:hAnsi="Times New Roman" w:cs="Times New Roman"/>
          <w:i/>
          <w:iCs/>
          <w:sz w:val="24"/>
          <w:szCs w:val="24"/>
        </w:rPr>
        <w:t>Situation in Kenya</w:t>
      </w:r>
    </w:p>
    <w:p w14:paraId="676DCDC3" w14:textId="77777777" w:rsidR="001B7948" w:rsidRPr="002A0C01" w:rsidRDefault="00B2706C" w:rsidP="002A0C01">
      <w:pPr>
        <w:pStyle w:val="FootnoteText"/>
        <w:spacing w:line="360" w:lineRule="auto"/>
        <w:jc w:val="both"/>
        <w:rPr>
          <w:rStyle w:val="None"/>
          <w:rFonts w:ascii="Times New Roman" w:eastAsia="Times New Roman" w:hAnsi="Times New Roman" w:cs="Times New Roman"/>
          <w:sz w:val="24"/>
          <w:szCs w:val="24"/>
        </w:rPr>
      </w:pPr>
      <w:r w:rsidRPr="002A0C01">
        <w:rPr>
          <w:rFonts w:ascii="Times New Roman" w:hAnsi="Times New Roman" w:cs="Times New Roman"/>
          <w:sz w:val="24"/>
          <w:szCs w:val="24"/>
        </w:rPr>
        <w:t xml:space="preserve">Case No. ICC-01/09, Decision on the Authorisation of an Investigation into the Situation in the Republic of Kenya, No. ICC-01/09, 31 March 2010, </w:t>
      </w:r>
      <w:hyperlink r:id="rId11" w:history="1">
        <w:r w:rsidRPr="002A0C01">
          <w:rPr>
            <w:rStyle w:val="Hyperlink2"/>
            <w:rFonts w:eastAsia="Calibri"/>
          </w:rPr>
          <w:t>www.icc-cpi.int/CourtRecords/CR2010_02409.PDF</w:t>
        </w:r>
      </w:hyperlink>
      <w:r w:rsidRPr="002A0C01">
        <w:rPr>
          <w:rStyle w:val="None"/>
          <w:rFonts w:ascii="Times New Roman" w:hAnsi="Times New Roman" w:cs="Times New Roman"/>
          <w:sz w:val="24"/>
          <w:szCs w:val="24"/>
        </w:rPr>
        <w:t>.</w:t>
      </w:r>
    </w:p>
    <w:p w14:paraId="7A7B9CAF"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lastRenderedPageBreak/>
        <w:t xml:space="preserve">Prosecutor, Case No. ICC-01/09, Request for authorisation of an investigation pursuant to Article 15, 26 November 2009 </w:t>
      </w:r>
      <w:hyperlink r:id="rId12" w:history="1">
        <w:r w:rsidRPr="002A0C01">
          <w:rPr>
            <w:rStyle w:val="Hyperlink3"/>
            <w:rFonts w:ascii="Times New Roman" w:hAnsi="Times New Roman" w:cs="Times New Roman"/>
            <w:sz w:val="24"/>
            <w:szCs w:val="24"/>
          </w:rPr>
          <w:t>www.icccpi.int/CourtRecords/CR2009_08645.PDF</w:t>
        </w:r>
      </w:hyperlink>
      <w:r w:rsidRPr="002A0C01">
        <w:rPr>
          <w:rStyle w:val="None"/>
          <w:rFonts w:ascii="Times New Roman" w:hAnsi="Times New Roman" w:cs="Times New Roman"/>
          <w:sz w:val="24"/>
          <w:szCs w:val="24"/>
        </w:rPr>
        <w:t>.</w:t>
      </w:r>
    </w:p>
    <w:p w14:paraId="7336E686"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Prosecutor v Francis Kirimi Muthaura, Uhuru Muigai Kenyatta and Mohammed Hussein Ali,</w:t>
      </w:r>
      <w:r w:rsidRPr="002A0C01">
        <w:rPr>
          <w:rStyle w:val="None"/>
          <w:rFonts w:ascii="Times New Roman" w:hAnsi="Times New Roman" w:cs="Times New Roman"/>
          <w:i/>
          <w:iCs/>
          <w:sz w:val="24"/>
          <w:szCs w:val="24"/>
        </w:rPr>
        <w:t xml:space="preserve"> </w:t>
      </w:r>
      <w:r w:rsidRPr="002A0C01">
        <w:rPr>
          <w:rStyle w:val="None"/>
          <w:rFonts w:ascii="Times New Roman" w:hAnsi="Times New Roman" w:cs="Times New Roman"/>
          <w:sz w:val="24"/>
          <w:szCs w:val="24"/>
        </w:rPr>
        <w:t xml:space="preserve">Case No. ICC-01/09-02, Decision on the Application by the Government of Kenya Challenging the Admissibility of the Case, 30 May 2011, </w:t>
      </w:r>
      <w:hyperlink r:id="rId13" w:history="1">
        <w:r w:rsidRPr="002A0C01">
          <w:rPr>
            <w:rStyle w:val="Link"/>
            <w:rFonts w:ascii="Times New Roman" w:hAnsi="Times New Roman" w:cs="Times New Roman"/>
            <w:sz w:val="24"/>
            <w:szCs w:val="24"/>
          </w:rPr>
          <w:t>https://www.icc-cpi.int/CourtRecords/CR2011_06779.PDF</w:t>
        </w:r>
      </w:hyperlink>
      <w:r w:rsidRPr="002A0C01">
        <w:rPr>
          <w:rStyle w:val="None"/>
          <w:rFonts w:ascii="Times New Roman" w:hAnsi="Times New Roman" w:cs="Times New Roman"/>
          <w:sz w:val="24"/>
          <w:szCs w:val="24"/>
        </w:rPr>
        <w:t>.</w:t>
      </w:r>
    </w:p>
    <w:p w14:paraId="1C3693C0"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Uhuru Muigai Kenyatta, Case No. ICC-01/09-02/11, Case Information Sheet, 13 March 2015, </w:t>
      </w:r>
      <w:hyperlink r:id="rId14" w:history="1">
        <w:r w:rsidRPr="002A0C01">
          <w:rPr>
            <w:rStyle w:val="Link"/>
            <w:rFonts w:ascii="Times New Roman" w:hAnsi="Times New Roman" w:cs="Times New Roman"/>
            <w:sz w:val="24"/>
            <w:szCs w:val="24"/>
          </w:rPr>
          <w:t>https://www.icc-cpi.int/CaseInformationSheets/kenyattaEng.pdf</w:t>
        </w:r>
      </w:hyperlink>
      <w:r w:rsidRPr="002A0C01">
        <w:rPr>
          <w:rStyle w:val="None"/>
          <w:rFonts w:ascii="Times New Roman" w:hAnsi="Times New Roman" w:cs="Times New Roman"/>
          <w:sz w:val="24"/>
          <w:szCs w:val="24"/>
        </w:rPr>
        <w:t>.</w:t>
      </w:r>
    </w:p>
    <w:p w14:paraId="74CEE3F8" w14:textId="77777777" w:rsidR="00100B06" w:rsidRPr="002A0C01" w:rsidRDefault="00100B06" w:rsidP="002A0C01">
      <w:pPr>
        <w:pStyle w:val="FootnoteText"/>
        <w:spacing w:line="360" w:lineRule="auto"/>
        <w:jc w:val="both"/>
        <w:rPr>
          <w:rStyle w:val="None"/>
          <w:rFonts w:ascii="Times New Roman" w:hAnsi="Times New Roman" w:cs="Times New Roman"/>
          <w:sz w:val="24"/>
          <w:szCs w:val="24"/>
        </w:rPr>
      </w:pPr>
      <w:r w:rsidRPr="002A0C01">
        <w:rPr>
          <w:rFonts w:ascii="Times New Roman" w:hAnsi="Times New Roman" w:cs="Times New Roman"/>
          <w:sz w:val="24"/>
          <w:szCs w:val="24"/>
        </w:rPr>
        <w:t xml:space="preserve">Prosecutor v Uhuru Muigai Kenyatta, Case No. ICC-01/09-02/11, Second decision on Prosecution’s application for a finding of non-compliance, 19 September 2016, </w:t>
      </w:r>
      <w:hyperlink r:id="rId15" w:history="1">
        <w:r w:rsidRPr="002A0C01">
          <w:rPr>
            <w:rStyle w:val="Hyperlink"/>
            <w:rFonts w:ascii="Times New Roman" w:hAnsi="Times New Roman" w:cs="Times New Roman"/>
            <w:sz w:val="24"/>
            <w:szCs w:val="24"/>
          </w:rPr>
          <w:t>https://www.icc-cpi.int/CourtRecords/CR2016_06654.PDF</w:t>
        </w:r>
      </w:hyperlink>
      <w:r w:rsidRPr="002A0C01">
        <w:rPr>
          <w:rFonts w:ascii="Times New Roman" w:hAnsi="Times New Roman" w:cs="Times New Roman"/>
          <w:sz w:val="24"/>
          <w:szCs w:val="24"/>
        </w:rPr>
        <w:t>.</w:t>
      </w:r>
    </w:p>
    <w:p w14:paraId="400C9C47"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William Samoei Ruto and Joshua Arap Sang, Case No. ICC-01/09-01/11, Case Information Sheet, April 2016, </w:t>
      </w:r>
      <w:hyperlink r:id="rId16" w:history="1">
        <w:r w:rsidRPr="002A0C01">
          <w:rPr>
            <w:rStyle w:val="Link"/>
            <w:rFonts w:ascii="Times New Roman" w:hAnsi="Times New Roman" w:cs="Times New Roman"/>
            <w:sz w:val="24"/>
            <w:szCs w:val="24"/>
          </w:rPr>
          <w:t>https://www.icc-cpi.int/CaseInformationSheets/RutoSangEng.pdf</w:t>
        </w:r>
      </w:hyperlink>
      <w:r w:rsidRPr="002A0C01">
        <w:rPr>
          <w:rStyle w:val="None"/>
          <w:rFonts w:ascii="Times New Roman" w:hAnsi="Times New Roman" w:cs="Times New Roman"/>
          <w:sz w:val="24"/>
          <w:szCs w:val="24"/>
        </w:rPr>
        <w:t xml:space="preserve">. </w:t>
      </w:r>
    </w:p>
    <w:p w14:paraId="3ED41AF2"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William Samoei Ruto, Henry Kiprono Kosgey and Joshua Arap Sang, Case No. ICC-01/09-01/11, Decision on the Confirmation of Charges, 23 January 2012, </w:t>
      </w:r>
      <w:hyperlink r:id="rId17" w:history="1">
        <w:r w:rsidRPr="002A0C01">
          <w:rPr>
            <w:rStyle w:val="Link"/>
            <w:rFonts w:ascii="Times New Roman" w:hAnsi="Times New Roman" w:cs="Times New Roman"/>
            <w:sz w:val="24"/>
            <w:szCs w:val="24"/>
          </w:rPr>
          <w:t>https://www.icc-cpi.int/CourtRecords/CR2012_01004.PDF</w:t>
        </w:r>
      </w:hyperlink>
      <w:r w:rsidRPr="002A0C01">
        <w:rPr>
          <w:rStyle w:val="None"/>
          <w:rFonts w:ascii="Times New Roman" w:hAnsi="Times New Roman" w:cs="Times New Roman"/>
          <w:sz w:val="24"/>
          <w:szCs w:val="24"/>
        </w:rPr>
        <w:t>.</w:t>
      </w:r>
    </w:p>
    <w:p w14:paraId="6A1A96DE" w14:textId="77777777" w:rsidR="001B7948" w:rsidRPr="002A0C01" w:rsidRDefault="001B7948" w:rsidP="002A0C01">
      <w:pPr>
        <w:pStyle w:val="FootnoteText"/>
        <w:spacing w:line="360" w:lineRule="auto"/>
        <w:jc w:val="both"/>
        <w:rPr>
          <w:rStyle w:val="None"/>
          <w:rFonts w:ascii="Times New Roman" w:eastAsia="Times New Roman" w:hAnsi="Times New Roman" w:cs="Times New Roman"/>
          <w:sz w:val="24"/>
          <w:szCs w:val="24"/>
        </w:rPr>
      </w:pPr>
    </w:p>
    <w:p w14:paraId="191AC480" w14:textId="77777777" w:rsidR="001B7948" w:rsidRPr="002A0C01" w:rsidRDefault="00B2706C" w:rsidP="002A0C01">
      <w:pPr>
        <w:pStyle w:val="FootnoteText"/>
        <w:spacing w:line="360" w:lineRule="auto"/>
        <w:jc w:val="both"/>
        <w:rPr>
          <w:rStyle w:val="None"/>
          <w:rFonts w:ascii="Times New Roman" w:eastAsia="Times New Roman" w:hAnsi="Times New Roman" w:cs="Times New Roman"/>
          <w:i/>
          <w:iCs/>
          <w:sz w:val="24"/>
          <w:szCs w:val="24"/>
        </w:rPr>
      </w:pPr>
      <w:r w:rsidRPr="002A0C01">
        <w:rPr>
          <w:rStyle w:val="None"/>
          <w:rFonts w:ascii="Times New Roman" w:hAnsi="Times New Roman" w:cs="Times New Roman"/>
          <w:i/>
          <w:iCs/>
          <w:sz w:val="24"/>
          <w:szCs w:val="24"/>
        </w:rPr>
        <w:t>Situation in Libya</w:t>
      </w:r>
    </w:p>
    <w:p w14:paraId="32F13406"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Saif Al-Islam Gaddafi and Abdullah Al-Senussi, Case No. ICC-01/11-01/11, Decision on Libya’s Submissions Regarding the Arrest of Saif Al-Islam Gaddafi, 7 March 2012, </w:t>
      </w:r>
      <w:hyperlink r:id="rId18" w:history="1">
        <w:r w:rsidRPr="002A0C01">
          <w:rPr>
            <w:rStyle w:val="Link"/>
            <w:rFonts w:ascii="Times New Roman" w:hAnsi="Times New Roman" w:cs="Times New Roman"/>
            <w:sz w:val="24"/>
            <w:szCs w:val="24"/>
          </w:rPr>
          <w:t>http://www.worldcourts.com/icc/eng/decisions/2012.03.07_Prosecutor_v_Gaddafi.pdf</w:t>
        </w:r>
      </w:hyperlink>
      <w:r w:rsidRPr="002A0C01">
        <w:rPr>
          <w:rStyle w:val="None"/>
          <w:rFonts w:ascii="Times New Roman" w:hAnsi="Times New Roman" w:cs="Times New Roman"/>
          <w:sz w:val="24"/>
          <w:szCs w:val="24"/>
        </w:rPr>
        <w:t>.</w:t>
      </w:r>
    </w:p>
    <w:p w14:paraId="6A6595A1" w14:textId="77777777" w:rsidR="001B7948" w:rsidRPr="002A0C01" w:rsidRDefault="001B7948" w:rsidP="002A0C01">
      <w:pPr>
        <w:pStyle w:val="FootnoteText"/>
        <w:spacing w:line="360" w:lineRule="auto"/>
        <w:jc w:val="both"/>
        <w:rPr>
          <w:rStyle w:val="None"/>
          <w:rFonts w:ascii="Times New Roman" w:eastAsia="Times New Roman" w:hAnsi="Times New Roman" w:cs="Times New Roman"/>
          <w:i/>
          <w:iCs/>
          <w:sz w:val="24"/>
          <w:szCs w:val="24"/>
        </w:rPr>
      </w:pPr>
    </w:p>
    <w:p w14:paraId="562A3E51" w14:textId="77777777" w:rsidR="001B7948" w:rsidRPr="002A0C01" w:rsidRDefault="00B2706C" w:rsidP="002A0C01">
      <w:pPr>
        <w:pStyle w:val="FootnoteText"/>
        <w:spacing w:line="360" w:lineRule="auto"/>
        <w:jc w:val="both"/>
        <w:rPr>
          <w:rStyle w:val="None"/>
          <w:rFonts w:ascii="Times New Roman" w:eastAsia="Times New Roman" w:hAnsi="Times New Roman" w:cs="Times New Roman"/>
          <w:i/>
          <w:iCs/>
          <w:sz w:val="24"/>
          <w:szCs w:val="24"/>
        </w:rPr>
      </w:pPr>
      <w:r w:rsidRPr="002A0C01">
        <w:rPr>
          <w:rStyle w:val="None"/>
          <w:rFonts w:ascii="Times New Roman" w:hAnsi="Times New Roman" w:cs="Times New Roman"/>
          <w:i/>
          <w:iCs/>
          <w:sz w:val="24"/>
          <w:szCs w:val="24"/>
        </w:rPr>
        <w:t>Situation in Sudan</w:t>
      </w:r>
    </w:p>
    <w:p w14:paraId="2DA59ACB"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Ahmad Muhammad Harun (“Ahmad Harun”) and Ali Muhammad Ali Abd–Al-Rahman (“Ali Kushayb”), Case No. ICC-02/05-01/07, Case Information Sheet, April 2018, </w:t>
      </w:r>
      <w:hyperlink r:id="rId19" w:history="1">
        <w:r w:rsidRPr="002A0C01">
          <w:rPr>
            <w:rStyle w:val="Link"/>
            <w:rFonts w:ascii="Times New Roman" w:hAnsi="Times New Roman" w:cs="Times New Roman"/>
            <w:sz w:val="24"/>
            <w:szCs w:val="24"/>
          </w:rPr>
          <w:t>https://www.icc-cpi.int/CaseInformationSheets/HarunKushaybEng.pdf</w:t>
        </w:r>
      </w:hyperlink>
      <w:r w:rsidRPr="002A0C01">
        <w:rPr>
          <w:rStyle w:val="None"/>
          <w:rFonts w:ascii="Times New Roman" w:hAnsi="Times New Roman" w:cs="Times New Roman"/>
          <w:sz w:val="24"/>
          <w:szCs w:val="24"/>
        </w:rPr>
        <w:t>.</w:t>
      </w:r>
    </w:p>
    <w:p w14:paraId="453030C4" w14:textId="77777777" w:rsidR="001B7948" w:rsidRPr="002A0C01" w:rsidRDefault="00B2706C" w:rsidP="002A0C01">
      <w:pPr>
        <w:pStyle w:val="FootnoteText"/>
        <w:spacing w:line="360" w:lineRule="auto"/>
        <w:jc w:val="both"/>
        <w:rPr>
          <w:rStyle w:val="None"/>
          <w:rFonts w:ascii="Times New Roman" w:hAnsi="Times New Roman" w:cs="Times New Roman"/>
          <w:i/>
          <w:iCs/>
          <w:sz w:val="24"/>
          <w:szCs w:val="24"/>
        </w:rPr>
      </w:pPr>
      <w:r w:rsidRPr="002A0C01">
        <w:rPr>
          <w:rStyle w:val="None"/>
          <w:rFonts w:ascii="Times New Roman" w:hAnsi="Times New Roman" w:cs="Times New Roman"/>
          <w:sz w:val="24"/>
          <w:szCs w:val="24"/>
        </w:rPr>
        <w:t xml:space="preserve">Prosecutor v Omar Hassan Ahmad Al Bashir, Case No. ICC-02/05-01/09, Case Information Sheet, April 2018, </w:t>
      </w:r>
      <w:hyperlink r:id="rId20" w:history="1">
        <w:r w:rsidRPr="002A0C01">
          <w:rPr>
            <w:rStyle w:val="Link"/>
            <w:rFonts w:ascii="Times New Roman" w:hAnsi="Times New Roman" w:cs="Times New Roman"/>
            <w:sz w:val="24"/>
            <w:szCs w:val="24"/>
          </w:rPr>
          <w:t>https://www.icc-cpi.int/CaseInformationSheets/albashirEng.pdf</w:t>
        </w:r>
      </w:hyperlink>
      <w:r w:rsidRPr="002A0C01">
        <w:rPr>
          <w:rStyle w:val="None"/>
          <w:rFonts w:ascii="Times New Roman" w:hAnsi="Times New Roman" w:cs="Times New Roman"/>
          <w:sz w:val="24"/>
          <w:szCs w:val="24"/>
          <w:u w:val="single"/>
        </w:rPr>
        <w:t>.</w:t>
      </w:r>
    </w:p>
    <w:p w14:paraId="64CBB2EE" w14:textId="77777777" w:rsidR="00B2706C"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Fonts w:ascii="Times New Roman" w:hAnsi="Times New Roman" w:cs="Times New Roman"/>
          <w:sz w:val="24"/>
          <w:szCs w:val="24"/>
        </w:rPr>
        <w:t xml:space="preserve">Prosecutor v Omar Hassan Ahmad Al Bashir, Case No. ICC-02/05-01/09, Decision on the Prosecutor’s Request for a Finding of Non-Compliance Against the Republic of the Sudan, 9 March 2015, </w:t>
      </w:r>
      <w:hyperlink r:id="rId21" w:history="1">
        <w:r w:rsidRPr="002A0C01">
          <w:rPr>
            <w:rStyle w:val="Hyperlink"/>
            <w:rFonts w:ascii="Times New Roman" w:hAnsi="Times New Roman" w:cs="Times New Roman"/>
            <w:sz w:val="24"/>
            <w:szCs w:val="24"/>
          </w:rPr>
          <w:t>https://www.icc-cpi.int/CourtRecords/CR2015_02745.PDF</w:t>
        </w:r>
      </w:hyperlink>
      <w:r w:rsidRPr="002A0C01">
        <w:rPr>
          <w:rFonts w:ascii="Times New Roman" w:hAnsi="Times New Roman" w:cs="Times New Roman"/>
          <w:sz w:val="24"/>
          <w:szCs w:val="24"/>
        </w:rPr>
        <w:t xml:space="preserve">. </w:t>
      </w:r>
    </w:p>
    <w:p w14:paraId="759C4B98"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lastRenderedPageBreak/>
        <w:t xml:space="preserve">Prosecutor v Omar Hassan Ahmad Al Bashir, Case No. ICC-02/05-01/09, Warrant of Arrest for Omar Hassan Ahmad Al Bashir, 4 March 2009, </w:t>
      </w:r>
      <w:hyperlink r:id="rId22" w:history="1">
        <w:r w:rsidRPr="002A0C01">
          <w:rPr>
            <w:rStyle w:val="Hyperlink1"/>
            <w:rFonts w:ascii="Times New Roman" w:hAnsi="Times New Roman" w:cs="Times New Roman"/>
          </w:rPr>
          <w:t>https://www.icc-cpi.int/CourtRecords/CR2009_01514.PDF</w:t>
        </w:r>
      </w:hyperlink>
      <w:r w:rsidRPr="002A0C01">
        <w:rPr>
          <w:rStyle w:val="None"/>
          <w:rFonts w:ascii="Times New Roman" w:hAnsi="Times New Roman" w:cs="Times New Roman"/>
          <w:sz w:val="24"/>
          <w:szCs w:val="24"/>
        </w:rPr>
        <w:t>.</w:t>
      </w:r>
    </w:p>
    <w:p w14:paraId="080CFF15" w14:textId="77777777" w:rsidR="001B7948" w:rsidRPr="002A0C01" w:rsidRDefault="00B2706C" w:rsidP="002A0C01">
      <w:pPr>
        <w:pStyle w:val="FootnoteText"/>
        <w:spacing w:line="360" w:lineRule="auto"/>
        <w:jc w:val="both"/>
        <w:rPr>
          <w:rStyle w:val="None"/>
          <w:rFonts w:ascii="Times New Roman" w:hAnsi="Times New Roman" w:cs="Times New Roman"/>
          <w:sz w:val="24"/>
          <w:szCs w:val="24"/>
        </w:rPr>
      </w:pPr>
      <w:r w:rsidRPr="002A0C01">
        <w:rPr>
          <w:rStyle w:val="None"/>
          <w:rFonts w:ascii="Times New Roman" w:hAnsi="Times New Roman" w:cs="Times New Roman"/>
          <w:sz w:val="24"/>
          <w:szCs w:val="24"/>
        </w:rPr>
        <w:t xml:space="preserve">Prosecutor v Omar Hassan Ahmad Al Bashir, Case No. ICC-02/05-01/09, Second Warrant of Arrest for Omar Hassan Ahmad Al Bashir, 12 July 2010, </w:t>
      </w:r>
      <w:hyperlink r:id="rId23" w:history="1">
        <w:r w:rsidRPr="002A0C01">
          <w:rPr>
            <w:rStyle w:val="Link"/>
            <w:rFonts w:ascii="Times New Roman" w:hAnsi="Times New Roman" w:cs="Times New Roman"/>
            <w:sz w:val="24"/>
            <w:szCs w:val="24"/>
          </w:rPr>
          <w:t>https://www.icc-cpi.int/CourtRecords/CR2010_04825.PDF</w:t>
        </w:r>
      </w:hyperlink>
      <w:r w:rsidRPr="002A0C01">
        <w:rPr>
          <w:rStyle w:val="None"/>
          <w:rFonts w:ascii="Times New Roman" w:hAnsi="Times New Roman" w:cs="Times New Roman"/>
          <w:sz w:val="24"/>
          <w:szCs w:val="24"/>
        </w:rPr>
        <w:t>.</w:t>
      </w:r>
    </w:p>
    <w:p w14:paraId="75A27BA7" w14:textId="77777777" w:rsidR="001B7948" w:rsidRPr="002A0C01" w:rsidRDefault="001B7948" w:rsidP="002A0C01">
      <w:pPr>
        <w:pStyle w:val="FootnoteText"/>
        <w:spacing w:line="360" w:lineRule="auto"/>
        <w:jc w:val="both"/>
        <w:rPr>
          <w:rStyle w:val="None"/>
          <w:rFonts w:ascii="Times New Roman" w:hAnsi="Times New Roman" w:cs="Times New Roman"/>
        </w:rPr>
      </w:pPr>
    </w:p>
    <w:p w14:paraId="756EAA41" w14:textId="77777777" w:rsidR="001B7948" w:rsidRPr="002A0C01" w:rsidRDefault="00B2706C" w:rsidP="002A0C01">
      <w:pPr>
        <w:pStyle w:val="FootnoteText"/>
        <w:spacing w:line="360" w:lineRule="auto"/>
        <w:jc w:val="both"/>
        <w:rPr>
          <w:rStyle w:val="None"/>
          <w:rFonts w:ascii="Times New Roman" w:eastAsia="Times New Roman" w:hAnsi="Times New Roman" w:cs="Times New Roman"/>
          <w:sz w:val="24"/>
          <w:szCs w:val="24"/>
          <w:u w:val="single"/>
        </w:rPr>
      </w:pPr>
      <w:r w:rsidRPr="002A0C01">
        <w:rPr>
          <w:rStyle w:val="None"/>
          <w:rFonts w:ascii="Times New Roman" w:hAnsi="Times New Roman" w:cs="Times New Roman"/>
          <w:sz w:val="24"/>
          <w:szCs w:val="24"/>
          <w:u w:val="single"/>
        </w:rPr>
        <w:t>List of Legal Instruments</w:t>
      </w:r>
    </w:p>
    <w:p w14:paraId="318671BB" w14:textId="77777777" w:rsidR="001B7948" w:rsidRPr="002A0C01" w:rsidRDefault="00B2706C" w:rsidP="002A0C01">
      <w:pPr>
        <w:pStyle w:val="BodyBA"/>
        <w:spacing w:line="360" w:lineRule="auto"/>
        <w:jc w:val="both"/>
      </w:pPr>
      <w:r w:rsidRPr="002A0C01">
        <w:rPr>
          <w:rStyle w:val="None"/>
          <w:i/>
          <w:iCs/>
        </w:rPr>
        <w:t>Rome Statute of the International Criminal Court</w:t>
      </w:r>
      <w:r w:rsidRPr="002A0C01">
        <w:t>, 17 July 1998, 2187 UNTS.</w:t>
      </w:r>
    </w:p>
    <w:p w14:paraId="295A218B" w14:textId="13BC175C" w:rsidR="00241DA2" w:rsidRPr="002A0C01" w:rsidRDefault="00B2706C" w:rsidP="002A0C01">
      <w:pPr>
        <w:pStyle w:val="BodyA"/>
        <w:spacing w:line="360" w:lineRule="auto"/>
        <w:jc w:val="both"/>
        <w:rPr>
          <w:rFonts w:ascii="Times New Roman" w:hAnsi="Times New Roman" w:cs="Times New Roman"/>
          <w:sz w:val="24"/>
          <w:szCs w:val="24"/>
        </w:rPr>
        <w:sectPr w:rsidR="00241DA2" w:rsidRPr="002A0C01" w:rsidSect="00241DA2">
          <w:footerReference w:type="default" r:id="rId24"/>
          <w:pgSz w:w="12240" w:h="15840"/>
          <w:pgMar w:top="1440" w:right="1440" w:bottom="1440" w:left="1440" w:header="720" w:footer="720" w:gutter="0"/>
          <w:pgNumType w:fmt="lowerRoman"/>
          <w:cols w:space="720"/>
        </w:sectPr>
      </w:pPr>
      <w:r w:rsidRPr="002A0C01">
        <w:rPr>
          <w:rStyle w:val="None"/>
          <w:rFonts w:ascii="Times New Roman" w:hAnsi="Times New Roman" w:cs="Times New Roman"/>
          <w:i/>
          <w:iCs/>
          <w:sz w:val="24"/>
          <w:szCs w:val="24"/>
        </w:rPr>
        <w:t>ICC Rules of Procedure and Evidence</w:t>
      </w:r>
      <w:r w:rsidR="00241DA2" w:rsidRPr="002A0C01">
        <w:rPr>
          <w:rStyle w:val="None"/>
          <w:rFonts w:ascii="Times New Roman" w:hAnsi="Times New Roman" w:cs="Times New Roman"/>
          <w:sz w:val="24"/>
          <w:szCs w:val="24"/>
        </w:rPr>
        <w:t>, 2013, ISBN No. 92-9227-278</w:t>
      </w:r>
    </w:p>
    <w:p w14:paraId="4C5DE63C" w14:textId="77777777" w:rsidR="001B7948" w:rsidRPr="002A0C01" w:rsidRDefault="00B2706C" w:rsidP="002A0C01">
      <w:pPr>
        <w:pStyle w:val="Heading"/>
        <w:spacing w:line="360" w:lineRule="auto"/>
        <w:jc w:val="both"/>
        <w:rPr>
          <w:rStyle w:val="None"/>
          <w:rFonts w:ascii="Times New Roman" w:eastAsia="Times New Roman" w:hAnsi="Times New Roman" w:cs="Times New Roman"/>
          <w:u w:color="000000"/>
        </w:rPr>
      </w:pPr>
      <w:bookmarkStart w:id="3" w:name="_Toc3"/>
      <w:r w:rsidRPr="002A0C01">
        <w:rPr>
          <w:rStyle w:val="None"/>
          <w:rFonts w:ascii="Times New Roman" w:hAnsi="Times New Roman" w:cs="Times New Roman"/>
        </w:rPr>
        <w:lastRenderedPageBreak/>
        <w:t>CHAPTER</w:t>
      </w:r>
      <w:r w:rsidRPr="002A0C01">
        <w:rPr>
          <w:rStyle w:val="None"/>
          <w:rFonts w:ascii="Times New Roman" w:hAnsi="Times New Roman" w:cs="Times New Roman"/>
          <w:u w:color="000000"/>
          <w:lang w:val="de-DE"/>
        </w:rPr>
        <w:t xml:space="preserve"> ONE</w:t>
      </w:r>
      <w:bookmarkStart w:id="4" w:name="_GoBack"/>
      <w:bookmarkEnd w:id="3"/>
      <w:bookmarkEnd w:id="4"/>
    </w:p>
    <w:p w14:paraId="49565A52" w14:textId="77777777" w:rsidR="001B7948" w:rsidRPr="002A0C01" w:rsidRDefault="00B2706C" w:rsidP="002A0C01">
      <w:pPr>
        <w:pStyle w:val="Heading2"/>
        <w:spacing w:line="360" w:lineRule="auto"/>
        <w:jc w:val="both"/>
        <w:rPr>
          <w:rStyle w:val="None"/>
          <w:rFonts w:ascii="Times New Roman" w:eastAsia="Times New Roman" w:hAnsi="Times New Roman" w:cs="Times New Roman"/>
          <w:u w:color="000000"/>
        </w:rPr>
      </w:pPr>
      <w:bookmarkStart w:id="5" w:name="_Toc4"/>
      <w:r w:rsidRPr="002A0C01">
        <w:rPr>
          <w:rStyle w:val="None"/>
          <w:rFonts w:ascii="Times New Roman" w:hAnsi="Times New Roman" w:cs="Times New Roman"/>
          <w:u w:color="000000"/>
        </w:rPr>
        <w:t xml:space="preserve">1.0 </w:t>
      </w:r>
      <w:r w:rsidRPr="002A0C01">
        <w:rPr>
          <w:rStyle w:val="None"/>
          <w:rFonts w:ascii="Times New Roman" w:hAnsi="Times New Roman" w:cs="Times New Roman"/>
          <w:lang w:val="de-DE"/>
        </w:rPr>
        <w:t>INTRODUCTION</w:t>
      </w:r>
      <w:bookmarkEnd w:id="5"/>
    </w:p>
    <w:p w14:paraId="10D3E36B"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This paper will focus primarily on the ICC. The ICC is governed by the Rome Statute.</w:t>
      </w:r>
      <w:r w:rsidRPr="002A0C01">
        <w:rPr>
          <w:rStyle w:val="None"/>
          <w:rFonts w:ascii="Times New Roman" w:eastAsia="Times New Roman" w:hAnsi="Times New Roman" w:cs="Times New Roman"/>
          <w:sz w:val="24"/>
          <w:szCs w:val="24"/>
          <w:vertAlign w:val="superscript"/>
        </w:rPr>
        <w:footnoteReference w:id="2"/>
      </w:r>
      <w:r w:rsidRPr="002A0C01">
        <w:rPr>
          <w:rStyle w:val="None"/>
          <w:rFonts w:ascii="Times New Roman" w:hAnsi="Times New Roman" w:cs="Times New Roman"/>
          <w:sz w:val="24"/>
          <w:szCs w:val="24"/>
        </w:rPr>
        <w:t xml:space="preserve"> Some of the key principles enabling the functions of the ICC include State cooperation through the principle of complementarity.</w:t>
      </w:r>
      <w:r w:rsidRPr="002A0C01">
        <w:rPr>
          <w:rStyle w:val="None"/>
          <w:rFonts w:ascii="Times New Roman" w:eastAsia="Times New Roman" w:hAnsi="Times New Roman" w:cs="Times New Roman"/>
          <w:sz w:val="24"/>
          <w:szCs w:val="24"/>
          <w:vertAlign w:val="superscript"/>
        </w:rPr>
        <w:footnoteReference w:id="3"/>
      </w:r>
      <w:r w:rsidRPr="002A0C01">
        <w:rPr>
          <w:rStyle w:val="None"/>
          <w:rFonts w:ascii="Times New Roman" w:hAnsi="Times New Roman" w:cs="Times New Roman"/>
          <w:sz w:val="24"/>
          <w:szCs w:val="24"/>
        </w:rPr>
        <w:t xml:space="preserve"> Envisaged in the preamble of the ICC, State cooperation is seen to be fundamental in the functioning of the ICC.</w:t>
      </w:r>
      <w:r w:rsidRPr="002A0C01">
        <w:rPr>
          <w:rStyle w:val="None"/>
          <w:rFonts w:ascii="Times New Roman" w:eastAsia="Times New Roman" w:hAnsi="Times New Roman" w:cs="Times New Roman"/>
          <w:sz w:val="24"/>
          <w:szCs w:val="24"/>
          <w:vertAlign w:val="superscript"/>
        </w:rPr>
        <w:footnoteReference w:id="4"/>
      </w:r>
      <w:r w:rsidRPr="002A0C01">
        <w:rPr>
          <w:rStyle w:val="None"/>
          <w:rFonts w:ascii="Times New Roman" w:hAnsi="Times New Roman" w:cs="Times New Roman"/>
          <w:sz w:val="24"/>
          <w:szCs w:val="24"/>
        </w:rPr>
        <w:t xml:space="preserve">  Decisions, orders and requests made by the ICC can only be enforced by States or even international organisations.</w:t>
      </w:r>
      <w:r w:rsidRPr="002A0C01">
        <w:rPr>
          <w:rStyle w:val="None"/>
          <w:rFonts w:ascii="Times New Roman" w:eastAsia="Times New Roman" w:hAnsi="Times New Roman" w:cs="Times New Roman"/>
          <w:sz w:val="24"/>
          <w:szCs w:val="24"/>
          <w:vertAlign w:val="superscript"/>
        </w:rPr>
        <w:footnoteReference w:id="5"/>
      </w:r>
      <w:r w:rsidRPr="002A0C01">
        <w:rPr>
          <w:rStyle w:val="None"/>
          <w:rFonts w:ascii="Times New Roman" w:hAnsi="Times New Roman" w:cs="Times New Roman"/>
          <w:sz w:val="24"/>
          <w:szCs w:val="24"/>
        </w:rPr>
        <w:t xml:space="preserve"> Tasks such as the enforcement of arrest warrants, the compelling of witnesses to give testimony and the confiscating of evidentiary material require the assistance of State Parties.</w:t>
      </w:r>
      <w:r w:rsidRPr="002A0C01">
        <w:rPr>
          <w:rStyle w:val="None"/>
          <w:rFonts w:ascii="Times New Roman" w:eastAsia="Times New Roman" w:hAnsi="Times New Roman" w:cs="Times New Roman"/>
          <w:sz w:val="24"/>
          <w:szCs w:val="24"/>
          <w:vertAlign w:val="superscript"/>
        </w:rPr>
        <w:footnoteReference w:id="6"/>
      </w:r>
      <w:r w:rsidRPr="002A0C01">
        <w:rPr>
          <w:rStyle w:val="None"/>
          <w:rFonts w:ascii="Times New Roman" w:hAnsi="Times New Roman" w:cs="Times New Roman"/>
          <w:sz w:val="24"/>
          <w:szCs w:val="24"/>
        </w:rPr>
        <w:t xml:space="preserve"> It is for these purposes that State cooperation is seen to be key to the operation of the ICC.</w:t>
      </w:r>
    </w:p>
    <w:p w14:paraId="2BC83B5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Regardless of the importance of State cooperation and the evident duty tasked upon States to cooperate with the ICC, some States have still failed to do so.  In the Situation in Kenya for example, the ICC prosecutor noted that Kenya was failing to work with the ICC.</w:t>
      </w:r>
      <w:r w:rsidRPr="002A0C01">
        <w:rPr>
          <w:rStyle w:val="None"/>
          <w:rFonts w:ascii="Times New Roman" w:eastAsia="Times New Roman" w:hAnsi="Times New Roman" w:cs="Times New Roman"/>
          <w:sz w:val="24"/>
          <w:szCs w:val="24"/>
          <w:vertAlign w:val="superscript"/>
        </w:rPr>
        <w:footnoteReference w:id="7"/>
      </w:r>
      <w:r w:rsidRPr="002A0C01">
        <w:rPr>
          <w:rStyle w:val="None"/>
          <w:rFonts w:ascii="Times New Roman" w:hAnsi="Times New Roman" w:cs="Times New Roman"/>
          <w:sz w:val="24"/>
          <w:szCs w:val="24"/>
        </w:rPr>
        <w:t xml:space="preserve"> Instances of witness intimidation were seen to be ongoing, despite the significance placed upon those witnesses by the ICC.</w:t>
      </w:r>
      <w:r w:rsidRPr="002A0C01">
        <w:rPr>
          <w:rStyle w:val="None"/>
          <w:rFonts w:ascii="Times New Roman" w:eastAsia="Times New Roman" w:hAnsi="Times New Roman" w:cs="Times New Roman"/>
          <w:sz w:val="24"/>
          <w:szCs w:val="24"/>
          <w:vertAlign w:val="superscript"/>
        </w:rPr>
        <w:footnoteReference w:id="8"/>
      </w:r>
      <w:r w:rsidRPr="002A0C01">
        <w:rPr>
          <w:rStyle w:val="None"/>
          <w:rFonts w:ascii="Times New Roman" w:hAnsi="Times New Roman" w:cs="Times New Roman"/>
          <w:sz w:val="24"/>
          <w:szCs w:val="24"/>
        </w:rPr>
        <w:t xml:space="preserve"> Kenya is not the only country that has omitted to cooperate with the ICC, Sudan, the</w:t>
      </w:r>
      <w:r w:rsidRPr="002A0C01">
        <w:rPr>
          <w:rStyle w:val="None"/>
          <w:rFonts w:ascii="Times New Roman" w:hAnsi="Times New Roman" w:cs="Times New Roman"/>
          <w:sz w:val="20"/>
          <w:szCs w:val="20"/>
        </w:rPr>
        <w:t xml:space="preserve"> </w:t>
      </w:r>
      <w:r w:rsidRPr="002A0C01">
        <w:rPr>
          <w:rStyle w:val="None"/>
          <w:rFonts w:ascii="Times New Roman" w:hAnsi="Times New Roman" w:cs="Times New Roman"/>
          <w:sz w:val="24"/>
          <w:szCs w:val="24"/>
        </w:rPr>
        <w:t>Democratic Republic of Congo, Uganda, Libya and the Central African Republic are also guilty of this ‘</w:t>
      </w:r>
      <w:r w:rsidRPr="002A0C01">
        <w:rPr>
          <w:rStyle w:val="None"/>
          <w:rFonts w:ascii="Times New Roman" w:hAnsi="Times New Roman" w:cs="Times New Roman"/>
          <w:sz w:val="24"/>
          <w:szCs w:val="24"/>
          <w:lang w:val="pt-PT"/>
        </w:rPr>
        <w:t>crime</w:t>
      </w:r>
      <w:r w:rsidRPr="002A0C01">
        <w:rPr>
          <w:rStyle w:val="None"/>
          <w:rFonts w:ascii="Times New Roman" w:hAnsi="Times New Roman" w:cs="Times New Roman"/>
          <w:sz w:val="24"/>
          <w:szCs w:val="24"/>
        </w:rPr>
        <w:t>’.</w:t>
      </w:r>
      <w:r w:rsidRPr="002A0C01">
        <w:rPr>
          <w:rStyle w:val="None"/>
          <w:rFonts w:ascii="Times New Roman" w:eastAsia="Times New Roman" w:hAnsi="Times New Roman" w:cs="Times New Roman"/>
          <w:sz w:val="24"/>
          <w:szCs w:val="24"/>
          <w:vertAlign w:val="superscript"/>
        </w:rPr>
        <w:footnoteReference w:id="9"/>
      </w:r>
    </w:p>
    <w:p w14:paraId="3B9A412B"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This paper therefore seeks to understand why Kenya and Sudan neglected to liaise with the ICC. This is in order to prevent the same from happening in future cases. In the process, the scope of </w:t>
      </w:r>
      <w:r w:rsidRPr="002A0C01">
        <w:rPr>
          <w:rStyle w:val="None"/>
          <w:rFonts w:ascii="Times New Roman" w:hAnsi="Times New Roman" w:cs="Times New Roman"/>
          <w:sz w:val="24"/>
          <w:szCs w:val="24"/>
        </w:rPr>
        <w:lastRenderedPageBreak/>
        <w:t xml:space="preserve">cooperation as is will be provided for and recommendations made to encourage State Parties to cooperate with the ICC.  </w:t>
      </w:r>
    </w:p>
    <w:p w14:paraId="78744A08" w14:textId="17A797FD"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6" w:name="_Toc5"/>
      <w:r w:rsidRPr="002A0C01">
        <w:rPr>
          <w:rStyle w:val="None"/>
          <w:rFonts w:ascii="Times New Roman" w:hAnsi="Times New Roman" w:cs="Times New Roman"/>
        </w:rPr>
        <w:t>Background</w:t>
      </w:r>
      <w:r w:rsidRPr="002A0C01">
        <w:rPr>
          <w:rStyle w:val="None"/>
          <w:rFonts w:ascii="Times New Roman" w:hAnsi="Times New Roman" w:cs="Times New Roman"/>
          <w:u w:color="000000"/>
        </w:rPr>
        <w:t xml:space="preserve"> </w:t>
      </w:r>
      <w:bookmarkEnd w:id="6"/>
    </w:p>
    <w:p w14:paraId="20490DD8"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Following the genocides in Rwanda and Yugoslavia, countries banded together in order to form an autonomic and permanent international criminal court.</w:t>
      </w:r>
      <w:r w:rsidRPr="002A0C01">
        <w:rPr>
          <w:rStyle w:val="None"/>
          <w:rFonts w:ascii="Times New Roman" w:eastAsia="Times New Roman" w:hAnsi="Times New Roman" w:cs="Times New Roman"/>
          <w:sz w:val="24"/>
          <w:szCs w:val="24"/>
          <w:vertAlign w:val="superscript"/>
        </w:rPr>
        <w:footnoteReference w:id="10"/>
      </w:r>
      <w:r w:rsidRPr="002A0C01">
        <w:rPr>
          <w:rStyle w:val="None"/>
          <w:rFonts w:ascii="Times New Roman" w:hAnsi="Times New Roman" w:cs="Times New Roman"/>
          <w:sz w:val="24"/>
          <w:szCs w:val="24"/>
        </w:rPr>
        <w:t xml:space="preserve"> Upon signing the Rome Statute of the International Criminal Court, the ICC was founded.</w:t>
      </w:r>
      <w:r w:rsidRPr="002A0C01">
        <w:rPr>
          <w:rStyle w:val="None"/>
          <w:rFonts w:ascii="Times New Roman" w:eastAsia="Times New Roman" w:hAnsi="Times New Roman" w:cs="Times New Roman"/>
          <w:sz w:val="24"/>
          <w:szCs w:val="24"/>
          <w:vertAlign w:val="superscript"/>
        </w:rPr>
        <w:footnoteReference w:id="11"/>
      </w:r>
      <w:r w:rsidRPr="002A0C01">
        <w:rPr>
          <w:rStyle w:val="None"/>
          <w:rFonts w:ascii="Times New Roman" w:hAnsi="Times New Roman" w:cs="Times New Roman"/>
          <w:sz w:val="24"/>
          <w:szCs w:val="24"/>
        </w:rPr>
        <w:t xml:space="preserve"> This body was tasked with the duty of holding people accountable for egregious crimes such as war crimes against humanity, genocide and war crimes; despite one’s ranking.</w:t>
      </w:r>
      <w:r w:rsidRPr="002A0C01">
        <w:rPr>
          <w:rStyle w:val="None"/>
          <w:rFonts w:ascii="Times New Roman" w:eastAsia="Times New Roman" w:hAnsi="Times New Roman" w:cs="Times New Roman"/>
          <w:sz w:val="24"/>
          <w:szCs w:val="24"/>
          <w:vertAlign w:val="superscript"/>
        </w:rPr>
        <w:footnoteReference w:id="12"/>
      </w:r>
      <w:r w:rsidRPr="002A0C01">
        <w:rPr>
          <w:rStyle w:val="None"/>
          <w:rFonts w:ascii="Times New Roman" w:hAnsi="Times New Roman" w:cs="Times New Roman"/>
          <w:sz w:val="24"/>
          <w:szCs w:val="24"/>
        </w:rPr>
        <w:t xml:space="preserve"> </w:t>
      </w:r>
    </w:p>
    <w:p w14:paraId="2DA4D18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As per the Rome Statute, cases are to be attended to by the ICC based on a “last resort basis.”</w:t>
      </w:r>
      <w:r w:rsidRPr="002A0C01">
        <w:rPr>
          <w:rStyle w:val="None"/>
          <w:rFonts w:ascii="Times New Roman" w:eastAsia="Times New Roman" w:hAnsi="Times New Roman" w:cs="Times New Roman"/>
          <w:sz w:val="24"/>
          <w:szCs w:val="24"/>
          <w:vertAlign w:val="superscript"/>
        </w:rPr>
        <w:footnoteReference w:id="13"/>
      </w:r>
      <w:r w:rsidRPr="002A0C01">
        <w:rPr>
          <w:rStyle w:val="None"/>
          <w:rFonts w:ascii="Times New Roman" w:hAnsi="Times New Roman" w:cs="Times New Roman"/>
          <w:sz w:val="24"/>
          <w:szCs w:val="24"/>
        </w:rPr>
        <w:t xml:space="preserve"> If a State party’s national courts have failed to deal with the matter at hand, the ICC comes in.</w:t>
      </w:r>
      <w:r w:rsidRPr="002A0C01">
        <w:rPr>
          <w:rStyle w:val="None"/>
          <w:rFonts w:ascii="Times New Roman" w:eastAsia="Times New Roman" w:hAnsi="Times New Roman" w:cs="Times New Roman"/>
          <w:sz w:val="24"/>
          <w:szCs w:val="24"/>
          <w:vertAlign w:val="superscript"/>
        </w:rPr>
        <w:footnoteReference w:id="14"/>
      </w:r>
      <w:r w:rsidRPr="002A0C01">
        <w:rPr>
          <w:rStyle w:val="None"/>
          <w:rFonts w:ascii="Times New Roman" w:hAnsi="Times New Roman" w:cs="Times New Roman"/>
          <w:sz w:val="24"/>
          <w:szCs w:val="24"/>
        </w:rPr>
        <w:t xml:space="preserve"> If, however the State party has dealt with the issue sufficiently then the ICC has no grounds or basis to partake in the issue, it is merely complementary to national jurisdictions.</w:t>
      </w:r>
      <w:r w:rsidRPr="002A0C01">
        <w:rPr>
          <w:rStyle w:val="None"/>
          <w:rFonts w:ascii="Times New Roman" w:eastAsia="Times New Roman" w:hAnsi="Times New Roman" w:cs="Times New Roman"/>
          <w:sz w:val="24"/>
          <w:szCs w:val="24"/>
          <w:vertAlign w:val="superscript"/>
        </w:rPr>
        <w:footnoteReference w:id="15"/>
      </w:r>
      <w:r w:rsidRPr="002A0C01">
        <w:rPr>
          <w:rStyle w:val="None"/>
          <w:rFonts w:ascii="Times New Roman" w:hAnsi="Times New Roman" w:cs="Times New Roman"/>
          <w:sz w:val="24"/>
          <w:szCs w:val="24"/>
        </w:rPr>
        <w:t xml:space="preserve"> This is referred to as the principle of complementarity.</w:t>
      </w:r>
      <w:r w:rsidRPr="002A0C01">
        <w:rPr>
          <w:rStyle w:val="None"/>
          <w:rFonts w:ascii="Times New Roman" w:eastAsia="Times New Roman" w:hAnsi="Times New Roman" w:cs="Times New Roman"/>
          <w:sz w:val="24"/>
          <w:szCs w:val="24"/>
          <w:vertAlign w:val="superscript"/>
        </w:rPr>
        <w:footnoteReference w:id="16"/>
      </w:r>
      <w:r w:rsidRPr="002A0C01">
        <w:rPr>
          <w:rStyle w:val="None"/>
          <w:rFonts w:ascii="Times New Roman" w:hAnsi="Times New Roman" w:cs="Times New Roman"/>
          <w:sz w:val="24"/>
          <w:szCs w:val="24"/>
        </w:rPr>
        <w:t xml:space="preserve"> </w:t>
      </w:r>
    </w:p>
    <w:p w14:paraId="27076C35"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principle of complementarity requires the efficient handing over of matters from the national jurisdiction to the ICC.</w:t>
      </w:r>
      <w:r w:rsidRPr="002A0C01">
        <w:rPr>
          <w:rStyle w:val="None"/>
          <w:rFonts w:ascii="Times New Roman" w:eastAsia="Times New Roman" w:hAnsi="Times New Roman" w:cs="Times New Roman"/>
          <w:sz w:val="24"/>
          <w:szCs w:val="24"/>
          <w:vertAlign w:val="superscript"/>
        </w:rPr>
        <w:footnoteReference w:id="17"/>
      </w:r>
      <w:r w:rsidRPr="002A0C01">
        <w:rPr>
          <w:rStyle w:val="None"/>
          <w:rFonts w:ascii="Times New Roman" w:hAnsi="Times New Roman" w:cs="Times New Roman"/>
          <w:sz w:val="24"/>
          <w:szCs w:val="24"/>
        </w:rPr>
        <w:t xml:space="preserve"> State cooperation plays a part in achieving this function. It enables, for example, the efficacious arrest and surrender of those called upon by the court.</w:t>
      </w:r>
      <w:r w:rsidRPr="002A0C01">
        <w:rPr>
          <w:rStyle w:val="None"/>
          <w:rFonts w:ascii="Times New Roman" w:eastAsia="Times New Roman" w:hAnsi="Times New Roman" w:cs="Times New Roman"/>
          <w:sz w:val="24"/>
          <w:szCs w:val="24"/>
          <w:vertAlign w:val="superscript"/>
        </w:rPr>
        <w:footnoteReference w:id="18"/>
      </w:r>
      <w:r w:rsidRPr="002A0C01">
        <w:rPr>
          <w:rStyle w:val="None"/>
          <w:rFonts w:ascii="Times New Roman" w:hAnsi="Times New Roman" w:cs="Times New Roman"/>
          <w:sz w:val="24"/>
          <w:szCs w:val="24"/>
        </w:rPr>
        <w:t xml:space="preserve"> </w:t>
      </w:r>
    </w:p>
    <w:p w14:paraId="62CEF542"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 cooperation’s importance is clearly showcased in the pre-amble of the ICC which provides that:</w:t>
      </w:r>
    </w:p>
    <w:p w14:paraId="38A3D42C" w14:textId="77777777" w:rsidR="001B7948" w:rsidRPr="002A0C01" w:rsidRDefault="00B2706C" w:rsidP="002A0C01">
      <w:pPr>
        <w:pStyle w:val="BodyA"/>
        <w:spacing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the most serious crimes of concern to international community as a whole must not go unpunished and that their effective prosecution must be ensured by taking measures at the national level and by enhancing international cooperation.</w:t>
      </w:r>
      <w:r w:rsidRPr="002A0C01">
        <w:rPr>
          <w:rStyle w:val="None"/>
          <w:rFonts w:ascii="Times New Roman" w:eastAsia="Times New Roman" w:hAnsi="Times New Roman" w:cs="Times New Roman"/>
          <w:sz w:val="24"/>
          <w:szCs w:val="24"/>
          <w:vertAlign w:val="superscript"/>
        </w:rPr>
        <w:footnoteReference w:id="19"/>
      </w:r>
    </w:p>
    <w:p w14:paraId="000F64B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States obligation to cooperate is further provided for in Article 86 of the Statute. It states that: </w:t>
      </w:r>
    </w:p>
    <w:p w14:paraId="69988ECF" w14:textId="77777777" w:rsidR="001B7948" w:rsidRPr="002A0C01" w:rsidRDefault="00B2706C" w:rsidP="002A0C01">
      <w:pPr>
        <w:pStyle w:val="BodyA"/>
        <w:spacing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States Parties shall, in accordance with the provisions of this Statute, cooperate fully with the Court in its investigation and prosecution of crimes within the jurisdiction of the Court.</w:t>
      </w:r>
      <w:r w:rsidRPr="002A0C01">
        <w:rPr>
          <w:rStyle w:val="None"/>
          <w:rFonts w:ascii="Times New Roman" w:eastAsia="Times New Roman" w:hAnsi="Times New Roman" w:cs="Times New Roman"/>
          <w:sz w:val="24"/>
          <w:szCs w:val="24"/>
          <w:vertAlign w:val="superscript"/>
        </w:rPr>
        <w:footnoteReference w:id="20"/>
      </w:r>
    </w:p>
    <w:p w14:paraId="1CAB8779"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Subsequently, the Statute provides for ways in which the ICC can make requests to the State Parties,</w:t>
      </w:r>
      <w:r w:rsidRPr="002A0C01">
        <w:rPr>
          <w:rStyle w:val="None"/>
          <w:rFonts w:ascii="Times New Roman" w:eastAsia="Times New Roman" w:hAnsi="Times New Roman" w:cs="Times New Roman"/>
          <w:sz w:val="24"/>
          <w:szCs w:val="24"/>
          <w:vertAlign w:val="superscript"/>
        </w:rPr>
        <w:footnoteReference w:id="21"/>
      </w:r>
      <w:r w:rsidRPr="002A0C01">
        <w:rPr>
          <w:rStyle w:val="None"/>
          <w:rFonts w:ascii="Times New Roman" w:hAnsi="Times New Roman" w:cs="Times New Roman"/>
          <w:sz w:val="24"/>
          <w:szCs w:val="24"/>
        </w:rPr>
        <w:t xml:space="preserve"> how to handle competing requests,</w:t>
      </w:r>
      <w:r w:rsidRPr="002A0C01">
        <w:rPr>
          <w:rStyle w:val="None"/>
          <w:rFonts w:ascii="Times New Roman" w:eastAsia="Times New Roman" w:hAnsi="Times New Roman" w:cs="Times New Roman"/>
          <w:sz w:val="24"/>
          <w:szCs w:val="24"/>
          <w:vertAlign w:val="superscript"/>
        </w:rPr>
        <w:footnoteReference w:id="22"/>
      </w:r>
      <w:r w:rsidRPr="002A0C01">
        <w:rPr>
          <w:rStyle w:val="None"/>
          <w:rFonts w:ascii="Times New Roman" w:hAnsi="Times New Roman" w:cs="Times New Roman"/>
          <w:sz w:val="24"/>
          <w:szCs w:val="24"/>
        </w:rPr>
        <w:t xml:space="preserve"> the contents of a request,</w:t>
      </w:r>
      <w:r w:rsidRPr="002A0C01">
        <w:rPr>
          <w:rStyle w:val="None"/>
          <w:rFonts w:ascii="Times New Roman" w:eastAsia="Times New Roman" w:hAnsi="Times New Roman" w:cs="Times New Roman"/>
          <w:sz w:val="24"/>
          <w:szCs w:val="24"/>
          <w:vertAlign w:val="superscript"/>
        </w:rPr>
        <w:footnoteReference w:id="23"/>
      </w:r>
      <w:r w:rsidRPr="002A0C01">
        <w:rPr>
          <w:rStyle w:val="None"/>
          <w:rFonts w:ascii="Times New Roman" w:hAnsi="Times New Roman" w:cs="Times New Roman"/>
          <w:sz w:val="24"/>
          <w:szCs w:val="24"/>
        </w:rPr>
        <w:t xml:space="preserve"> and many more ways through which a State can be said to be cooperating with the ICC.</w:t>
      </w:r>
      <w:r w:rsidRPr="002A0C01">
        <w:rPr>
          <w:rStyle w:val="None"/>
          <w:rFonts w:ascii="Times New Roman" w:eastAsia="Times New Roman" w:hAnsi="Times New Roman" w:cs="Times New Roman"/>
          <w:sz w:val="24"/>
          <w:szCs w:val="24"/>
          <w:vertAlign w:val="superscript"/>
        </w:rPr>
        <w:footnoteReference w:id="24"/>
      </w:r>
      <w:r w:rsidRPr="002A0C01">
        <w:rPr>
          <w:rStyle w:val="None"/>
          <w:rFonts w:ascii="Times New Roman" w:hAnsi="Times New Roman" w:cs="Times New Roman"/>
          <w:sz w:val="24"/>
          <w:szCs w:val="24"/>
        </w:rPr>
        <w:t xml:space="preserve"> </w:t>
      </w:r>
    </w:p>
    <w:p w14:paraId="7B790020"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It should be noted that the Statute has omitted to define what State cooperation is. Despite this, there is a legally recognised definition accepted by scholars worldwide. Cooperation is seen to be policy harmonising or when countries’ regulations are more synchronised with each other and enable each other’s objectives.</w:t>
      </w:r>
      <w:r w:rsidRPr="002A0C01">
        <w:rPr>
          <w:rStyle w:val="None"/>
          <w:rFonts w:ascii="Times New Roman" w:eastAsia="Times New Roman" w:hAnsi="Times New Roman" w:cs="Times New Roman"/>
          <w:sz w:val="24"/>
          <w:szCs w:val="24"/>
          <w:vertAlign w:val="superscript"/>
        </w:rPr>
        <w:footnoteReference w:id="25"/>
      </w:r>
      <w:r w:rsidRPr="002A0C01">
        <w:rPr>
          <w:rStyle w:val="None"/>
          <w:rFonts w:ascii="Times New Roman" w:hAnsi="Times New Roman" w:cs="Times New Roman"/>
          <w:sz w:val="24"/>
          <w:szCs w:val="24"/>
        </w:rPr>
        <w:t xml:space="preserve"> Cooperation is also referred to as peaceful relations (or the lack of militarised combat) and adherence to the provisions of international agreements.</w:t>
      </w:r>
      <w:r w:rsidRPr="002A0C01">
        <w:rPr>
          <w:rStyle w:val="None"/>
          <w:rFonts w:ascii="Times New Roman" w:eastAsia="Times New Roman" w:hAnsi="Times New Roman" w:cs="Times New Roman"/>
          <w:sz w:val="24"/>
          <w:szCs w:val="24"/>
          <w:vertAlign w:val="superscript"/>
        </w:rPr>
        <w:footnoteReference w:id="26"/>
      </w:r>
    </w:p>
    <w:p w14:paraId="6C06BD4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Regardless of this recognised definition and the various stipulations in the Rome Statute nudging States to cooperate with the ICC, issues have still arisen as regards State cooperation. Some State Parties have still neglected to cooperate with the ICC. Why is this?  </w:t>
      </w:r>
    </w:p>
    <w:p w14:paraId="5998AED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There is a need to understand why these State Parties have failed to cooperate with the ICC. This would effectively ascertain the way forward as regards State cooperation and provide solutions that would prevent the same from happening in the future.</w:t>
      </w:r>
    </w:p>
    <w:p w14:paraId="1FBD592B" w14:textId="112235D4"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7" w:name="_Toc6"/>
      <w:r w:rsidRPr="002A0C01">
        <w:rPr>
          <w:rStyle w:val="None"/>
          <w:rFonts w:ascii="Times New Roman" w:hAnsi="Times New Roman" w:cs="Times New Roman"/>
          <w:u w:color="000000"/>
        </w:rPr>
        <w:lastRenderedPageBreak/>
        <w:t xml:space="preserve">Statement of the </w:t>
      </w:r>
      <w:r w:rsidRPr="002A0C01">
        <w:rPr>
          <w:rStyle w:val="None"/>
          <w:rFonts w:ascii="Times New Roman" w:hAnsi="Times New Roman" w:cs="Times New Roman"/>
          <w:lang w:val="de-DE"/>
        </w:rPr>
        <w:t>Problem</w:t>
      </w:r>
      <w:bookmarkEnd w:id="7"/>
    </w:p>
    <w:p w14:paraId="3E128749"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Without the cooperation of State Parties, the ICC’s ultimate function (international justice) could be in jeopardy. In the situation in Kenya for example, the ICC’s function was likened to that of a paralysed man.</w:t>
      </w:r>
      <w:r w:rsidRPr="002A0C01">
        <w:rPr>
          <w:rStyle w:val="None"/>
          <w:rFonts w:ascii="Times New Roman" w:eastAsia="Times New Roman" w:hAnsi="Times New Roman" w:cs="Times New Roman"/>
          <w:sz w:val="24"/>
          <w:szCs w:val="24"/>
          <w:vertAlign w:val="superscript"/>
        </w:rPr>
        <w:footnoteReference w:id="27"/>
      </w:r>
      <w:r w:rsidRPr="002A0C01">
        <w:rPr>
          <w:rStyle w:val="None"/>
          <w:rFonts w:ascii="Times New Roman" w:hAnsi="Times New Roman" w:cs="Times New Roman"/>
          <w:sz w:val="24"/>
          <w:szCs w:val="24"/>
        </w:rPr>
        <w:t xml:space="preserve"> In the situation, the cases of the accused in question (Uhuru Kenyatta and William Ruto) were dismissed owing to the absence of sufficient evidence.</w:t>
      </w:r>
      <w:r w:rsidRPr="002A0C01">
        <w:rPr>
          <w:rStyle w:val="None"/>
          <w:rFonts w:ascii="Times New Roman" w:eastAsia="Times New Roman" w:hAnsi="Times New Roman" w:cs="Times New Roman"/>
          <w:sz w:val="24"/>
          <w:szCs w:val="24"/>
          <w:vertAlign w:val="superscript"/>
        </w:rPr>
        <w:footnoteReference w:id="28"/>
      </w:r>
      <w:r w:rsidRPr="002A0C01">
        <w:rPr>
          <w:rStyle w:val="None"/>
          <w:rFonts w:ascii="Times New Roman" w:hAnsi="Times New Roman" w:cs="Times New Roman"/>
          <w:sz w:val="24"/>
          <w:szCs w:val="24"/>
        </w:rPr>
        <w:t xml:space="preserve"> This can be attributed to Kenya’s failure to assist the ICC with the investigations.</w:t>
      </w:r>
      <w:r w:rsidRPr="002A0C01">
        <w:rPr>
          <w:rStyle w:val="None"/>
          <w:rFonts w:ascii="Times New Roman" w:eastAsia="Times New Roman" w:hAnsi="Times New Roman" w:cs="Times New Roman"/>
          <w:sz w:val="24"/>
          <w:szCs w:val="24"/>
          <w:vertAlign w:val="superscript"/>
        </w:rPr>
        <w:footnoteReference w:id="29"/>
      </w:r>
      <w:r w:rsidRPr="002A0C01">
        <w:rPr>
          <w:rStyle w:val="None"/>
          <w:rFonts w:ascii="Times New Roman" w:hAnsi="Times New Roman" w:cs="Times New Roman"/>
          <w:sz w:val="24"/>
          <w:szCs w:val="24"/>
        </w:rPr>
        <w:t xml:space="preserve"> The same was evidenced in the Situation in Sudan. Despite the arrest warrants issued against Omar Hassan Ahmad Al Bashir by the ICC, the State is yet to surrender him.</w:t>
      </w:r>
      <w:r w:rsidRPr="002A0C01">
        <w:rPr>
          <w:rStyle w:val="None"/>
          <w:rFonts w:ascii="Times New Roman" w:eastAsia="Times New Roman" w:hAnsi="Times New Roman" w:cs="Times New Roman"/>
          <w:sz w:val="24"/>
          <w:szCs w:val="24"/>
          <w:vertAlign w:val="superscript"/>
        </w:rPr>
        <w:footnoteReference w:id="30"/>
      </w:r>
      <w:r w:rsidRPr="002A0C01">
        <w:rPr>
          <w:rStyle w:val="None"/>
          <w:rFonts w:ascii="Times New Roman" w:hAnsi="Times New Roman" w:cs="Times New Roman"/>
          <w:sz w:val="24"/>
          <w:szCs w:val="24"/>
        </w:rPr>
        <w:t xml:space="preserve"> This is despite the fact that the Rome Statute requires them to do so.</w:t>
      </w:r>
      <w:r w:rsidRPr="002A0C01">
        <w:rPr>
          <w:rStyle w:val="None"/>
          <w:rFonts w:ascii="Times New Roman" w:eastAsia="Times New Roman" w:hAnsi="Times New Roman" w:cs="Times New Roman"/>
          <w:sz w:val="24"/>
          <w:szCs w:val="24"/>
          <w:vertAlign w:val="superscript"/>
        </w:rPr>
        <w:footnoteReference w:id="31"/>
      </w:r>
      <w:r w:rsidRPr="002A0C01">
        <w:rPr>
          <w:rStyle w:val="None"/>
          <w:rFonts w:ascii="Times New Roman" w:hAnsi="Times New Roman" w:cs="Times New Roman"/>
          <w:sz w:val="24"/>
          <w:szCs w:val="24"/>
        </w:rPr>
        <w:t xml:space="preserve"> </w:t>
      </w:r>
    </w:p>
    <w:p w14:paraId="67DCCBF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It is clear that in both these scenarios the States failed to cooperate with the ICC. These failures ultimately rendered the ICC’s functions impossible. The ICC was unable to prosecute these cases efficiently. </w:t>
      </w:r>
    </w:p>
    <w:p w14:paraId="1C8AAC43"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Accordingly, using situations presented in Kenya and Sudan, in which ‘non-State cooperation’ was present, this paper seeks to understand the reasons why the States failed to cooperate with the ICC, if these reasons can be categorised under Glaser’s theory and the way forward with regards to the non-cooperation.</w:t>
      </w:r>
    </w:p>
    <w:p w14:paraId="72BE1D0C" w14:textId="627DCB2C"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8" w:name="_Toc7"/>
      <w:r w:rsidRPr="002A0C01">
        <w:rPr>
          <w:rStyle w:val="None"/>
          <w:rFonts w:ascii="Times New Roman" w:hAnsi="Times New Roman" w:cs="Times New Roman"/>
        </w:rPr>
        <w:t>Hypothesis</w:t>
      </w:r>
      <w:bookmarkEnd w:id="8"/>
    </w:p>
    <w:p w14:paraId="026D59B0"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This paper assumes and aims to test that:</w:t>
      </w:r>
    </w:p>
    <w:p w14:paraId="38166006"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Understanding the reasons behind African States failure to cooperate with the ICC, will aid in preventing the same in the future.</w:t>
      </w:r>
    </w:p>
    <w:p w14:paraId="4D6E8AA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reasons or motives behind a State Party’s failure to cooperate with the ICC can be reduced to three – security concerns or greed, material variables and information variables.</w:t>
      </w:r>
    </w:p>
    <w:p w14:paraId="24CA8D5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Kenya and Sudan failed to cooperate with the ICC based on security concerns and information variables.</w:t>
      </w:r>
    </w:p>
    <w:p w14:paraId="78F4F657" w14:textId="46809ED8"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9" w:name="_Toc8"/>
      <w:r w:rsidRPr="002A0C01">
        <w:rPr>
          <w:rStyle w:val="None"/>
          <w:rFonts w:ascii="Times New Roman" w:hAnsi="Times New Roman" w:cs="Times New Roman"/>
          <w:u w:color="000000"/>
        </w:rPr>
        <w:t xml:space="preserve">Research </w:t>
      </w:r>
      <w:r w:rsidRPr="002A0C01">
        <w:rPr>
          <w:rStyle w:val="None"/>
          <w:rFonts w:ascii="Times New Roman" w:hAnsi="Times New Roman" w:cs="Times New Roman"/>
          <w:lang w:val="it-IT"/>
        </w:rPr>
        <w:t>Questions</w:t>
      </w:r>
      <w:r w:rsidRPr="002A0C01">
        <w:rPr>
          <w:rStyle w:val="None"/>
          <w:rFonts w:ascii="Times New Roman" w:hAnsi="Times New Roman" w:cs="Times New Roman"/>
          <w:u w:color="000000"/>
        </w:rPr>
        <w:t xml:space="preserve">  </w:t>
      </w:r>
      <w:bookmarkEnd w:id="9"/>
    </w:p>
    <w:p w14:paraId="689B5FDD"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The research questions that will aid in testing the above hypotheses are: </w:t>
      </w:r>
    </w:p>
    <w:p w14:paraId="2BB98FA8"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What are the various provisions relating to State cooperation according to the Rome Statute?</w:t>
      </w:r>
    </w:p>
    <w:p w14:paraId="08C8E8D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Why did Kenya and Sudan fail to cooperate with the ICC?</w:t>
      </w:r>
    </w:p>
    <w:p w14:paraId="1E9A2F0B"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Can the reasons or motives behind Kenya and Sudan’s failure to cooperate with the ICC be reduced to three main variables that is; security concerns or greed, material variables and information variables?</w:t>
      </w:r>
    </w:p>
    <w:p w14:paraId="7F7236ED" w14:textId="1E7C36E5"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10" w:name="_Toc9"/>
      <w:r w:rsidRPr="002A0C01">
        <w:rPr>
          <w:rStyle w:val="None"/>
          <w:rFonts w:ascii="Times New Roman" w:hAnsi="Times New Roman" w:cs="Times New Roman"/>
          <w:lang w:val="fr-FR"/>
        </w:rPr>
        <w:t>Justification</w:t>
      </w:r>
      <w:r w:rsidRPr="002A0C01">
        <w:rPr>
          <w:rStyle w:val="None"/>
          <w:rFonts w:ascii="Times New Roman" w:hAnsi="Times New Roman" w:cs="Times New Roman"/>
          <w:u w:color="000000"/>
        </w:rPr>
        <w:t xml:space="preserve"> </w:t>
      </w:r>
      <w:bookmarkEnd w:id="10"/>
    </w:p>
    <w:p w14:paraId="5BB20DF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ICC, as is, has no enforcement mechanism.</w:t>
      </w:r>
      <w:r w:rsidRPr="002A0C01">
        <w:rPr>
          <w:rStyle w:val="None"/>
          <w:rFonts w:ascii="Times New Roman" w:eastAsia="Times New Roman" w:hAnsi="Times New Roman" w:cs="Times New Roman"/>
          <w:sz w:val="24"/>
          <w:szCs w:val="24"/>
          <w:vertAlign w:val="superscript"/>
        </w:rPr>
        <w:footnoteReference w:id="32"/>
      </w:r>
      <w:r w:rsidRPr="002A0C01">
        <w:rPr>
          <w:rStyle w:val="None"/>
          <w:rFonts w:ascii="Times New Roman" w:hAnsi="Times New Roman" w:cs="Times New Roman"/>
          <w:sz w:val="24"/>
          <w:szCs w:val="24"/>
        </w:rPr>
        <w:t xml:space="preserve"> It therefore hinges on cooperation from States, the United Nations, regional organisations, and other relevant actors in order to execute its functions.</w:t>
      </w:r>
      <w:r w:rsidRPr="002A0C01">
        <w:rPr>
          <w:rStyle w:val="None"/>
          <w:rFonts w:ascii="Times New Roman" w:eastAsia="Times New Roman" w:hAnsi="Times New Roman" w:cs="Times New Roman"/>
          <w:sz w:val="24"/>
          <w:szCs w:val="24"/>
          <w:vertAlign w:val="superscript"/>
        </w:rPr>
        <w:footnoteReference w:id="33"/>
      </w:r>
      <w:r w:rsidRPr="002A0C01">
        <w:rPr>
          <w:rStyle w:val="None"/>
          <w:rFonts w:ascii="Times New Roman" w:hAnsi="Times New Roman" w:cs="Times New Roman"/>
          <w:sz w:val="24"/>
          <w:szCs w:val="24"/>
        </w:rPr>
        <w:t xml:space="preserve"> In actions such as the safeguarding and preservation of witnesses and victims, the ICC relies upon State Parties to fulfil this task.</w:t>
      </w:r>
      <w:r w:rsidRPr="002A0C01">
        <w:rPr>
          <w:rStyle w:val="None"/>
          <w:rFonts w:ascii="Times New Roman" w:eastAsia="Times New Roman" w:hAnsi="Times New Roman" w:cs="Times New Roman"/>
          <w:sz w:val="24"/>
          <w:szCs w:val="24"/>
          <w:vertAlign w:val="superscript"/>
        </w:rPr>
        <w:footnoteReference w:id="34"/>
      </w:r>
      <w:r w:rsidRPr="002A0C01">
        <w:rPr>
          <w:rStyle w:val="None"/>
          <w:rFonts w:ascii="Times New Roman" w:hAnsi="Times New Roman" w:cs="Times New Roman"/>
          <w:sz w:val="24"/>
          <w:szCs w:val="24"/>
        </w:rPr>
        <w:t xml:space="preserve"> Thus, when States abscond from their duty to cooperate with the ICC, it renders the ICC’s functions harder, if not impossible. Understanding the motives behind these States’ actions could serve as a step towards solving their failure to cooperate. The motives behind the omissions could assist the ICC in knowing what more needs to be done to solve the issues. This would aid the Court in realising its functions. It is therefore crucial that this research be undertaken.</w:t>
      </w:r>
    </w:p>
    <w:p w14:paraId="33ED3BF6" w14:textId="4D813766" w:rsidR="001B7948" w:rsidRPr="002A0C01" w:rsidRDefault="00B2706C" w:rsidP="002A0C01">
      <w:pPr>
        <w:pStyle w:val="Heading3"/>
        <w:numPr>
          <w:ilvl w:val="1"/>
          <w:numId w:val="3"/>
        </w:numPr>
        <w:spacing w:line="360" w:lineRule="auto"/>
        <w:jc w:val="both"/>
        <w:rPr>
          <w:rStyle w:val="None"/>
          <w:rFonts w:ascii="Times New Roman" w:eastAsia="Times New Roman" w:hAnsi="Times New Roman" w:cs="Times New Roman"/>
        </w:rPr>
      </w:pPr>
      <w:bookmarkStart w:id="11" w:name="_Toc10"/>
      <w:r w:rsidRPr="002A0C01">
        <w:rPr>
          <w:rStyle w:val="None"/>
          <w:rFonts w:ascii="Times New Roman" w:hAnsi="Times New Roman" w:cs="Times New Roman"/>
        </w:rPr>
        <w:t>Theoretical</w:t>
      </w:r>
      <w:r w:rsidRPr="002A0C01">
        <w:rPr>
          <w:rStyle w:val="None"/>
          <w:rFonts w:ascii="Times New Roman" w:hAnsi="Times New Roman" w:cs="Times New Roman"/>
          <w:u w:color="000000"/>
        </w:rPr>
        <w:t xml:space="preserve"> Framework</w:t>
      </w:r>
      <w:bookmarkEnd w:id="11"/>
    </w:p>
    <w:p w14:paraId="2F222828"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This study adopts one main theoretical framework to provide a perspective through which this research will be undertaken that is Institutionalism.</w:t>
      </w:r>
    </w:p>
    <w:p w14:paraId="4C6B4D90"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Institutionalism stipulates that institutions promote cooperation between member States through accumulation of knowledge, reducing precariousness, augmenting legal accountability and heightening the reputational stakes for failing to honour one’s agreements.</w:t>
      </w:r>
      <w:r w:rsidRPr="002A0C01">
        <w:rPr>
          <w:rStyle w:val="None"/>
          <w:rFonts w:ascii="Times New Roman" w:eastAsia="Times New Roman" w:hAnsi="Times New Roman" w:cs="Times New Roman"/>
          <w:sz w:val="24"/>
          <w:szCs w:val="24"/>
          <w:vertAlign w:val="superscript"/>
        </w:rPr>
        <w:footnoteReference w:id="35"/>
      </w:r>
      <w:r w:rsidRPr="002A0C01">
        <w:rPr>
          <w:rStyle w:val="None"/>
          <w:rFonts w:ascii="Times New Roman" w:hAnsi="Times New Roman" w:cs="Times New Roman"/>
          <w:sz w:val="24"/>
          <w:szCs w:val="24"/>
        </w:rPr>
        <w:t xml:space="preserve"> International organisations also play a radical role in dispute resolution by acting as mediators or adjudicators to assist member States in the settling of international disputes.</w:t>
      </w:r>
      <w:r w:rsidRPr="002A0C01">
        <w:rPr>
          <w:rStyle w:val="None"/>
          <w:rFonts w:ascii="Times New Roman" w:eastAsia="Times New Roman" w:hAnsi="Times New Roman" w:cs="Times New Roman"/>
          <w:sz w:val="24"/>
          <w:szCs w:val="24"/>
          <w:vertAlign w:val="superscript"/>
        </w:rPr>
        <w:footnoteReference w:id="36"/>
      </w:r>
      <w:r w:rsidRPr="002A0C01">
        <w:rPr>
          <w:rStyle w:val="None"/>
          <w:rFonts w:ascii="Times New Roman" w:hAnsi="Times New Roman" w:cs="Times New Roman"/>
          <w:sz w:val="24"/>
          <w:szCs w:val="24"/>
        </w:rPr>
        <w:t xml:space="preserve"> Cooperation among member countries may also be facilitated through International organisations, which is a role acknowledged in the international law publications.</w:t>
      </w:r>
      <w:r w:rsidRPr="002A0C01">
        <w:rPr>
          <w:rStyle w:val="None"/>
          <w:rFonts w:ascii="Times New Roman" w:eastAsia="Times New Roman" w:hAnsi="Times New Roman" w:cs="Times New Roman"/>
          <w:sz w:val="24"/>
          <w:szCs w:val="24"/>
          <w:vertAlign w:val="superscript"/>
        </w:rPr>
        <w:footnoteReference w:id="37"/>
      </w:r>
      <w:r w:rsidRPr="002A0C01">
        <w:rPr>
          <w:rStyle w:val="None"/>
          <w:rFonts w:ascii="Times New Roman" w:hAnsi="Times New Roman" w:cs="Times New Roman"/>
          <w:sz w:val="24"/>
          <w:szCs w:val="24"/>
        </w:rPr>
        <w:t xml:space="preserve"> For example, if two States are party to the ICC then the capability for both sides to take conflicts to the ICC may intensify the chances that they will reach agreements out of court.</w:t>
      </w:r>
      <w:r w:rsidRPr="002A0C01">
        <w:rPr>
          <w:rStyle w:val="None"/>
          <w:rFonts w:ascii="Times New Roman" w:eastAsia="Times New Roman" w:hAnsi="Times New Roman" w:cs="Times New Roman"/>
          <w:sz w:val="24"/>
          <w:szCs w:val="24"/>
          <w:vertAlign w:val="superscript"/>
        </w:rPr>
        <w:footnoteReference w:id="38"/>
      </w:r>
      <w:r w:rsidRPr="002A0C01">
        <w:rPr>
          <w:rStyle w:val="None"/>
          <w:rFonts w:ascii="Times New Roman" w:hAnsi="Times New Roman" w:cs="Times New Roman"/>
          <w:sz w:val="24"/>
          <w:szCs w:val="24"/>
        </w:rPr>
        <w:t xml:space="preserve"> </w:t>
      </w:r>
    </w:p>
    <w:p w14:paraId="4B8B6EA5"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Applied to the research at hand, the roles provided above stress the importance of international organisations. The theory denotes that international organisations such as the ICC are the best means through which international justice can be achieved.</w:t>
      </w:r>
      <w:r w:rsidRPr="002A0C01">
        <w:rPr>
          <w:rStyle w:val="None"/>
          <w:rFonts w:ascii="Times New Roman" w:eastAsia="Times New Roman" w:hAnsi="Times New Roman" w:cs="Times New Roman"/>
          <w:sz w:val="24"/>
          <w:szCs w:val="24"/>
          <w:vertAlign w:val="superscript"/>
        </w:rPr>
        <w:footnoteReference w:id="39"/>
      </w:r>
      <w:r w:rsidRPr="002A0C01">
        <w:rPr>
          <w:rStyle w:val="None"/>
          <w:rFonts w:ascii="Times New Roman" w:hAnsi="Times New Roman" w:cs="Times New Roman"/>
          <w:sz w:val="24"/>
          <w:szCs w:val="24"/>
        </w:rPr>
        <w:t xml:space="preserve"> This paper asserts that institutionalism through the ICC is the key to enhancing international justice. </w:t>
      </w:r>
    </w:p>
    <w:p w14:paraId="3F2087E8"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 cooperation has been seen to be key to the ICC’s fulfilment of its objectives. However, some State Parties have failed to cooperate with the ICC. This paper aims to provide the reasons why these State Parties failed to cooperate with the ICC, in order to understand what needs to be done to enable States to cooperate with the ICC. If the problem can be resolved, the functions of the ICC will be promoted, which will ultimately encourage institutionalism.</w:t>
      </w:r>
      <w:r w:rsidRPr="002A0C01">
        <w:rPr>
          <w:rStyle w:val="None"/>
          <w:rFonts w:ascii="Times New Roman" w:eastAsia="Times New Roman" w:hAnsi="Times New Roman" w:cs="Times New Roman"/>
          <w:sz w:val="24"/>
          <w:szCs w:val="24"/>
          <w:vertAlign w:val="superscript"/>
        </w:rPr>
        <w:footnoteReference w:id="40"/>
      </w:r>
    </w:p>
    <w:p w14:paraId="5E0AB28F" w14:textId="77777777" w:rsidR="001B7948" w:rsidRPr="002A0C01" w:rsidRDefault="00B2706C" w:rsidP="002A0C01">
      <w:pPr>
        <w:pStyle w:val="Heading2"/>
        <w:spacing w:line="360" w:lineRule="auto"/>
        <w:jc w:val="both"/>
        <w:rPr>
          <w:rStyle w:val="None"/>
          <w:rFonts w:ascii="Times New Roman" w:eastAsia="Times New Roman" w:hAnsi="Times New Roman" w:cs="Times New Roman"/>
          <w:u w:color="000000"/>
        </w:rPr>
      </w:pPr>
      <w:bookmarkStart w:id="12" w:name="_Toc11"/>
      <w:r w:rsidRPr="002A0C01">
        <w:rPr>
          <w:rStyle w:val="None"/>
          <w:rFonts w:ascii="Times New Roman" w:hAnsi="Times New Roman" w:cs="Times New Roman"/>
          <w:u w:color="000000"/>
          <w:lang w:val="de-DE"/>
        </w:rPr>
        <w:lastRenderedPageBreak/>
        <w:t xml:space="preserve">2.0 </w:t>
      </w:r>
      <w:r w:rsidRPr="002A0C01">
        <w:rPr>
          <w:rStyle w:val="None"/>
          <w:rFonts w:ascii="Times New Roman" w:hAnsi="Times New Roman" w:cs="Times New Roman"/>
          <w:lang w:val="de-DE"/>
        </w:rPr>
        <w:t>LITERATURE</w:t>
      </w:r>
      <w:r w:rsidRPr="002A0C01">
        <w:rPr>
          <w:rStyle w:val="None"/>
          <w:rFonts w:ascii="Times New Roman" w:hAnsi="Times New Roman" w:cs="Times New Roman"/>
          <w:u w:color="000000"/>
          <w:lang w:val="de-DE"/>
        </w:rPr>
        <w:t xml:space="preserve"> REVIEW</w:t>
      </w:r>
      <w:bookmarkEnd w:id="12"/>
    </w:p>
    <w:p w14:paraId="5B710BA3"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On 9 March 2015, the Pre-Trial Chamber of the ICC issued a </w:t>
      </w:r>
      <w:r w:rsidRPr="002A0C01">
        <w:rPr>
          <w:rStyle w:val="None"/>
          <w:rFonts w:ascii="Times New Roman" w:hAnsi="Times New Roman" w:cs="Times New Roman"/>
          <w:sz w:val="24"/>
          <w:szCs w:val="24"/>
          <w:lang w:val="it-IT"/>
        </w:rPr>
        <w:t>decision</w:t>
      </w:r>
      <w:r w:rsidRPr="002A0C01">
        <w:rPr>
          <w:rStyle w:val="None"/>
          <w:rFonts w:ascii="Times New Roman" w:hAnsi="Times New Roman" w:cs="Times New Roman"/>
          <w:sz w:val="24"/>
          <w:szCs w:val="24"/>
        </w:rPr>
        <w:t> finding that the Republic of Sudan had fallen short in its duty to cooperate with the ICC.</w:t>
      </w:r>
      <w:r w:rsidRPr="002A0C01">
        <w:rPr>
          <w:rStyle w:val="None"/>
          <w:rFonts w:ascii="Times New Roman" w:eastAsia="Times New Roman" w:hAnsi="Times New Roman" w:cs="Times New Roman"/>
          <w:sz w:val="24"/>
          <w:szCs w:val="24"/>
          <w:vertAlign w:val="superscript"/>
        </w:rPr>
        <w:footnoteReference w:id="41"/>
      </w:r>
      <w:r w:rsidRPr="002A0C01">
        <w:rPr>
          <w:rStyle w:val="None"/>
          <w:rFonts w:ascii="Times New Roman" w:hAnsi="Times New Roman" w:cs="Times New Roman"/>
          <w:sz w:val="24"/>
          <w:szCs w:val="24"/>
        </w:rPr>
        <w:t xml:space="preserve"> Subsequently, on 19 December 2016 the Trial Chamber of the ICC found that Kenya had also failed in its obligations to cooperate with the ICC.</w:t>
      </w:r>
      <w:r w:rsidRPr="002A0C01">
        <w:rPr>
          <w:rStyle w:val="None"/>
          <w:rFonts w:ascii="Times New Roman" w:eastAsia="Times New Roman" w:hAnsi="Times New Roman" w:cs="Times New Roman"/>
          <w:sz w:val="24"/>
          <w:szCs w:val="24"/>
          <w:vertAlign w:val="superscript"/>
        </w:rPr>
        <w:footnoteReference w:id="42"/>
      </w:r>
      <w:r w:rsidRPr="002A0C01">
        <w:rPr>
          <w:rStyle w:val="None"/>
          <w:rFonts w:ascii="Times New Roman" w:hAnsi="Times New Roman" w:cs="Times New Roman"/>
          <w:sz w:val="24"/>
          <w:szCs w:val="24"/>
        </w:rPr>
        <w:t xml:space="preserve"> Despite this findings, Kenya and Sudan are yet to face sanctions for their crimes. In addition to this, the motivations behind Kenya’s and Sudan’s failure to cooperate, was not addressed.</w:t>
      </w:r>
      <w:r w:rsidRPr="002A0C01">
        <w:rPr>
          <w:rStyle w:val="None"/>
          <w:rFonts w:ascii="Times New Roman" w:eastAsia="Times New Roman" w:hAnsi="Times New Roman" w:cs="Times New Roman"/>
          <w:sz w:val="24"/>
          <w:szCs w:val="24"/>
          <w:vertAlign w:val="superscript"/>
        </w:rPr>
        <w:footnoteReference w:id="43"/>
      </w:r>
      <w:r w:rsidRPr="002A0C01">
        <w:rPr>
          <w:rStyle w:val="None"/>
          <w:rFonts w:ascii="Times New Roman" w:hAnsi="Times New Roman" w:cs="Times New Roman"/>
          <w:sz w:val="24"/>
          <w:szCs w:val="24"/>
        </w:rPr>
        <w:t xml:space="preserve"> Since then, research has been forwarded on various factors concerning the situations in Kenya and Sudan. Authors have discussed the scope of state cooperation, what led to the situations in Kenya and Sudan, the ICC’s involvement in the situations and why these counties failed to cooperate with the ICC. This information is key to detailing the situations in Kenya and Sudan in Chapters three and four, and will be brought out below.</w:t>
      </w:r>
    </w:p>
    <w:p w14:paraId="1AD85771"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Oosterveld, Perry and McManus outline the numerous cooperation duties within the Rome Statute associated with arrest and surrender; investigation and evidence gathering; witness protection and the enforcement of ICC sentences.</w:t>
      </w:r>
      <w:r w:rsidRPr="002A0C01">
        <w:rPr>
          <w:rStyle w:val="None"/>
          <w:rFonts w:ascii="Times New Roman" w:eastAsia="Times New Roman" w:hAnsi="Times New Roman" w:cs="Times New Roman"/>
          <w:sz w:val="24"/>
          <w:szCs w:val="24"/>
          <w:vertAlign w:val="superscript"/>
        </w:rPr>
        <w:footnoteReference w:id="44"/>
      </w:r>
      <w:r w:rsidRPr="002A0C01">
        <w:rPr>
          <w:rStyle w:val="None"/>
          <w:rFonts w:ascii="Times New Roman" w:hAnsi="Times New Roman" w:cs="Times New Roman"/>
          <w:sz w:val="24"/>
          <w:szCs w:val="24"/>
        </w:rPr>
        <w:t xml:space="preserve"> This goes hand in hand with William Schabas book on the International Criminal Court which summarises the state of affairs surrounding the situations in Kenya and Sudan.</w:t>
      </w:r>
      <w:r w:rsidRPr="002A0C01">
        <w:rPr>
          <w:rStyle w:val="None"/>
          <w:rFonts w:ascii="Times New Roman" w:eastAsia="Times New Roman" w:hAnsi="Times New Roman" w:cs="Times New Roman"/>
          <w:sz w:val="24"/>
          <w:szCs w:val="24"/>
          <w:vertAlign w:val="superscript"/>
        </w:rPr>
        <w:footnoteReference w:id="45"/>
      </w:r>
      <w:r w:rsidRPr="002A0C01">
        <w:rPr>
          <w:rStyle w:val="None"/>
          <w:rFonts w:ascii="Times New Roman" w:hAnsi="Times New Roman" w:cs="Times New Roman"/>
          <w:sz w:val="24"/>
          <w:szCs w:val="24"/>
        </w:rPr>
        <w:t xml:space="preserve"> The ICC’s involvement in the situations is also clearly brought out in the book and Kenya and Sudan’s failure to cooperate is acknowledged.</w:t>
      </w:r>
      <w:r w:rsidRPr="002A0C01">
        <w:rPr>
          <w:rStyle w:val="None"/>
          <w:rFonts w:ascii="Times New Roman" w:eastAsia="Times New Roman" w:hAnsi="Times New Roman" w:cs="Times New Roman"/>
          <w:sz w:val="24"/>
          <w:szCs w:val="24"/>
          <w:vertAlign w:val="superscript"/>
        </w:rPr>
        <w:footnoteReference w:id="46"/>
      </w:r>
    </w:p>
    <w:p w14:paraId="789F3AC0"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Information on what led to the situations in the two countries has also been canvassed. In Kenya, the Waki Commission pointed to matters such as land inequality, unemployed youth, the personalisation of presidential power and the deliberate weakening of Public Institutions; as </w:t>
      </w:r>
      <w:r w:rsidRPr="002A0C01">
        <w:rPr>
          <w:rStyle w:val="None"/>
          <w:rFonts w:ascii="Times New Roman" w:hAnsi="Times New Roman" w:cs="Times New Roman"/>
          <w:sz w:val="24"/>
          <w:szCs w:val="24"/>
        </w:rPr>
        <w:lastRenderedPageBreak/>
        <w:t>background elements that advanced the post-election violence.</w:t>
      </w:r>
      <w:r w:rsidRPr="002A0C01">
        <w:rPr>
          <w:rStyle w:val="None"/>
          <w:rFonts w:ascii="Times New Roman" w:eastAsia="Times New Roman" w:hAnsi="Times New Roman" w:cs="Times New Roman"/>
          <w:sz w:val="24"/>
          <w:szCs w:val="24"/>
          <w:vertAlign w:val="superscript"/>
        </w:rPr>
        <w:footnoteReference w:id="47"/>
      </w:r>
      <w:r w:rsidRPr="002A0C01">
        <w:rPr>
          <w:rStyle w:val="None"/>
          <w:rFonts w:ascii="Times New Roman" w:hAnsi="Times New Roman" w:cs="Times New Roman"/>
          <w:sz w:val="24"/>
          <w:szCs w:val="24"/>
        </w:rPr>
        <w:t xml:space="preserve"> In the situation in Sudan, recruitment of local tribes (by the Government) to combat rebel groups created a lot of tension and is believed to be the main reason for the war that broke out in Sudan.</w:t>
      </w:r>
      <w:r w:rsidRPr="002A0C01">
        <w:rPr>
          <w:rStyle w:val="None"/>
          <w:rFonts w:ascii="Times New Roman" w:eastAsia="Times New Roman" w:hAnsi="Times New Roman" w:cs="Times New Roman"/>
          <w:sz w:val="24"/>
          <w:szCs w:val="24"/>
          <w:vertAlign w:val="superscript"/>
        </w:rPr>
        <w:footnoteReference w:id="48"/>
      </w:r>
    </w:p>
    <w:p w14:paraId="0F9DDA81"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In ICC’s involvement with Kenya and Sudan, there was a failure by these countries to cooperate with the ICC. HJ Van der Merwe and Gerhard Kemp posit that Kenya failed to cooperate with the ICC because the accused in question (Uhuru Kenyatta) was the head of State during his prosecution in the ICC.</w:t>
      </w:r>
      <w:r w:rsidRPr="002A0C01">
        <w:rPr>
          <w:rStyle w:val="None"/>
          <w:rFonts w:ascii="Times New Roman" w:eastAsia="Times New Roman" w:hAnsi="Times New Roman" w:cs="Times New Roman"/>
          <w:sz w:val="24"/>
          <w:szCs w:val="24"/>
          <w:vertAlign w:val="superscript"/>
        </w:rPr>
        <w:footnoteReference w:id="49"/>
      </w:r>
      <w:r w:rsidRPr="002A0C01">
        <w:rPr>
          <w:rStyle w:val="None"/>
          <w:rFonts w:ascii="Times New Roman" w:hAnsi="Times New Roman" w:cs="Times New Roman"/>
          <w:sz w:val="24"/>
          <w:szCs w:val="24"/>
        </w:rPr>
        <w:t xml:space="preserve"> Conflicts of interest therefore arose leading the Government of Kenya to ignore requests of cooperation made to the Republic of Kenya by the ICC.</w:t>
      </w:r>
      <w:r w:rsidRPr="002A0C01">
        <w:rPr>
          <w:rStyle w:val="None"/>
          <w:rFonts w:ascii="Times New Roman" w:eastAsia="Times New Roman" w:hAnsi="Times New Roman" w:cs="Times New Roman"/>
          <w:sz w:val="24"/>
          <w:szCs w:val="24"/>
          <w:vertAlign w:val="superscript"/>
        </w:rPr>
        <w:footnoteReference w:id="50"/>
      </w:r>
      <w:r w:rsidRPr="002A0C01">
        <w:rPr>
          <w:rStyle w:val="None"/>
          <w:rFonts w:ascii="Times New Roman" w:hAnsi="Times New Roman" w:cs="Times New Roman"/>
          <w:sz w:val="24"/>
          <w:szCs w:val="24"/>
        </w:rPr>
        <w:t xml:space="preserve"> On the other hand, Sudan is said to have failed to cooperate with the ICC due to the apparent diplomatic immunity conferred on Omar Al-Bashir by Article 98 of the Rome Statute.</w:t>
      </w:r>
      <w:r w:rsidRPr="002A0C01">
        <w:rPr>
          <w:rStyle w:val="None"/>
          <w:rFonts w:ascii="Times New Roman" w:eastAsia="Times New Roman" w:hAnsi="Times New Roman" w:cs="Times New Roman"/>
          <w:sz w:val="24"/>
          <w:szCs w:val="24"/>
          <w:vertAlign w:val="superscript"/>
        </w:rPr>
        <w:footnoteReference w:id="51"/>
      </w:r>
      <w:r w:rsidRPr="002A0C01">
        <w:rPr>
          <w:rStyle w:val="None"/>
          <w:rFonts w:ascii="Times New Roman" w:hAnsi="Times New Roman" w:cs="Times New Roman"/>
          <w:sz w:val="24"/>
          <w:szCs w:val="24"/>
        </w:rPr>
        <w:t xml:space="preserve"> Cooperation with the ICC was also viewed as a menace against the State’s national sovereignty.</w:t>
      </w:r>
      <w:r w:rsidRPr="002A0C01">
        <w:rPr>
          <w:rStyle w:val="None"/>
          <w:rFonts w:ascii="Times New Roman" w:eastAsia="Times New Roman" w:hAnsi="Times New Roman" w:cs="Times New Roman"/>
          <w:sz w:val="24"/>
          <w:szCs w:val="24"/>
          <w:vertAlign w:val="superscript"/>
        </w:rPr>
        <w:footnoteReference w:id="52"/>
      </w:r>
      <w:r w:rsidRPr="002A0C01">
        <w:rPr>
          <w:rStyle w:val="None"/>
          <w:rFonts w:ascii="Times New Roman" w:hAnsi="Times New Roman" w:cs="Times New Roman"/>
          <w:sz w:val="24"/>
          <w:szCs w:val="24"/>
        </w:rPr>
        <w:t xml:space="preserve"> </w:t>
      </w:r>
    </w:p>
    <w:p w14:paraId="35D438F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bookmarkStart w:id="13" w:name="_Hlk19290156"/>
      <w:r w:rsidRPr="002A0C01">
        <w:rPr>
          <w:rStyle w:val="None"/>
          <w:rFonts w:ascii="Times New Roman" w:hAnsi="Times New Roman" w:cs="Times New Roman"/>
          <w:sz w:val="24"/>
          <w:szCs w:val="24"/>
          <w:u w:color="FF0000"/>
        </w:rPr>
        <w:t>Charles Glaser articulates a new theory to explain the motivations behind a State’</w:t>
      </w:r>
      <w:r w:rsidRPr="002A0C01">
        <w:rPr>
          <w:rStyle w:val="None"/>
          <w:rFonts w:ascii="Times New Roman" w:hAnsi="Times New Roman" w:cs="Times New Roman"/>
          <w:sz w:val="24"/>
          <w:szCs w:val="24"/>
          <w:u w:color="FF0000"/>
          <w:lang w:val="fr-FR"/>
        </w:rPr>
        <w:t>s actions.</w:t>
      </w:r>
      <w:r w:rsidRPr="002A0C01">
        <w:rPr>
          <w:rStyle w:val="None"/>
          <w:rFonts w:ascii="Times New Roman" w:eastAsia="Times New Roman" w:hAnsi="Times New Roman" w:cs="Times New Roman"/>
          <w:sz w:val="24"/>
          <w:szCs w:val="24"/>
          <w:u w:color="FF0000"/>
          <w:vertAlign w:val="superscript"/>
        </w:rPr>
        <w:footnoteReference w:id="53"/>
      </w:r>
      <w:r w:rsidRPr="002A0C01">
        <w:rPr>
          <w:rStyle w:val="None"/>
          <w:rFonts w:ascii="Times New Roman" w:hAnsi="Times New Roman" w:cs="Times New Roman"/>
          <w:sz w:val="24"/>
          <w:szCs w:val="24"/>
          <w:u w:color="FF0000"/>
        </w:rPr>
        <w:t xml:space="preserve"> The rational theory of international politics sets out three variables that impact a State's strategy: One, the State's motives - is the State prompted by security concerns or “greed"? Two, material variables, which determine its military capabilities; and three, information variables- what does the State know about its opponent's intentions?</w:t>
      </w:r>
      <w:r w:rsidRPr="002A0C01">
        <w:rPr>
          <w:rStyle w:val="None"/>
          <w:rFonts w:ascii="Times New Roman" w:eastAsia="Times New Roman" w:hAnsi="Times New Roman" w:cs="Times New Roman"/>
          <w:sz w:val="24"/>
          <w:szCs w:val="24"/>
          <w:u w:color="FF0000"/>
          <w:vertAlign w:val="superscript"/>
        </w:rPr>
        <w:footnoteReference w:id="54"/>
      </w:r>
      <w:r w:rsidRPr="002A0C01">
        <w:rPr>
          <w:rStyle w:val="None"/>
          <w:rFonts w:ascii="Times New Roman" w:hAnsi="Times New Roman" w:cs="Times New Roman"/>
          <w:sz w:val="24"/>
          <w:szCs w:val="24"/>
          <w:u w:color="FF0000"/>
        </w:rPr>
        <w:t xml:space="preserve"> </w:t>
      </w:r>
      <w:r w:rsidRPr="002A0C01">
        <w:rPr>
          <w:rStyle w:val="None"/>
          <w:rFonts w:ascii="Times New Roman" w:hAnsi="Times New Roman" w:cs="Times New Roman"/>
          <w:sz w:val="24"/>
          <w:szCs w:val="24"/>
        </w:rPr>
        <w:t>These three variables provide a lens through which one can understand a State Party’s actions.</w:t>
      </w:r>
      <w:r w:rsidRPr="002A0C01">
        <w:rPr>
          <w:rStyle w:val="None"/>
          <w:rFonts w:ascii="Times New Roman" w:hAnsi="Times New Roman" w:cs="Times New Roman"/>
          <w:color w:val="FF0000"/>
          <w:sz w:val="24"/>
          <w:szCs w:val="24"/>
          <w:u w:color="FF0000"/>
        </w:rPr>
        <w:t xml:space="preserve"> </w:t>
      </w:r>
      <w:r w:rsidRPr="002A0C01">
        <w:rPr>
          <w:rStyle w:val="None"/>
          <w:rFonts w:ascii="Times New Roman" w:hAnsi="Times New Roman" w:cs="Times New Roman"/>
          <w:sz w:val="24"/>
          <w:szCs w:val="24"/>
        </w:rPr>
        <w:t xml:space="preserve">By failing to cooperate with the ICC was Kenya or Sudan driven by State motives, material variables or information variables? </w:t>
      </w:r>
      <w:bookmarkEnd w:id="13"/>
    </w:p>
    <w:p w14:paraId="299B2F9B"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The use of Charles Glaser’s theory to analyse the reasons behind Kenya and Sudan’s failure to cooperate (provided above) is what differentiates this paper from others prior to it. The application </w:t>
      </w:r>
      <w:r w:rsidRPr="002A0C01">
        <w:rPr>
          <w:rStyle w:val="None"/>
          <w:rFonts w:ascii="Times New Roman" w:hAnsi="Times New Roman" w:cs="Times New Roman"/>
          <w:sz w:val="24"/>
          <w:szCs w:val="24"/>
        </w:rPr>
        <w:lastRenderedPageBreak/>
        <w:t xml:space="preserve">of the theory in the situations in Kenya and Sudan has yet to be covered by any other paper. Classifying the motivations of the States under the three variables should also help in better understanding the States failure to cooperate and present a way forward. This paper also heavily relies on the situations in Kenya and Sudan.  </w:t>
      </w:r>
    </w:p>
    <w:p w14:paraId="417E2427" w14:textId="77777777" w:rsidR="001B7948" w:rsidRPr="002A0C01" w:rsidRDefault="00B2706C" w:rsidP="002A0C01">
      <w:pPr>
        <w:pStyle w:val="Heading2"/>
        <w:spacing w:line="360" w:lineRule="auto"/>
        <w:jc w:val="both"/>
        <w:rPr>
          <w:rStyle w:val="None"/>
          <w:rFonts w:ascii="Times New Roman" w:eastAsia="Times New Roman" w:hAnsi="Times New Roman" w:cs="Times New Roman"/>
          <w:u w:color="000000"/>
        </w:rPr>
      </w:pPr>
      <w:bookmarkStart w:id="14" w:name="_Toc12"/>
      <w:r w:rsidRPr="002A0C01">
        <w:rPr>
          <w:rStyle w:val="None"/>
          <w:rFonts w:ascii="Times New Roman" w:hAnsi="Times New Roman" w:cs="Times New Roman"/>
          <w:u w:color="000000"/>
          <w:lang w:val="de-DE"/>
        </w:rPr>
        <w:t xml:space="preserve">3.0 RESEARCH </w:t>
      </w:r>
      <w:r w:rsidRPr="002A0C01">
        <w:rPr>
          <w:rStyle w:val="None"/>
          <w:rFonts w:ascii="Times New Roman" w:hAnsi="Times New Roman" w:cs="Times New Roman"/>
          <w:lang w:val="pt-PT"/>
        </w:rPr>
        <w:t>DESIGN</w:t>
      </w:r>
      <w:bookmarkEnd w:id="14"/>
    </w:p>
    <w:p w14:paraId="1F3DB3A7"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15" w:name="_Toc13"/>
      <w:r w:rsidRPr="002A0C01">
        <w:rPr>
          <w:rStyle w:val="None"/>
          <w:rFonts w:ascii="Times New Roman" w:hAnsi="Times New Roman" w:cs="Times New Roman"/>
          <w:u w:color="000000"/>
        </w:rPr>
        <w:t xml:space="preserve">3.1 Research </w:t>
      </w:r>
      <w:r w:rsidRPr="002A0C01">
        <w:rPr>
          <w:rStyle w:val="None"/>
          <w:rFonts w:ascii="Times New Roman" w:hAnsi="Times New Roman" w:cs="Times New Roman"/>
        </w:rPr>
        <w:t>Methodology</w:t>
      </w:r>
      <w:bookmarkEnd w:id="15"/>
    </w:p>
    <w:p w14:paraId="1D21CC16"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There are two main categories that shall be consulted in this study, namely, primary sources and secondary sources.      </w:t>
      </w:r>
    </w:p>
    <w:p w14:paraId="349F273C"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primary sources include the Rome Statute, other relevant international legislation and case studies. The secondary sources to be employed consist of literature produced by scholars in response to various conflicts as regards State cooperation that have arisen in Africa. These shall include books, journal articles and credible newspaper publications.</w:t>
      </w:r>
    </w:p>
    <w:p w14:paraId="58B0E7F6" w14:textId="77777777" w:rsidR="001B7948" w:rsidRPr="002A0C01" w:rsidRDefault="00B2706C" w:rsidP="002A0C01">
      <w:pPr>
        <w:pStyle w:val="Heading3"/>
        <w:spacing w:line="360" w:lineRule="auto"/>
        <w:jc w:val="both"/>
        <w:rPr>
          <w:rStyle w:val="None"/>
          <w:rFonts w:ascii="Times New Roman" w:eastAsia="Times New Roman" w:hAnsi="Times New Roman" w:cs="Times New Roman"/>
          <w:u w:color="000000"/>
        </w:rPr>
      </w:pPr>
      <w:bookmarkStart w:id="16" w:name="_Toc14"/>
      <w:r w:rsidRPr="002A0C01">
        <w:rPr>
          <w:rStyle w:val="None"/>
          <w:rFonts w:ascii="Times New Roman" w:hAnsi="Times New Roman" w:cs="Times New Roman"/>
          <w:u w:color="000000"/>
        </w:rPr>
        <w:t xml:space="preserve">3.2 </w:t>
      </w:r>
      <w:r w:rsidRPr="002A0C01">
        <w:rPr>
          <w:rStyle w:val="None"/>
          <w:rFonts w:ascii="Times New Roman" w:hAnsi="Times New Roman" w:cs="Times New Roman"/>
          <w:lang w:val="fr-FR"/>
        </w:rPr>
        <w:t>Assumptions</w:t>
      </w:r>
      <w:bookmarkEnd w:id="16"/>
    </w:p>
    <w:p w14:paraId="15BFA6EE"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Assumptions made regarding this research topic are that: </w:t>
      </w:r>
    </w:p>
    <w:p w14:paraId="7473B4C6"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Understanding the reasons behind State’s failure to cooperate, will provide solutions to the way forward regarding State cooperation.</w:t>
      </w:r>
    </w:p>
    <w:p w14:paraId="15EB189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Limiting the field of study to Kenya and Sudan will provide solutions to situations in which other countries have also failed to cooperate with the ICC.</w:t>
      </w:r>
    </w:p>
    <w:p w14:paraId="771B8B68" w14:textId="77777777" w:rsidR="001B7948" w:rsidRPr="002A0C01" w:rsidRDefault="00B2706C" w:rsidP="002A0C01">
      <w:pPr>
        <w:pStyle w:val="Heading3"/>
        <w:spacing w:line="360" w:lineRule="auto"/>
        <w:jc w:val="both"/>
        <w:rPr>
          <w:rStyle w:val="None"/>
          <w:rFonts w:ascii="Times New Roman" w:eastAsia="Times New Roman" w:hAnsi="Times New Roman" w:cs="Times New Roman"/>
          <w:u w:color="000000"/>
        </w:rPr>
      </w:pPr>
      <w:bookmarkStart w:id="17" w:name="_Toc15"/>
      <w:r w:rsidRPr="002A0C01">
        <w:rPr>
          <w:rStyle w:val="None"/>
          <w:rFonts w:ascii="Times New Roman" w:hAnsi="Times New Roman" w:cs="Times New Roman"/>
          <w:u w:color="000000"/>
          <w:lang w:val="fr-FR"/>
        </w:rPr>
        <w:t xml:space="preserve">3.3 </w:t>
      </w:r>
      <w:r w:rsidRPr="002A0C01">
        <w:rPr>
          <w:rStyle w:val="None"/>
          <w:rFonts w:ascii="Times New Roman" w:hAnsi="Times New Roman" w:cs="Times New Roman"/>
          <w:lang w:val="fr-FR"/>
        </w:rPr>
        <w:t>Limitations</w:t>
      </w:r>
      <w:bookmarkEnd w:id="17"/>
    </w:p>
    <w:p w14:paraId="76C00F36" w14:textId="77777777" w:rsidR="001B7948" w:rsidRPr="002A0C01" w:rsidRDefault="00B2706C" w:rsidP="002A0C01">
      <w:pPr>
        <w:pStyle w:val="BodyA"/>
        <w:spacing w:line="360" w:lineRule="auto"/>
        <w:jc w:val="both"/>
        <w:rPr>
          <w:rStyle w:val="None"/>
          <w:rFonts w:ascii="Times New Roman" w:eastAsia="Times New Roman" w:hAnsi="Times New Roman" w:cs="Times New Roman"/>
          <w:color w:val="FF0000"/>
          <w:sz w:val="24"/>
          <w:szCs w:val="24"/>
          <w:u w:color="FF0000"/>
        </w:rPr>
      </w:pPr>
      <w:r w:rsidRPr="002A0C01">
        <w:rPr>
          <w:rStyle w:val="None"/>
          <w:rFonts w:ascii="Times New Roman" w:hAnsi="Times New Roman" w:cs="Times New Roman"/>
          <w:sz w:val="24"/>
          <w:szCs w:val="24"/>
        </w:rPr>
        <w:t xml:space="preserve">The research carried out as regards cases brought forth to the ICC have been limited to African situations. This is because most of the cases that have been before the ICC have been African. The research will include issues that have arisen due to the ICC’s prosecution of citizens in States such as Kenyan and Sudan. </w:t>
      </w:r>
    </w:p>
    <w:p w14:paraId="41148354"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18" w:name="_Toc16"/>
      <w:r w:rsidRPr="002A0C01">
        <w:rPr>
          <w:rStyle w:val="None"/>
          <w:rFonts w:ascii="Times New Roman" w:hAnsi="Times New Roman" w:cs="Times New Roman"/>
          <w:u w:color="000000"/>
          <w:lang w:val="nl-NL"/>
        </w:rPr>
        <w:t xml:space="preserve">3.4 Chapter </w:t>
      </w:r>
      <w:r w:rsidRPr="002A0C01">
        <w:rPr>
          <w:rStyle w:val="None"/>
          <w:rFonts w:ascii="Times New Roman" w:hAnsi="Times New Roman" w:cs="Times New Roman"/>
        </w:rPr>
        <w:t>Breakdown</w:t>
      </w:r>
      <w:bookmarkEnd w:id="18"/>
    </w:p>
    <w:p w14:paraId="4AFEF8F8"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This paper is divided into four chapters:</w:t>
      </w:r>
    </w:p>
    <w:p w14:paraId="32A21890"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Chapter one introduces the topic of study, gives a basic background of the research question and discusses the problem Statement, hypotheses, theoretical framework, literature review and methodology of the research study.</w:t>
      </w:r>
    </w:p>
    <w:p w14:paraId="0F951752"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 xml:space="preserve">Chapter two discusses the various laws put in place as regards State cooperation and the enforcement mechanisms, if any, put in place to ensure the adherence of the law. </w:t>
      </w:r>
    </w:p>
    <w:p w14:paraId="65AC5172"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Chapter three and four contextualise the issues. The relationship between the ICC and Kenya and the ICC and Sudan, are discussed in Chapters three and four (respectively) as case studies in this research. The reasons behind their actions are also put forward and categorised. </w:t>
      </w:r>
    </w:p>
    <w:p w14:paraId="1EBD6625"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rPr>
      </w:pPr>
      <w:r w:rsidRPr="002A0C01">
        <w:rPr>
          <w:rStyle w:val="None"/>
          <w:rFonts w:ascii="Times New Roman" w:hAnsi="Times New Roman" w:cs="Times New Roman"/>
          <w:sz w:val="24"/>
          <w:szCs w:val="24"/>
        </w:rPr>
        <w:t>Chapter five takes a holistic view of the topic by summarising the findings and conclusions drawn within the context of the problem statement and research questions that informed the topic. This Chapter also offers recommendations.</w:t>
      </w:r>
    </w:p>
    <w:p w14:paraId="63046A36" w14:textId="77777777" w:rsidR="001B7948" w:rsidRPr="002A0C01" w:rsidRDefault="001B7948" w:rsidP="002A0C01">
      <w:pPr>
        <w:pStyle w:val="BodyBAA"/>
        <w:spacing w:line="360" w:lineRule="auto"/>
        <w:jc w:val="both"/>
        <w:rPr>
          <w:rStyle w:val="NoneA"/>
        </w:rPr>
      </w:pPr>
    </w:p>
    <w:p w14:paraId="7137204A" w14:textId="77777777" w:rsidR="008123CA" w:rsidRPr="002A0C01" w:rsidRDefault="008123CA" w:rsidP="002A0C01">
      <w:pPr>
        <w:pStyle w:val="BodyBAA"/>
        <w:spacing w:line="360" w:lineRule="auto"/>
        <w:jc w:val="both"/>
        <w:rPr>
          <w:rStyle w:val="NoneA"/>
        </w:rPr>
      </w:pPr>
    </w:p>
    <w:p w14:paraId="6ADEA7B9" w14:textId="77777777" w:rsidR="008123CA" w:rsidRPr="002A0C01" w:rsidRDefault="008123CA" w:rsidP="002A0C01">
      <w:pPr>
        <w:pStyle w:val="BodyBAA"/>
        <w:spacing w:line="360" w:lineRule="auto"/>
        <w:jc w:val="both"/>
        <w:rPr>
          <w:rStyle w:val="NoneA"/>
        </w:rPr>
      </w:pPr>
    </w:p>
    <w:p w14:paraId="7AD55353" w14:textId="77777777" w:rsidR="008123CA" w:rsidRPr="002A0C01" w:rsidRDefault="008123CA" w:rsidP="002A0C01">
      <w:pPr>
        <w:pStyle w:val="BodyBAA"/>
        <w:spacing w:line="360" w:lineRule="auto"/>
        <w:jc w:val="both"/>
        <w:rPr>
          <w:rStyle w:val="NoneA"/>
        </w:rPr>
      </w:pPr>
    </w:p>
    <w:p w14:paraId="64EA7F60" w14:textId="77777777" w:rsidR="008123CA" w:rsidRPr="002A0C01" w:rsidRDefault="008123CA" w:rsidP="002A0C01">
      <w:pPr>
        <w:pStyle w:val="BodyBAA"/>
        <w:spacing w:line="360" w:lineRule="auto"/>
        <w:jc w:val="both"/>
        <w:rPr>
          <w:rStyle w:val="NoneA"/>
        </w:rPr>
      </w:pPr>
    </w:p>
    <w:p w14:paraId="13257931" w14:textId="77777777" w:rsidR="008123CA" w:rsidRPr="002A0C01" w:rsidRDefault="008123CA" w:rsidP="002A0C01">
      <w:pPr>
        <w:pStyle w:val="BodyBAA"/>
        <w:spacing w:line="360" w:lineRule="auto"/>
        <w:jc w:val="both"/>
        <w:rPr>
          <w:rStyle w:val="NoneA"/>
        </w:rPr>
      </w:pPr>
    </w:p>
    <w:p w14:paraId="1FA7152F" w14:textId="77777777" w:rsidR="008123CA" w:rsidRPr="002A0C01" w:rsidRDefault="008123CA" w:rsidP="002A0C01">
      <w:pPr>
        <w:pStyle w:val="BodyBAA"/>
        <w:spacing w:line="360" w:lineRule="auto"/>
        <w:jc w:val="both"/>
        <w:rPr>
          <w:rStyle w:val="NoneA"/>
        </w:rPr>
      </w:pPr>
    </w:p>
    <w:p w14:paraId="67E47161" w14:textId="77777777" w:rsidR="008123CA" w:rsidRPr="002A0C01" w:rsidRDefault="008123CA" w:rsidP="002A0C01">
      <w:pPr>
        <w:pStyle w:val="BodyBAA"/>
        <w:spacing w:line="360" w:lineRule="auto"/>
        <w:jc w:val="both"/>
        <w:rPr>
          <w:rStyle w:val="NoneA"/>
        </w:rPr>
      </w:pPr>
    </w:p>
    <w:p w14:paraId="41DE971D" w14:textId="77777777" w:rsidR="008123CA" w:rsidRPr="002A0C01" w:rsidRDefault="008123CA" w:rsidP="002A0C01">
      <w:pPr>
        <w:pStyle w:val="BodyBAA"/>
        <w:spacing w:line="360" w:lineRule="auto"/>
        <w:jc w:val="both"/>
        <w:rPr>
          <w:rStyle w:val="NoneA"/>
        </w:rPr>
      </w:pPr>
    </w:p>
    <w:p w14:paraId="13581D90" w14:textId="77777777" w:rsidR="008123CA" w:rsidRPr="002A0C01" w:rsidRDefault="008123CA" w:rsidP="002A0C01">
      <w:pPr>
        <w:pStyle w:val="BodyBAA"/>
        <w:spacing w:line="360" w:lineRule="auto"/>
        <w:jc w:val="both"/>
        <w:rPr>
          <w:rStyle w:val="NoneA"/>
        </w:rPr>
      </w:pPr>
    </w:p>
    <w:p w14:paraId="3672D19D" w14:textId="77777777" w:rsidR="008123CA" w:rsidRPr="002A0C01" w:rsidRDefault="008123CA" w:rsidP="002A0C01">
      <w:pPr>
        <w:pStyle w:val="BodyBAA"/>
        <w:spacing w:line="360" w:lineRule="auto"/>
        <w:jc w:val="both"/>
        <w:rPr>
          <w:rStyle w:val="NoneA"/>
        </w:rPr>
      </w:pPr>
    </w:p>
    <w:p w14:paraId="6DE045A1" w14:textId="77777777" w:rsidR="008123CA" w:rsidRPr="002A0C01" w:rsidRDefault="008123CA" w:rsidP="002A0C01">
      <w:pPr>
        <w:pStyle w:val="BodyBAA"/>
        <w:spacing w:line="360" w:lineRule="auto"/>
        <w:jc w:val="both"/>
        <w:rPr>
          <w:rStyle w:val="NoneA"/>
        </w:rPr>
      </w:pPr>
    </w:p>
    <w:p w14:paraId="3B6B927A"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19" w:name="_Toc17"/>
      <w:r w:rsidRPr="002A0C01">
        <w:rPr>
          <w:rStyle w:val="None"/>
          <w:rFonts w:ascii="Times New Roman" w:hAnsi="Times New Roman" w:cs="Times New Roman"/>
        </w:rPr>
        <w:lastRenderedPageBreak/>
        <w:t>CHAPTER TWO</w:t>
      </w:r>
      <w:bookmarkEnd w:id="19"/>
    </w:p>
    <w:p w14:paraId="28DF2BA3"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20" w:name="_Toc18"/>
      <w:r w:rsidRPr="002A0C01">
        <w:rPr>
          <w:rStyle w:val="None"/>
          <w:rFonts w:ascii="Times New Roman" w:hAnsi="Times New Roman" w:cs="Times New Roman"/>
        </w:rPr>
        <w:t xml:space="preserve">AN ANALYSIS OF THE VARIOUS LAWS PROVIDING FOR STATE COOPERATION </w:t>
      </w:r>
      <w:bookmarkEnd w:id="20"/>
    </w:p>
    <w:p w14:paraId="1499D37A"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21" w:name="_Toc19"/>
      <w:r w:rsidRPr="002A0C01">
        <w:rPr>
          <w:rStyle w:val="None"/>
          <w:rFonts w:ascii="Times New Roman" w:hAnsi="Times New Roman" w:cs="Times New Roman"/>
          <w:lang w:val="de-DE"/>
        </w:rPr>
        <w:t>INTRODUCTION</w:t>
      </w:r>
      <w:bookmarkEnd w:id="21"/>
    </w:p>
    <w:p w14:paraId="6C5298D4"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ICC has no police force, military, or territory of its own, and its success is contingent on the cooperation it receives from States.</w:t>
      </w:r>
      <w:r w:rsidRPr="002A0C01">
        <w:rPr>
          <w:rStyle w:val="None"/>
          <w:rFonts w:ascii="Times New Roman" w:eastAsia="Times New Roman" w:hAnsi="Times New Roman" w:cs="Times New Roman"/>
          <w:sz w:val="24"/>
          <w:szCs w:val="24"/>
          <w:vertAlign w:val="superscript"/>
        </w:rPr>
        <w:footnoteReference w:id="55"/>
      </w:r>
      <w:r w:rsidRPr="002A0C01">
        <w:rPr>
          <w:rStyle w:val="None"/>
          <w:rFonts w:ascii="Times New Roman" w:hAnsi="Times New Roman" w:cs="Times New Roman"/>
          <w:sz w:val="24"/>
          <w:szCs w:val="24"/>
        </w:rPr>
        <w:t xml:space="preserve"> Part 9 of the Rome Statute recognises the significance of State cooperation to the successful functioning of the ICC, through its dedication to matters of international cooperation.</w:t>
      </w:r>
      <w:r w:rsidRPr="002A0C01">
        <w:rPr>
          <w:rStyle w:val="None"/>
          <w:rFonts w:ascii="Times New Roman" w:eastAsia="Times New Roman" w:hAnsi="Times New Roman" w:cs="Times New Roman"/>
          <w:sz w:val="24"/>
          <w:szCs w:val="24"/>
          <w:vertAlign w:val="superscript"/>
        </w:rPr>
        <w:footnoteReference w:id="56"/>
      </w:r>
      <w:r w:rsidRPr="002A0C01">
        <w:rPr>
          <w:rStyle w:val="None"/>
          <w:rFonts w:ascii="Times New Roman" w:hAnsi="Times New Roman" w:cs="Times New Roman"/>
          <w:sz w:val="24"/>
          <w:szCs w:val="24"/>
        </w:rPr>
        <w:t xml:space="preserve"> </w:t>
      </w:r>
    </w:p>
    <w:p w14:paraId="37BDEEFB"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States’ duty to cooperate with the ICC is categorised into two: a broad obligation to cooperate and a duty to harmonise domestic laws with the Rome Statute, to permit cooperatio</w:t>
      </w:r>
      <w:r w:rsidRPr="002A0C01">
        <w:rPr>
          <w:rFonts w:ascii="Times New Roman" w:hAnsi="Times New Roman" w:cs="Times New Roman"/>
          <w:sz w:val="24"/>
          <w:szCs w:val="24"/>
        </w:rPr>
        <w:t>n</w:t>
      </w:r>
      <w:r w:rsidRPr="002A0C01">
        <w:rPr>
          <w:rStyle w:val="None"/>
          <w:rFonts w:ascii="Times New Roman" w:hAnsi="Times New Roman" w:cs="Times New Roman"/>
          <w:sz w:val="24"/>
          <w:szCs w:val="24"/>
          <w:u w:color="FF0000"/>
        </w:rPr>
        <w:t>.</w:t>
      </w:r>
      <w:r w:rsidRPr="002A0C01">
        <w:rPr>
          <w:rStyle w:val="None"/>
          <w:rFonts w:ascii="Times New Roman" w:eastAsia="Times New Roman" w:hAnsi="Times New Roman" w:cs="Times New Roman"/>
          <w:sz w:val="24"/>
          <w:szCs w:val="24"/>
          <w:vertAlign w:val="superscript"/>
        </w:rPr>
        <w:footnoteReference w:id="57"/>
      </w:r>
      <w:r w:rsidRPr="002A0C01">
        <w:rPr>
          <w:rFonts w:ascii="Times New Roman" w:hAnsi="Times New Roman" w:cs="Times New Roman"/>
          <w:sz w:val="24"/>
          <w:szCs w:val="24"/>
        </w:rPr>
        <w:t xml:space="preserve"> </w:t>
      </w:r>
      <w:r w:rsidRPr="002A0C01">
        <w:rPr>
          <w:rStyle w:val="None"/>
          <w:rFonts w:ascii="Times New Roman" w:hAnsi="Times New Roman" w:cs="Times New Roman"/>
          <w:sz w:val="24"/>
          <w:szCs w:val="24"/>
        </w:rPr>
        <w:t>Articles 86 and 88 of the Rome Statute lay down the basis o</w:t>
      </w:r>
      <w:r w:rsidRPr="002A0C01">
        <w:rPr>
          <w:rFonts w:ascii="Times New Roman" w:hAnsi="Times New Roman" w:cs="Times New Roman"/>
          <w:sz w:val="24"/>
          <w:szCs w:val="24"/>
        </w:rPr>
        <w:t xml:space="preserve">f the </w:t>
      </w:r>
      <w:r w:rsidRPr="002A0C01">
        <w:rPr>
          <w:rStyle w:val="None"/>
          <w:rFonts w:ascii="Times New Roman" w:hAnsi="Times New Roman" w:cs="Times New Roman"/>
          <w:sz w:val="24"/>
          <w:szCs w:val="24"/>
          <w:u w:color="FF0000"/>
        </w:rPr>
        <w:t xml:space="preserve">responsibility of State </w:t>
      </w:r>
      <w:r w:rsidRPr="002A0C01">
        <w:rPr>
          <w:rFonts w:ascii="Times New Roman" w:hAnsi="Times New Roman" w:cs="Times New Roman"/>
          <w:sz w:val="24"/>
          <w:szCs w:val="24"/>
        </w:rPr>
        <w:t>P</w:t>
      </w:r>
      <w:r w:rsidRPr="002A0C01">
        <w:rPr>
          <w:rStyle w:val="None"/>
          <w:rFonts w:ascii="Times New Roman" w:hAnsi="Times New Roman" w:cs="Times New Roman"/>
          <w:sz w:val="24"/>
          <w:szCs w:val="24"/>
        </w:rPr>
        <w:t>arties to cooperate with the ICC. According to Article 86 of the Rome Statute:</w:t>
      </w:r>
    </w:p>
    <w:p w14:paraId="0C85F7AA"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States Parties shall, in accordance with the provisions of this Statute, cooperate fully with the Court in its investigation and prosecution of crimes within the jurisdiction of the Court.</w:t>
      </w:r>
      <w:r w:rsidRPr="002A0C01">
        <w:rPr>
          <w:rStyle w:val="None"/>
          <w:rFonts w:ascii="Times New Roman" w:eastAsia="Times New Roman" w:hAnsi="Times New Roman" w:cs="Times New Roman"/>
          <w:sz w:val="24"/>
          <w:szCs w:val="24"/>
          <w:vertAlign w:val="superscript"/>
        </w:rPr>
        <w:footnoteReference w:id="58"/>
      </w:r>
    </w:p>
    <w:p w14:paraId="0A7AFE7E"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Articles of the Rome Statute and the ICC’s Rules of Procedure and Evidence supplement this general requirement further. The ICC places reliance on States Parties to arrest individuals and surrender them to the Court,</w:t>
      </w:r>
      <w:r w:rsidRPr="002A0C01">
        <w:rPr>
          <w:rStyle w:val="None"/>
          <w:rFonts w:ascii="Times New Roman" w:eastAsia="Times New Roman" w:hAnsi="Times New Roman" w:cs="Times New Roman"/>
          <w:sz w:val="24"/>
          <w:szCs w:val="24"/>
          <w:vertAlign w:val="superscript"/>
        </w:rPr>
        <w:footnoteReference w:id="59"/>
      </w:r>
      <w:r w:rsidRPr="002A0C01">
        <w:rPr>
          <w:rStyle w:val="None"/>
          <w:rFonts w:ascii="Times New Roman" w:hAnsi="Times New Roman" w:cs="Times New Roman"/>
          <w:sz w:val="24"/>
          <w:szCs w:val="24"/>
        </w:rPr>
        <w:t xml:space="preserve"> and to collect evidence and serve documents in their respective territories.</w:t>
      </w:r>
      <w:r w:rsidRPr="002A0C01">
        <w:rPr>
          <w:rStyle w:val="None"/>
          <w:rFonts w:ascii="Times New Roman" w:eastAsia="Times New Roman" w:hAnsi="Times New Roman" w:cs="Times New Roman"/>
          <w:sz w:val="24"/>
          <w:szCs w:val="24"/>
          <w:vertAlign w:val="superscript"/>
        </w:rPr>
        <w:footnoteReference w:id="60"/>
      </w:r>
      <w:r w:rsidRPr="002A0C01">
        <w:rPr>
          <w:rStyle w:val="None"/>
          <w:rFonts w:ascii="Times New Roman" w:hAnsi="Times New Roman" w:cs="Times New Roman"/>
          <w:sz w:val="24"/>
          <w:szCs w:val="24"/>
        </w:rPr>
        <w:t xml:space="preserve"> States are further compelled to amend their domestic laws to align with the Rome Statute in order to foster cooperation.</w:t>
      </w:r>
      <w:r w:rsidRPr="002A0C01">
        <w:rPr>
          <w:rStyle w:val="None"/>
          <w:rFonts w:ascii="Times New Roman" w:eastAsia="Times New Roman" w:hAnsi="Times New Roman" w:cs="Times New Roman"/>
          <w:sz w:val="24"/>
          <w:szCs w:val="24"/>
          <w:vertAlign w:val="superscript"/>
        </w:rPr>
        <w:footnoteReference w:id="61"/>
      </w:r>
    </w:p>
    <w:p w14:paraId="2B81D10F"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 xml:space="preserve">This Chapter examines the numerous cooperation duties within the Rome Statute associated with arrest and surrender; investigation and evidence gathering; and witness protection. This should aid in understanding the provisions that Kenya and Sudan failed to cooperate with in the subsequent chapter. </w:t>
      </w:r>
    </w:p>
    <w:p w14:paraId="2E3E0983" w14:textId="77777777" w:rsidR="001B7948" w:rsidRPr="002A0C01" w:rsidRDefault="00B2706C" w:rsidP="002A0C01">
      <w:pPr>
        <w:pStyle w:val="Heading2"/>
        <w:spacing w:line="360" w:lineRule="auto"/>
        <w:jc w:val="both"/>
        <w:rPr>
          <w:rFonts w:ascii="Times New Roman" w:hAnsi="Times New Roman" w:cs="Times New Roman"/>
        </w:rPr>
      </w:pPr>
      <w:bookmarkStart w:id="22" w:name="_Toc20"/>
      <w:r w:rsidRPr="002A0C01">
        <w:rPr>
          <w:rStyle w:val="None"/>
          <w:rFonts w:ascii="Times New Roman" w:hAnsi="Times New Roman" w:cs="Times New Roman"/>
          <w:sz w:val="24"/>
          <w:szCs w:val="24"/>
        </w:rPr>
        <w:t xml:space="preserve">I. </w:t>
      </w:r>
      <w:r w:rsidRPr="002A0C01">
        <w:rPr>
          <w:rStyle w:val="None"/>
          <w:rFonts w:ascii="Times New Roman" w:hAnsi="Times New Roman" w:cs="Times New Roman"/>
          <w:lang w:val="de-DE"/>
        </w:rPr>
        <w:t>ARREST AND SURRENDER</w:t>
      </w:r>
      <w:bookmarkEnd w:id="22"/>
    </w:p>
    <w:p w14:paraId="1CFFB0FF"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obligation on State Parties to arrest and surrender accused persons is envisaged in numerous articles of the Rome Statute. Article 89(1) of the Rome Statute sanctions the ICC to request for the arrest and surrender of an accused person in the region in which he or she is located.</w:t>
      </w:r>
      <w:r w:rsidRPr="002A0C01">
        <w:rPr>
          <w:rStyle w:val="None"/>
          <w:rFonts w:ascii="Times New Roman" w:eastAsia="Times New Roman" w:hAnsi="Times New Roman" w:cs="Times New Roman"/>
          <w:sz w:val="24"/>
          <w:szCs w:val="24"/>
          <w:vertAlign w:val="superscript"/>
        </w:rPr>
        <w:footnoteReference w:id="62"/>
      </w:r>
      <w:r w:rsidRPr="002A0C01">
        <w:rPr>
          <w:rStyle w:val="None"/>
          <w:rFonts w:ascii="Times New Roman" w:hAnsi="Times New Roman" w:cs="Times New Roman"/>
          <w:sz w:val="24"/>
          <w:szCs w:val="24"/>
        </w:rPr>
        <w:t xml:space="preserve"> Upon receiving such a request, the State concerned must act in accordance with the ICC.</w:t>
      </w:r>
      <w:r w:rsidRPr="002A0C01">
        <w:rPr>
          <w:rStyle w:val="None"/>
          <w:rFonts w:ascii="Times New Roman" w:eastAsia="Times New Roman" w:hAnsi="Times New Roman" w:cs="Times New Roman"/>
          <w:sz w:val="24"/>
          <w:szCs w:val="24"/>
          <w:vertAlign w:val="superscript"/>
        </w:rPr>
        <w:footnoteReference w:id="63"/>
      </w:r>
      <w:r w:rsidRPr="002A0C01">
        <w:rPr>
          <w:rStyle w:val="None"/>
          <w:rFonts w:ascii="Times New Roman" w:hAnsi="Times New Roman" w:cs="Times New Roman"/>
          <w:sz w:val="24"/>
          <w:szCs w:val="24"/>
        </w:rPr>
        <w:t xml:space="preserve"> </w:t>
      </w:r>
      <w:r w:rsidRPr="002A0C01">
        <w:rPr>
          <w:rStyle w:val="None"/>
          <w:rFonts w:ascii="Times New Roman" w:hAnsi="Times New Roman" w:cs="Times New Roman"/>
          <w:sz w:val="24"/>
          <w:szCs w:val="24"/>
          <w:u w:color="FF0000"/>
        </w:rPr>
        <w:t>Compliance was reiterated in the Situation in Libya, in which the Court emphasised the duty of State Parties to comply with the ICC whereas non-State Parties are simply urged to cooperate with the Court.</w:t>
      </w:r>
      <w:r w:rsidRPr="002A0C01">
        <w:rPr>
          <w:rStyle w:val="None"/>
          <w:rFonts w:ascii="Times New Roman" w:eastAsia="Times New Roman" w:hAnsi="Times New Roman" w:cs="Times New Roman"/>
          <w:sz w:val="24"/>
          <w:szCs w:val="24"/>
          <w:u w:color="FF0000"/>
          <w:vertAlign w:val="superscript"/>
        </w:rPr>
        <w:footnoteReference w:id="64"/>
      </w:r>
    </w:p>
    <w:p w14:paraId="1835E847"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When surrendering the accused to the ICC, the surrender process can vary from State to State, subject to specific restrictions.</w:t>
      </w:r>
      <w:r w:rsidRPr="002A0C01">
        <w:rPr>
          <w:rStyle w:val="None"/>
          <w:rFonts w:ascii="Times New Roman" w:eastAsia="Times New Roman" w:hAnsi="Times New Roman" w:cs="Times New Roman"/>
          <w:sz w:val="24"/>
          <w:szCs w:val="24"/>
          <w:vertAlign w:val="superscript"/>
        </w:rPr>
        <w:footnoteReference w:id="65"/>
      </w:r>
      <w:r w:rsidRPr="002A0C01">
        <w:rPr>
          <w:rStyle w:val="None"/>
          <w:rFonts w:ascii="Times New Roman" w:hAnsi="Times New Roman" w:cs="Times New Roman"/>
          <w:sz w:val="24"/>
          <w:szCs w:val="24"/>
        </w:rPr>
        <w:t xml:space="preserve"> According to Article 91 (2) (c) of the Rome Statute, the surrender procedure: </w:t>
      </w:r>
    </w:p>
    <w:p w14:paraId="671CA3C3"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should not be more burdensome than those applicable to requests for extradition pursuant to treaties or arrangements between the requested State and other States and should, if possible, be less burdensome, taking into account the distinct nature of the Court.</w:t>
      </w:r>
      <w:r w:rsidRPr="002A0C01">
        <w:rPr>
          <w:rStyle w:val="None"/>
          <w:rFonts w:ascii="Times New Roman" w:eastAsia="Times New Roman" w:hAnsi="Times New Roman" w:cs="Times New Roman"/>
          <w:sz w:val="24"/>
          <w:szCs w:val="24"/>
          <w:vertAlign w:val="superscript"/>
        </w:rPr>
        <w:footnoteReference w:id="66"/>
      </w:r>
    </w:p>
    <w:p w14:paraId="50C363FA"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 Parties thus have two choices when executing a request for the surrender of the accused to the court: create a distinct legal procedure or alter subsisting extradition laws.</w:t>
      </w:r>
      <w:r w:rsidRPr="002A0C01">
        <w:rPr>
          <w:rStyle w:val="None"/>
          <w:rFonts w:ascii="Times New Roman" w:eastAsia="Times New Roman" w:hAnsi="Times New Roman" w:cs="Times New Roman"/>
          <w:sz w:val="24"/>
          <w:szCs w:val="24"/>
          <w:vertAlign w:val="superscript"/>
        </w:rPr>
        <w:footnoteReference w:id="67"/>
      </w:r>
    </w:p>
    <w:p w14:paraId="72DF5C7D"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The Court in urgent cases can request States to conduct a provisional arrest as the ICC sends the required documentation for the accused’s surrender.</w:t>
      </w:r>
      <w:r w:rsidRPr="002A0C01">
        <w:rPr>
          <w:rStyle w:val="None"/>
          <w:rFonts w:ascii="Times New Roman" w:eastAsia="Times New Roman" w:hAnsi="Times New Roman" w:cs="Times New Roman"/>
          <w:sz w:val="24"/>
          <w:szCs w:val="24"/>
          <w:vertAlign w:val="superscript"/>
        </w:rPr>
        <w:footnoteReference w:id="68"/>
      </w:r>
      <w:r w:rsidRPr="002A0C01">
        <w:rPr>
          <w:rStyle w:val="None"/>
          <w:rFonts w:ascii="Times New Roman" w:hAnsi="Times New Roman" w:cs="Times New Roman"/>
          <w:sz w:val="24"/>
          <w:szCs w:val="24"/>
        </w:rPr>
        <w:t xml:space="preserve"> This was evidenced in the Bemba Case, where the Prosecutor issued a provisional warrant of arrest for Jean-Pierre Bemba Gombo.</w:t>
      </w:r>
      <w:r w:rsidRPr="002A0C01">
        <w:rPr>
          <w:rStyle w:val="None"/>
          <w:rFonts w:ascii="Times New Roman" w:eastAsia="Times New Roman" w:hAnsi="Times New Roman" w:cs="Times New Roman"/>
          <w:sz w:val="24"/>
          <w:szCs w:val="24"/>
          <w:vertAlign w:val="superscript"/>
        </w:rPr>
        <w:footnoteReference w:id="69"/>
      </w:r>
      <w:r w:rsidRPr="002A0C01">
        <w:rPr>
          <w:rStyle w:val="None"/>
          <w:rFonts w:ascii="Times New Roman" w:hAnsi="Times New Roman" w:cs="Times New Roman"/>
          <w:sz w:val="24"/>
          <w:szCs w:val="24"/>
        </w:rPr>
        <w:t xml:space="preserve"> </w:t>
      </w:r>
    </w:p>
    <w:p w14:paraId="7DEC0C1C"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Rome Statute also caters for situations where the accused must transit one or more States before being surrendered to the ICC.</w:t>
      </w:r>
      <w:r w:rsidRPr="002A0C01">
        <w:rPr>
          <w:rStyle w:val="None"/>
          <w:rFonts w:ascii="Times New Roman" w:eastAsia="Times New Roman" w:hAnsi="Times New Roman" w:cs="Times New Roman"/>
          <w:sz w:val="24"/>
          <w:szCs w:val="24"/>
          <w:vertAlign w:val="superscript"/>
        </w:rPr>
        <w:footnoteReference w:id="70"/>
      </w:r>
      <w:r w:rsidRPr="002A0C01">
        <w:rPr>
          <w:rStyle w:val="None"/>
          <w:rFonts w:ascii="Times New Roman" w:hAnsi="Times New Roman" w:cs="Times New Roman"/>
          <w:sz w:val="24"/>
          <w:szCs w:val="24"/>
        </w:rPr>
        <w:t xml:space="preserve"> In such cases, it is under the mandate of the State party to sanction the transportation of the accused, if passing through State Parties.</w:t>
      </w:r>
      <w:r w:rsidRPr="002A0C01">
        <w:rPr>
          <w:rStyle w:val="None"/>
          <w:rFonts w:ascii="Times New Roman" w:eastAsia="Times New Roman" w:hAnsi="Times New Roman" w:cs="Times New Roman"/>
          <w:sz w:val="24"/>
          <w:szCs w:val="24"/>
          <w:vertAlign w:val="superscript"/>
        </w:rPr>
        <w:footnoteReference w:id="71"/>
      </w:r>
      <w:r w:rsidRPr="002A0C01">
        <w:rPr>
          <w:rStyle w:val="None"/>
          <w:rFonts w:ascii="Times New Roman" w:hAnsi="Times New Roman" w:cs="Times New Roman"/>
          <w:sz w:val="24"/>
          <w:szCs w:val="24"/>
        </w:rPr>
        <w:t xml:space="preserve"> Permission must be sought by the ICC to allow for transit of the accused in non-State Parties.</w:t>
      </w:r>
      <w:r w:rsidRPr="002A0C01">
        <w:rPr>
          <w:rStyle w:val="None"/>
          <w:rFonts w:ascii="Times New Roman" w:eastAsia="Times New Roman" w:hAnsi="Times New Roman" w:cs="Times New Roman"/>
          <w:sz w:val="24"/>
          <w:szCs w:val="24"/>
          <w:vertAlign w:val="superscript"/>
        </w:rPr>
        <w:footnoteReference w:id="72"/>
      </w:r>
    </w:p>
    <w:p w14:paraId="6399932B"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Finally, the Rome Statute addresses the complication of competing requests, that is, where both the ICC and a State request for the surrender of a person. Regardless of a State’s party status, where the Court holds that the case is admissible, all requesting States must give precedence to the ICC’s request.</w:t>
      </w:r>
      <w:r w:rsidRPr="002A0C01">
        <w:rPr>
          <w:rStyle w:val="None"/>
          <w:rFonts w:ascii="Times New Roman" w:eastAsia="Times New Roman" w:hAnsi="Times New Roman" w:cs="Times New Roman"/>
          <w:sz w:val="24"/>
          <w:szCs w:val="24"/>
          <w:vertAlign w:val="superscript"/>
        </w:rPr>
        <w:footnoteReference w:id="73"/>
      </w:r>
      <w:r w:rsidRPr="002A0C01">
        <w:rPr>
          <w:rStyle w:val="None"/>
          <w:rFonts w:ascii="Times New Roman" w:hAnsi="Times New Roman" w:cs="Times New Roman"/>
          <w:sz w:val="24"/>
          <w:szCs w:val="24"/>
        </w:rPr>
        <w:t xml:space="preserve"> However if the requesting State is not a party to the ICC and is under an international obligation to extradite the person in question, neither the ICC nor the requesting State takes precedence.</w:t>
      </w:r>
      <w:r w:rsidRPr="002A0C01">
        <w:rPr>
          <w:rStyle w:val="None"/>
          <w:rFonts w:ascii="Times New Roman" w:eastAsia="Times New Roman" w:hAnsi="Times New Roman" w:cs="Times New Roman"/>
          <w:sz w:val="24"/>
          <w:szCs w:val="24"/>
          <w:vertAlign w:val="superscript"/>
        </w:rPr>
        <w:footnoteReference w:id="74"/>
      </w:r>
      <w:r w:rsidRPr="002A0C01">
        <w:rPr>
          <w:rStyle w:val="None"/>
          <w:rFonts w:ascii="Times New Roman" w:hAnsi="Times New Roman" w:cs="Times New Roman"/>
          <w:sz w:val="24"/>
          <w:szCs w:val="24"/>
        </w:rPr>
        <w:t xml:space="preserve"> Other factors will have to be considered such as; where the crime was committed, the nationalities of the victims or the nationality of the person sought.</w:t>
      </w:r>
      <w:r w:rsidRPr="002A0C01">
        <w:rPr>
          <w:rStyle w:val="None"/>
          <w:rFonts w:ascii="Times New Roman" w:eastAsia="Times New Roman" w:hAnsi="Times New Roman" w:cs="Times New Roman"/>
          <w:sz w:val="24"/>
          <w:szCs w:val="24"/>
          <w:vertAlign w:val="superscript"/>
        </w:rPr>
        <w:footnoteReference w:id="75"/>
      </w:r>
      <w:r w:rsidRPr="002A0C01">
        <w:rPr>
          <w:rStyle w:val="None"/>
          <w:rFonts w:ascii="Times New Roman" w:hAnsi="Times New Roman" w:cs="Times New Roman"/>
          <w:sz w:val="24"/>
          <w:szCs w:val="24"/>
        </w:rPr>
        <w:t xml:space="preserve"> The intricate issues that ensue from competing requests, are also tackled in the Rules of Procedure and Evidence.</w:t>
      </w:r>
      <w:r w:rsidRPr="002A0C01">
        <w:rPr>
          <w:rStyle w:val="None"/>
          <w:rFonts w:ascii="Times New Roman" w:eastAsia="Times New Roman" w:hAnsi="Times New Roman" w:cs="Times New Roman"/>
          <w:sz w:val="24"/>
          <w:szCs w:val="24"/>
          <w:vertAlign w:val="superscript"/>
        </w:rPr>
        <w:footnoteReference w:id="76"/>
      </w:r>
    </w:p>
    <w:p w14:paraId="15AFC259"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States must be able to cooperate with the ICC in the arresting and surrendering of individuals to the Court, in order to ensure an effective Court. </w:t>
      </w:r>
    </w:p>
    <w:p w14:paraId="12BF8F20" w14:textId="77777777" w:rsidR="001B7948" w:rsidRPr="002A0C01" w:rsidRDefault="00B2706C" w:rsidP="002A0C01">
      <w:pPr>
        <w:pStyle w:val="Heading2"/>
        <w:spacing w:line="360" w:lineRule="auto"/>
        <w:jc w:val="both"/>
        <w:rPr>
          <w:rStyle w:val="None"/>
          <w:rFonts w:ascii="Times New Roman" w:hAnsi="Times New Roman" w:cs="Times New Roman"/>
          <w:lang w:val="de-DE"/>
        </w:rPr>
      </w:pPr>
      <w:bookmarkStart w:id="23" w:name="_Toc21"/>
      <w:r w:rsidRPr="002A0C01">
        <w:rPr>
          <w:rStyle w:val="None"/>
          <w:rFonts w:ascii="Times New Roman" w:hAnsi="Times New Roman" w:cs="Times New Roman"/>
          <w:sz w:val="24"/>
          <w:szCs w:val="24"/>
        </w:rPr>
        <w:t xml:space="preserve">II. </w:t>
      </w:r>
      <w:r w:rsidRPr="002A0C01">
        <w:rPr>
          <w:rStyle w:val="None"/>
          <w:rFonts w:ascii="Times New Roman" w:hAnsi="Times New Roman" w:cs="Times New Roman"/>
          <w:lang w:val="de-DE"/>
        </w:rPr>
        <w:t>INVESTIGATION AND EVIDENCE GATHERING</w:t>
      </w:r>
      <w:bookmarkEnd w:id="23"/>
    </w:p>
    <w:p w14:paraId="59E27A57" w14:textId="77777777" w:rsidR="001B7948" w:rsidRPr="002A0C01" w:rsidRDefault="00B2706C" w:rsidP="002A0C01">
      <w:pPr>
        <w:pStyle w:val="Body"/>
        <w:spacing w:line="360" w:lineRule="auto"/>
        <w:jc w:val="both"/>
        <w:rPr>
          <w:rStyle w:val="None"/>
        </w:rPr>
      </w:pPr>
      <w:r w:rsidRPr="002A0C01">
        <w:t>As per Article 86, States are obliged to cooperate with the ICC in the investigation and prosecution of crimes under the ambit of the Court.</w:t>
      </w:r>
      <w:r w:rsidRPr="002A0C01">
        <w:rPr>
          <w:rStyle w:val="None"/>
          <w:vertAlign w:val="superscript"/>
        </w:rPr>
        <w:footnoteReference w:id="77"/>
      </w:r>
      <w:r w:rsidRPr="002A0C01">
        <w:t xml:space="preserve"> </w:t>
      </w:r>
      <w:r w:rsidRPr="002A0C01">
        <w:rPr>
          <w:rStyle w:val="None"/>
        </w:rPr>
        <w:t>Harmonisation of the Rome Statute and domestic legislation is key in ensuring successful investigations and prosecution.</w:t>
      </w:r>
      <w:r w:rsidRPr="002A0C01">
        <w:rPr>
          <w:rStyle w:val="None"/>
          <w:vertAlign w:val="superscript"/>
        </w:rPr>
        <w:footnoteReference w:id="78"/>
      </w:r>
      <w:r w:rsidRPr="002A0C01">
        <w:rPr>
          <w:rStyle w:val="None"/>
        </w:rPr>
        <w:t xml:space="preserve"> To that end, the Rome </w:t>
      </w:r>
      <w:r w:rsidRPr="002A0C01">
        <w:rPr>
          <w:rStyle w:val="None"/>
        </w:rPr>
        <w:lastRenderedPageBreak/>
        <w:t>Statute further impels State Parties to guarantee the existence of procedures under their domestic law that do not hinder cooperation with the Court's investigative and evidentiary matters.</w:t>
      </w:r>
      <w:r w:rsidRPr="002A0C01">
        <w:rPr>
          <w:rStyle w:val="None"/>
          <w:vertAlign w:val="superscript"/>
        </w:rPr>
        <w:footnoteReference w:id="79"/>
      </w:r>
    </w:p>
    <w:p w14:paraId="607C52E4"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rPr>
      </w:pPr>
      <w:r w:rsidRPr="002A0C01">
        <w:rPr>
          <w:rStyle w:val="None"/>
          <w:rFonts w:ascii="Times New Roman" w:hAnsi="Times New Roman" w:cs="Times New Roman"/>
          <w:sz w:val="24"/>
          <w:szCs w:val="24"/>
        </w:rPr>
        <w:t>The Court can initiate investigations into a situation in two ways. A referral can be made to the Court by a State party,</w:t>
      </w:r>
      <w:r w:rsidRPr="002A0C01">
        <w:rPr>
          <w:rStyle w:val="None"/>
          <w:rFonts w:ascii="Times New Roman" w:eastAsia="Times New Roman" w:hAnsi="Times New Roman" w:cs="Times New Roman"/>
          <w:sz w:val="24"/>
          <w:szCs w:val="24"/>
          <w:vertAlign w:val="superscript"/>
        </w:rPr>
        <w:footnoteReference w:id="80"/>
      </w:r>
      <w:r w:rsidRPr="002A0C01">
        <w:rPr>
          <w:rStyle w:val="None"/>
          <w:rFonts w:ascii="Times New Roman" w:hAnsi="Times New Roman" w:cs="Times New Roman"/>
          <w:sz w:val="24"/>
          <w:szCs w:val="24"/>
        </w:rPr>
        <w:t xml:space="preserve"> or investigations can be launched by the Prosecutor of the ICC,</w:t>
      </w:r>
      <w:r w:rsidRPr="002A0C01">
        <w:rPr>
          <w:rStyle w:val="None"/>
          <w:rFonts w:ascii="Times New Roman" w:eastAsia="Times New Roman" w:hAnsi="Times New Roman" w:cs="Times New Roman"/>
          <w:sz w:val="24"/>
          <w:szCs w:val="24"/>
          <w:vertAlign w:val="superscript"/>
        </w:rPr>
        <w:footnoteReference w:id="81"/>
      </w:r>
      <w:r w:rsidRPr="002A0C01">
        <w:rPr>
          <w:rStyle w:val="None"/>
          <w:rFonts w:ascii="Times New Roman" w:hAnsi="Times New Roman" w:cs="Times New Roman"/>
          <w:sz w:val="24"/>
          <w:szCs w:val="24"/>
        </w:rPr>
        <w:t xml:space="preserve"> as evidenced in the Situation in Kenya. </w:t>
      </w:r>
      <w:r w:rsidRPr="002A0C01">
        <w:rPr>
          <w:rStyle w:val="None"/>
          <w:rFonts w:ascii="Times New Roman" w:eastAsia="Times New Roman" w:hAnsi="Times New Roman" w:cs="Times New Roman"/>
          <w:sz w:val="24"/>
          <w:szCs w:val="24"/>
          <w:vertAlign w:val="superscript"/>
        </w:rPr>
        <w:footnoteReference w:id="82"/>
      </w:r>
      <w:r w:rsidRPr="002A0C01">
        <w:rPr>
          <w:rStyle w:val="None"/>
          <w:rFonts w:ascii="Times New Roman" w:hAnsi="Times New Roman" w:cs="Times New Roman"/>
          <w:sz w:val="24"/>
          <w:szCs w:val="24"/>
        </w:rPr>
        <w:t xml:space="preserve"> The Rome Statute governs these investigations as seen in Article 54(1) where the prosecutor’s role is enumerated:</w:t>
      </w:r>
    </w:p>
    <w:p w14:paraId="1C84D543"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Prosecutor shall, in order to establish the truth, extend the investigation to cover all facts and evidence relevant to an assessment of whether there is criminal responsibility under this Statute, and, in doing so, investigate incriminating and exonerating circumstances equally.</w:t>
      </w:r>
      <w:r w:rsidRPr="002A0C01">
        <w:rPr>
          <w:rStyle w:val="None"/>
          <w:rFonts w:ascii="Times New Roman" w:eastAsia="Times New Roman" w:hAnsi="Times New Roman" w:cs="Times New Roman"/>
          <w:sz w:val="24"/>
          <w:szCs w:val="24"/>
          <w:vertAlign w:val="superscript"/>
        </w:rPr>
        <w:footnoteReference w:id="83"/>
      </w:r>
    </w:p>
    <w:p w14:paraId="2EF63C6A"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 Parties also facilitate the performance of such punctilious investigations and are mandated to under Article 54(3) (c) of the Rome Statute.</w:t>
      </w:r>
      <w:r w:rsidRPr="002A0C01">
        <w:rPr>
          <w:rStyle w:val="None"/>
          <w:rFonts w:ascii="Times New Roman" w:eastAsia="Times New Roman" w:hAnsi="Times New Roman" w:cs="Times New Roman"/>
          <w:sz w:val="24"/>
          <w:szCs w:val="24"/>
          <w:vertAlign w:val="superscript"/>
        </w:rPr>
        <w:footnoteReference w:id="84"/>
      </w:r>
      <w:r w:rsidRPr="002A0C01">
        <w:rPr>
          <w:rStyle w:val="None"/>
          <w:rFonts w:ascii="Times New Roman" w:hAnsi="Times New Roman" w:cs="Times New Roman"/>
          <w:sz w:val="24"/>
          <w:szCs w:val="24"/>
        </w:rPr>
        <w:t xml:space="preserve"> The stipulation entitles the Prosecutor to "seek the cooperation of any State, regardless of its relationship with the ICC.”</w:t>
      </w:r>
      <w:r w:rsidRPr="002A0C01">
        <w:rPr>
          <w:rStyle w:val="None"/>
          <w:rFonts w:ascii="Times New Roman" w:eastAsia="Times New Roman" w:hAnsi="Times New Roman" w:cs="Times New Roman"/>
          <w:sz w:val="24"/>
          <w:szCs w:val="24"/>
          <w:vertAlign w:val="superscript"/>
        </w:rPr>
        <w:footnoteReference w:id="85"/>
      </w:r>
      <w:r w:rsidRPr="002A0C01">
        <w:rPr>
          <w:rStyle w:val="None"/>
          <w:rFonts w:ascii="Times New Roman" w:hAnsi="Times New Roman" w:cs="Times New Roman"/>
          <w:sz w:val="24"/>
          <w:szCs w:val="24"/>
        </w:rPr>
        <w:t xml:space="preserve"> </w:t>
      </w:r>
    </w:p>
    <w:p w14:paraId="37787684" w14:textId="572491DB"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The ICC can also request States’ compliance with investigations in accordance with Article 87 of the Rome Statute. Failure to comply can result in the referral of the conflict to the Assembly of States Parties or to the United Nations Security Council for resolution. </w:t>
      </w:r>
      <w:r w:rsidRPr="002A0C01">
        <w:rPr>
          <w:rStyle w:val="None"/>
          <w:rFonts w:ascii="Times New Roman" w:eastAsia="Times New Roman" w:hAnsi="Times New Roman" w:cs="Times New Roman"/>
          <w:sz w:val="24"/>
          <w:szCs w:val="24"/>
          <w:vertAlign w:val="superscript"/>
        </w:rPr>
        <w:footnoteReference w:id="86"/>
      </w:r>
      <w:r w:rsidRPr="002A0C01">
        <w:rPr>
          <w:rStyle w:val="None"/>
          <w:rFonts w:ascii="Times New Roman" w:hAnsi="Times New Roman" w:cs="Times New Roman"/>
          <w:sz w:val="24"/>
          <w:szCs w:val="24"/>
        </w:rPr>
        <w:t xml:space="preserve"> This option has been exercised by the ICC as seen in the Situation in Sudan, where the Court referred the situation to the UN Security Council.</w:t>
      </w:r>
      <w:r w:rsidRPr="002A0C01">
        <w:rPr>
          <w:rStyle w:val="None"/>
          <w:rFonts w:ascii="Times New Roman" w:eastAsia="Times New Roman" w:hAnsi="Times New Roman" w:cs="Times New Roman"/>
          <w:sz w:val="24"/>
          <w:szCs w:val="24"/>
          <w:vertAlign w:val="superscript"/>
        </w:rPr>
        <w:footnoteReference w:id="87"/>
      </w:r>
      <w:r w:rsidRPr="002A0C01">
        <w:rPr>
          <w:rStyle w:val="None"/>
          <w:rFonts w:ascii="Times New Roman" w:hAnsi="Times New Roman" w:cs="Times New Roman"/>
          <w:sz w:val="24"/>
          <w:szCs w:val="24"/>
        </w:rPr>
        <w:t xml:space="preserve"> The Security Council determined that the Government of Sudan and all other parties to the conflict should</w:t>
      </w:r>
      <w:r w:rsidR="002A0C01">
        <w:rPr>
          <w:rStyle w:val="None"/>
          <w:rFonts w:ascii="Times New Roman" w:hAnsi="Times New Roman" w:cs="Times New Roman"/>
          <w:sz w:val="24"/>
          <w:szCs w:val="24"/>
        </w:rPr>
        <w:t xml:space="preserve"> cooperate entirely with the</w:t>
      </w:r>
      <w:r w:rsidRPr="002A0C01">
        <w:rPr>
          <w:rStyle w:val="None"/>
          <w:rFonts w:ascii="Times New Roman" w:hAnsi="Times New Roman" w:cs="Times New Roman"/>
          <w:sz w:val="24"/>
          <w:szCs w:val="24"/>
        </w:rPr>
        <w:t xml:space="preserve"> ICC.</w:t>
      </w:r>
      <w:r w:rsidRPr="002A0C01">
        <w:rPr>
          <w:rStyle w:val="None"/>
          <w:rFonts w:ascii="Times New Roman" w:eastAsia="Times New Roman" w:hAnsi="Times New Roman" w:cs="Times New Roman"/>
          <w:sz w:val="24"/>
          <w:szCs w:val="24"/>
          <w:vertAlign w:val="superscript"/>
        </w:rPr>
        <w:footnoteReference w:id="88"/>
      </w:r>
    </w:p>
    <w:p w14:paraId="23676EC9"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Part 9 of the Rome Statute sets out several ways through which State Parties can cooperate with the ICC in the production and collection of evidence. State Parties are compelled to aid the ICC in:</w:t>
      </w:r>
    </w:p>
    <w:p w14:paraId="5211DDC6"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Identifying the positions of persons or things;</w:t>
      </w:r>
      <w:r w:rsidRPr="002A0C01">
        <w:rPr>
          <w:rStyle w:val="None"/>
          <w:rFonts w:ascii="Times New Roman" w:eastAsia="Times New Roman" w:hAnsi="Times New Roman" w:cs="Times New Roman"/>
          <w:sz w:val="24"/>
          <w:szCs w:val="24"/>
          <w:vertAlign w:val="superscript"/>
        </w:rPr>
        <w:footnoteReference w:id="89"/>
      </w:r>
      <w:r w:rsidRPr="002A0C01">
        <w:rPr>
          <w:rStyle w:val="None"/>
          <w:rFonts w:ascii="Times New Roman" w:hAnsi="Times New Roman" w:cs="Times New Roman"/>
          <w:sz w:val="24"/>
          <w:szCs w:val="24"/>
        </w:rPr>
        <w:t xml:space="preserve"> taking evidence and testimony under oath;</w:t>
      </w:r>
      <w:r w:rsidRPr="002A0C01">
        <w:rPr>
          <w:rStyle w:val="None"/>
          <w:rFonts w:ascii="Times New Roman" w:eastAsia="Times New Roman" w:hAnsi="Times New Roman" w:cs="Times New Roman"/>
          <w:sz w:val="24"/>
          <w:szCs w:val="24"/>
          <w:vertAlign w:val="superscript"/>
        </w:rPr>
        <w:footnoteReference w:id="90"/>
      </w:r>
      <w:r w:rsidRPr="002A0C01">
        <w:rPr>
          <w:rStyle w:val="None"/>
          <w:rFonts w:ascii="Times New Roman" w:hAnsi="Times New Roman" w:cs="Times New Roman"/>
          <w:sz w:val="24"/>
          <w:szCs w:val="24"/>
        </w:rPr>
        <w:t xml:space="preserve"> producing evidence (including records and documents);</w:t>
      </w:r>
      <w:r w:rsidRPr="002A0C01">
        <w:rPr>
          <w:rStyle w:val="None"/>
          <w:rFonts w:ascii="Times New Roman" w:eastAsia="Times New Roman" w:hAnsi="Times New Roman" w:cs="Times New Roman"/>
          <w:sz w:val="24"/>
          <w:szCs w:val="24"/>
          <w:vertAlign w:val="superscript"/>
        </w:rPr>
        <w:footnoteReference w:id="91"/>
      </w:r>
      <w:r w:rsidRPr="002A0C01">
        <w:rPr>
          <w:rStyle w:val="None"/>
          <w:rFonts w:ascii="Times New Roman" w:hAnsi="Times New Roman" w:cs="Times New Roman"/>
          <w:sz w:val="24"/>
          <w:szCs w:val="24"/>
        </w:rPr>
        <w:t xml:space="preserve"> questioning persons;</w:t>
      </w:r>
      <w:r w:rsidRPr="002A0C01">
        <w:rPr>
          <w:rStyle w:val="None"/>
          <w:rFonts w:ascii="Times New Roman" w:eastAsia="Times New Roman" w:hAnsi="Times New Roman" w:cs="Times New Roman"/>
          <w:sz w:val="24"/>
          <w:szCs w:val="24"/>
          <w:vertAlign w:val="superscript"/>
        </w:rPr>
        <w:footnoteReference w:id="92"/>
      </w:r>
      <w:r w:rsidRPr="002A0C01">
        <w:rPr>
          <w:rStyle w:val="None"/>
          <w:rFonts w:ascii="Times New Roman" w:hAnsi="Times New Roman" w:cs="Times New Roman"/>
          <w:sz w:val="24"/>
          <w:szCs w:val="24"/>
        </w:rPr>
        <w:t xml:space="preserve"> scrutinising places or sites;</w:t>
      </w:r>
      <w:r w:rsidRPr="002A0C01">
        <w:rPr>
          <w:rStyle w:val="None"/>
          <w:rFonts w:ascii="Times New Roman" w:eastAsia="Times New Roman" w:hAnsi="Times New Roman" w:cs="Times New Roman"/>
          <w:sz w:val="24"/>
          <w:szCs w:val="24"/>
          <w:vertAlign w:val="superscript"/>
        </w:rPr>
        <w:footnoteReference w:id="93"/>
      </w:r>
      <w:r w:rsidRPr="002A0C01">
        <w:rPr>
          <w:rStyle w:val="None"/>
          <w:rFonts w:ascii="Times New Roman" w:hAnsi="Times New Roman" w:cs="Times New Roman"/>
          <w:sz w:val="24"/>
          <w:szCs w:val="24"/>
        </w:rPr>
        <w:t xml:space="preserve"> effectuating searches and seizures;</w:t>
      </w:r>
      <w:r w:rsidRPr="002A0C01">
        <w:rPr>
          <w:rStyle w:val="None"/>
          <w:rFonts w:ascii="Times New Roman" w:eastAsia="Times New Roman" w:hAnsi="Times New Roman" w:cs="Times New Roman"/>
          <w:sz w:val="24"/>
          <w:szCs w:val="24"/>
          <w:vertAlign w:val="superscript"/>
        </w:rPr>
        <w:footnoteReference w:id="94"/>
      </w:r>
      <w:r w:rsidRPr="002A0C01">
        <w:rPr>
          <w:rStyle w:val="None"/>
          <w:rFonts w:ascii="Times New Roman" w:hAnsi="Times New Roman" w:cs="Times New Roman"/>
          <w:sz w:val="24"/>
          <w:szCs w:val="24"/>
        </w:rPr>
        <w:t xml:space="preserve"> and preserving evidence.</w:t>
      </w:r>
      <w:r w:rsidRPr="002A0C01">
        <w:rPr>
          <w:rStyle w:val="None"/>
          <w:rFonts w:ascii="Times New Roman" w:eastAsia="Times New Roman" w:hAnsi="Times New Roman" w:cs="Times New Roman"/>
          <w:sz w:val="24"/>
          <w:szCs w:val="24"/>
          <w:vertAlign w:val="superscript"/>
        </w:rPr>
        <w:footnoteReference w:id="95"/>
      </w:r>
      <w:r w:rsidRPr="002A0C01">
        <w:rPr>
          <w:rStyle w:val="None"/>
          <w:rFonts w:ascii="Times New Roman" w:hAnsi="Times New Roman" w:cs="Times New Roman"/>
          <w:sz w:val="24"/>
          <w:szCs w:val="24"/>
        </w:rPr>
        <w:t xml:space="preserve"> </w:t>
      </w:r>
    </w:p>
    <w:p w14:paraId="1275DD15"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Documents or information acquired by the ICC for investigations and proceedings should be kept confidential, as emphasised in the Lubanga Case.</w:t>
      </w:r>
      <w:r w:rsidRPr="002A0C01">
        <w:rPr>
          <w:rStyle w:val="None"/>
          <w:rFonts w:ascii="Times New Roman" w:eastAsia="Times New Roman" w:hAnsi="Times New Roman" w:cs="Times New Roman"/>
          <w:sz w:val="24"/>
          <w:szCs w:val="24"/>
          <w:vertAlign w:val="superscript"/>
        </w:rPr>
        <w:footnoteReference w:id="96"/>
      </w:r>
    </w:p>
    <w:p w14:paraId="4EAF3489"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As seen in the above stipulations, the Rome Statute sets up a rigorous regime governing the conduct of investigations, the collection of evidence in ICC proceedings and the obligations State Parties should adhere to, to make them effectual. In order to facilitate the Prosecutor’s role in investigations, State Parties must integrate their duties under the Rome Statute with their domestic laws and permit ICC investigations to be carried out within their territories.</w:t>
      </w:r>
    </w:p>
    <w:p w14:paraId="327F57AB" w14:textId="77777777" w:rsidR="001B7948" w:rsidRPr="002A0C01" w:rsidRDefault="00B2706C" w:rsidP="002A0C01">
      <w:pPr>
        <w:pStyle w:val="Heading2"/>
        <w:spacing w:line="360" w:lineRule="auto"/>
        <w:jc w:val="both"/>
        <w:rPr>
          <w:rFonts w:ascii="Times New Roman" w:eastAsia="Times New Roman" w:hAnsi="Times New Roman" w:cs="Times New Roman"/>
        </w:rPr>
      </w:pPr>
      <w:bookmarkStart w:id="24" w:name="_Toc22"/>
      <w:r w:rsidRPr="002A0C01">
        <w:rPr>
          <w:rFonts w:ascii="Times New Roman" w:hAnsi="Times New Roman" w:cs="Times New Roman"/>
        </w:rPr>
        <w:t>III. PROTECTION OF WITNESSES</w:t>
      </w:r>
      <w:bookmarkEnd w:id="24"/>
    </w:p>
    <w:p w14:paraId="5A53042D"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Witnesses before the ICC are usually hugely distinct with differing wants, needs, and responsibilities ranging from experts in methods of evidence collection to victims who have gotten through the most dreadful offences conceivable.</w:t>
      </w:r>
      <w:r w:rsidRPr="002A0C01">
        <w:rPr>
          <w:rStyle w:val="None"/>
          <w:rFonts w:ascii="Times New Roman" w:eastAsia="Times New Roman" w:hAnsi="Times New Roman" w:cs="Times New Roman"/>
          <w:sz w:val="24"/>
          <w:szCs w:val="24"/>
          <w:vertAlign w:val="superscript"/>
        </w:rPr>
        <w:footnoteReference w:id="97"/>
      </w:r>
      <w:r w:rsidRPr="002A0C01">
        <w:rPr>
          <w:rStyle w:val="None"/>
          <w:rFonts w:ascii="Times New Roman" w:hAnsi="Times New Roman" w:cs="Times New Roman"/>
          <w:sz w:val="24"/>
          <w:szCs w:val="24"/>
        </w:rPr>
        <w:t xml:space="preserve"> These witnesses are given the opportunity to actively and exhaustively partake in the ICC’s proceedings.</w:t>
      </w:r>
      <w:r w:rsidRPr="002A0C01">
        <w:rPr>
          <w:rStyle w:val="None"/>
          <w:rFonts w:ascii="Times New Roman" w:eastAsia="Times New Roman" w:hAnsi="Times New Roman" w:cs="Times New Roman"/>
          <w:sz w:val="24"/>
          <w:szCs w:val="24"/>
          <w:vertAlign w:val="superscript"/>
        </w:rPr>
        <w:footnoteReference w:id="98"/>
      </w:r>
      <w:r w:rsidRPr="002A0C01">
        <w:rPr>
          <w:rStyle w:val="None"/>
          <w:rFonts w:ascii="Times New Roman" w:hAnsi="Times New Roman" w:cs="Times New Roman"/>
          <w:sz w:val="24"/>
          <w:szCs w:val="24"/>
        </w:rPr>
        <w:t xml:space="preserve"> Their capability to act as witnesses </w:t>
      </w:r>
      <w:r w:rsidRPr="002A0C01">
        <w:rPr>
          <w:rStyle w:val="None"/>
          <w:rFonts w:ascii="Times New Roman" w:hAnsi="Times New Roman" w:cs="Times New Roman"/>
          <w:sz w:val="24"/>
          <w:szCs w:val="24"/>
        </w:rPr>
        <w:lastRenderedPageBreak/>
        <w:t>however, is predicated on the ICC’s ability to ensure their safety.</w:t>
      </w:r>
      <w:r w:rsidRPr="002A0C01">
        <w:rPr>
          <w:rStyle w:val="None"/>
          <w:rFonts w:ascii="Times New Roman" w:eastAsia="Times New Roman" w:hAnsi="Times New Roman" w:cs="Times New Roman"/>
          <w:sz w:val="24"/>
          <w:szCs w:val="24"/>
          <w:vertAlign w:val="superscript"/>
        </w:rPr>
        <w:footnoteReference w:id="99"/>
      </w:r>
      <w:r w:rsidRPr="002A0C01">
        <w:rPr>
          <w:rStyle w:val="None"/>
          <w:rFonts w:ascii="Times New Roman" w:hAnsi="Times New Roman" w:cs="Times New Roman"/>
          <w:sz w:val="24"/>
          <w:szCs w:val="24"/>
        </w:rPr>
        <w:t xml:space="preserve"> Consequently, the Rome Statute and the draft Rules of Procedure and Evidence lay down numerous means through which the ICC can issue directives to protect witnesses, during testimonies and throughout their participation in the Court's proceedings.</w:t>
      </w:r>
      <w:r w:rsidRPr="002A0C01">
        <w:rPr>
          <w:rStyle w:val="None"/>
          <w:rFonts w:ascii="Times New Roman" w:eastAsia="Times New Roman" w:hAnsi="Times New Roman" w:cs="Times New Roman"/>
          <w:sz w:val="24"/>
          <w:szCs w:val="24"/>
          <w:vertAlign w:val="superscript"/>
        </w:rPr>
        <w:footnoteReference w:id="100"/>
      </w:r>
      <w:r w:rsidRPr="002A0C01">
        <w:rPr>
          <w:rStyle w:val="None"/>
          <w:rFonts w:ascii="Times New Roman" w:hAnsi="Times New Roman" w:cs="Times New Roman"/>
          <w:sz w:val="24"/>
          <w:szCs w:val="24"/>
        </w:rPr>
        <w:t xml:space="preserve"> </w:t>
      </w:r>
    </w:p>
    <w:p w14:paraId="3DD41002"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rPr>
        <w:t xml:space="preserve">Witness protection by the ICC, through orders, is thus twofold: the physical protection of witnesses under protective orders and the safeguarding of witnesses </w:t>
      </w:r>
      <w:r w:rsidRPr="002A0C01">
        <w:rPr>
          <w:rStyle w:val="None"/>
          <w:rFonts w:ascii="Times New Roman" w:hAnsi="Times New Roman" w:cs="Times New Roman"/>
          <w:sz w:val="24"/>
          <w:szCs w:val="24"/>
          <w:u w:color="FF0000"/>
        </w:rPr>
        <w:t>during the evidentiary and testimonial phases of ICC proceedings.</w:t>
      </w:r>
      <w:r w:rsidRPr="002A0C01">
        <w:rPr>
          <w:rStyle w:val="None"/>
          <w:rFonts w:ascii="Times New Roman" w:eastAsia="Times New Roman" w:hAnsi="Times New Roman" w:cs="Times New Roman"/>
          <w:sz w:val="24"/>
          <w:szCs w:val="24"/>
          <w:u w:color="FF0000"/>
          <w:vertAlign w:val="superscript"/>
        </w:rPr>
        <w:footnoteReference w:id="101"/>
      </w:r>
    </w:p>
    <w:p w14:paraId="0B76F884"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u w:color="FF0000"/>
        </w:rPr>
        <w:t>The duty to physically protect witnesses under protective orders, is established under Article 68(1) of the Rome Statute.</w:t>
      </w:r>
      <w:r w:rsidRPr="002A0C01">
        <w:rPr>
          <w:rStyle w:val="None"/>
          <w:rFonts w:ascii="Times New Roman" w:eastAsia="Times New Roman" w:hAnsi="Times New Roman" w:cs="Times New Roman"/>
          <w:sz w:val="24"/>
          <w:szCs w:val="24"/>
          <w:u w:color="FF0000"/>
          <w:vertAlign w:val="superscript"/>
        </w:rPr>
        <w:footnoteReference w:id="102"/>
      </w:r>
      <w:r w:rsidRPr="002A0C01">
        <w:rPr>
          <w:rStyle w:val="None"/>
          <w:rFonts w:ascii="Times New Roman" w:hAnsi="Times New Roman" w:cs="Times New Roman"/>
          <w:sz w:val="24"/>
          <w:szCs w:val="24"/>
          <w:u w:color="FF0000"/>
        </w:rPr>
        <w:t xml:space="preserve"> The provision ascertains that:</w:t>
      </w:r>
    </w:p>
    <w:p w14:paraId="6E28A6FC"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Court shall take appropriate measures to protect the safety, physical and psychological well-being of victims and witnesses. In so doing the Court shall have regard to all relevant factors, including age, gender, as defined in Article 7, paragraph 3, and health and nature of the crime, in particular, but not limited to, where the crime involves sexual or gender violence or violence against children.</w:t>
      </w:r>
      <w:r w:rsidRPr="002A0C01">
        <w:rPr>
          <w:rStyle w:val="None"/>
          <w:rFonts w:ascii="Times New Roman" w:eastAsia="Times New Roman" w:hAnsi="Times New Roman" w:cs="Times New Roman"/>
          <w:sz w:val="24"/>
          <w:szCs w:val="24"/>
          <w:vertAlign w:val="superscript"/>
        </w:rPr>
        <w:footnoteReference w:id="103"/>
      </w:r>
    </w:p>
    <w:p w14:paraId="289AF2E1"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particulars of Article 68(1) of the Rome Statute have been emphasised in various cases including the Situation in the Democratic Republic of the Congo,</w:t>
      </w:r>
      <w:r w:rsidRPr="002A0C01">
        <w:rPr>
          <w:rStyle w:val="None"/>
          <w:rFonts w:ascii="Times New Roman" w:eastAsia="Times New Roman" w:hAnsi="Times New Roman" w:cs="Times New Roman"/>
          <w:sz w:val="24"/>
          <w:szCs w:val="24"/>
          <w:vertAlign w:val="superscript"/>
        </w:rPr>
        <w:footnoteReference w:id="104"/>
      </w:r>
      <w:r w:rsidRPr="002A0C01">
        <w:rPr>
          <w:rStyle w:val="None"/>
          <w:rFonts w:ascii="Times New Roman" w:hAnsi="Times New Roman" w:cs="Times New Roman"/>
          <w:sz w:val="24"/>
          <w:szCs w:val="24"/>
        </w:rPr>
        <w:t xml:space="preserve"> and the Situation in Sudan.</w:t>
      </w:r>
      <w:r w:rsidRPr="002A0C01">
        <w:rPr>
          <w:rStyle w:val="None"/>
          <w:rFonts w:ascii="Times New Roman" w:eastAsia="Times New Roman" w:hAnsi="Times New Roman" w:cs="Times New Roman"/>
          <w:sz w:val="24"/>
          <w:szCs w:val="24"/>
          <w:vertAlign w:val="superscript"/>
        </w:rPr>
        <w:footnoteReference w:id="105"/>
      </w:r>
    </w:p>
    <w:p w14:paraId="5B6479C7"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In terms of protecting witnesses during the evidentiary and testimonial phases of ICC proceedings, the Rome Statute allows the Court to order specific protective measures.</w:t>
      </w:r>
      <w:r w:rsidRPr="002A0C01">
        <w:rPr>
          <w:rStyle w:val="None"/>
          <w:rFonts w:ascii="Times New Roman" w:eastAsia="Times New Roman" w:hAnsi="Times New Roman" w:cs="Times New Roman"/>
          <w:sz w:val="24"/>
          <w:szCs w:val="24"/>
          <w:vertAlign w:val="superscript"/>
        </w:rPr>
        <w:footnoteReference w:id="106"/>
      </w:r>
      <w:r w:rsidRPr="002A0C01">
        <w:rPr>
          <w:rStyle w:val="None"/>
          <w:rFonts w:ascii="Times New Roman" w:hAnsi="Times New Roman" w:cs="Times New Roman"/>
          <w:sz w:val="24"/>
          <w:szCs w:val="24"/>
        </w:rPr>
        <w:t xml:space="preserve"> Article 68(2) of the Rome Statute authorises the testifying and holding of proceedings in camera and the presentation of evidence by electronic or particular means.</w:t>
      </w:r>
      <w:r w:rsidRPr="002A0C01">
        <w:rPr>
          <w:rStyle w:val="None"/>
          <w:rFonts w:ascii="Times New Roman" w:eastAsia="Times New Roman" w:hAnsi="Times New Roman" w:cs="Times New Roman"/>
          <w:sz w:val="24"/>
          <w:szCs w:val="24"/>
          <w:vertAlign w:val="superscript"/>
        </w:rPr>
        <w:footnoteReference w:id="107"/>
      </w:r>
      <w:r w:rsidRPr="002A0C01">
        <w:rPr>
          <w:rStyle w:val="None"/>
          <w:rFonts w:ascii="Times New Roman" w:hAnsi="Times New Roman" w:cs="Times New Roman"/>
          <w:sz w:val="24"/>
          <w:szCs w:val="24"/>
        </w:rPr>
        <w:t xml:space="preserve"> Some chambers however, have adopted methods </w:t>
      </w:r>
      <w:r w:rsidRPr="002A0C01">
        <w:rPr>
          <w:rStyle w:val="None"/>
          <w:rFonts w:ascii="Times New Roman" w:hAnsi="Times New Roman" w:cs="Times New Roman"/>
          <w:sz w:val="24"/>
          <w:szCs w:val="24"/>
        </w:rPr>
        <w:lastRenderedPageBreak/>
        <w:t>for the limited use of in camera hearings due to the preference for public hearings or testimonies.</w:t>
      </w:r>
      <w:r w:rsidRPr="002A0C01">
        <w:rPr>
          <w:rStyle w:val="None"/>
          <w:rFonts w:ascii="Times New Roman" w:eastAsia="Times New Roman" w:hAnsi="Times New Roman" w:cs="Times New Roman"/>
          <w:sz w:val="24"/>
          <w:szCs w:val="24"/>
          <w:vertAlign w:val="superscript"/>
        </w:rPr>
        <w:footnoteReference w:id="108"/>
      </w:r>
      <w:r w:rsidRPr="002A0C01">
        <w:rPr>
          <w:rStyle w:val="None"/>
          <w:rFonts w:ascii="Times New Roman" w:hAnsi="Times New Roman" w:cs="Times New Roman"/>
          <w:sz w:val="24"/>
          <w:szCs w:val="24"/>
        </w:rPr>
        <w:t xml:space="preserve"> The Rome Statute further allows for the taking of witnesses' testimony using technology or if preferred, documentary form.</w:t>
      </w:r>
      <w:r w:rsidRPr="002A0C01">
        <w:rPr>
          <w:rStyle w:val="None"/>
          <w:rFonts w:ascii="Times New Roman" w:eastAsia="Times New Roman" w:hAnsi="Times New Roman" w:cs="Times New Roman"/>
          <w:sz w:val="24"/>
          <w:szCs w:val="24"/>
          <w:vertAlign w:val="superscript"/>
        </w:rPr>
        <w:footnoteReference w:id="109"/>
      </w:r>
      <w:r w:rsidRPr="002A0C01">
        <w:rPr>
          <w:rStyle w:val="None"/>
          <w:rFonts w:ascii="Times New Roman" w:hAnsi="Times New Roman" w:cs="Times New Roman"/>
          <w:sz w:val="24"/>
          <w:szCs w:val="24"/>
        </w:rPr>
        <w:t xml:space="preserve"> </w:t>
      </w:r>
    </w:p>
    <w:p w14:paraId="38A0B18B"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The above classifications may create obligations for the cooperation of State Parties with the ICC to protect witnesses. In fact, the same is reiterated in Article 93(1) (j) of the Rome Statute, which asserts that: </w:t>
      </w:r>
    </w:p>
    <w:p w14:paraId="07C7EAB4" w14:textId="77777777" w:rsidR="001B7948" w:rsidRPr="002A0C01" w:rsidRDefault="00B2706C" w:rsidP="002A0C01">
      <w:pPr>
        <w:pStyle w:val="BodyA"/>
        <w:spacing w:after="200"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State Parties shall, in accordance with the provisions of this Part and under procedures of national law, comply</w:t>
      </w:r>
      <w:r w:rsidRPr="002A0C01">
        <w:rPr>
          <w:rStyle w:val="NoneA"/>
          <w:rFonts w:ascii="Times New Roman" w:hAnsi="Times New Roman" w:cs="Times New Roman"/>
        </w:rPr>
        <w:t xml:space="preserve"> </w:t>
      </w:r>
      <w:r w:rsidRPr="002A0C01">
        <w:rPr>
          <w:rStyle w:val="None"/>
          <w:rFonts w:ascii="Times New Roman" w:hAnsi="Times New Roman" w:cs="Times New Roman"/>
          <w:sz w:val="24"/>
          <w:szCs w:val="24"/>
        </w:rPr>
        <w:t>with requests by the Court to provide the following assistance in relation to investigations or prosecutions, the protection of victims and witnesses and the preservation of evidence.</w:t>
      </w:r>
      <w:r w:rsidRPr="002A0C01">
        <w:rPr>
          <w:rStyle w:val="None"/>
          <w:rFonts w:ascii="Times New Roman" w:eastAsia="Times New Roman" w:hAnsi="Times New Roman" w:cs="Times New Roman"/>
          <w:sz w:val="24"/>
          <w:szCs w:val="24"/>
          <w:vertAlign w:val="superscript"/>
        </w:rPr>
        <w:footnoteReference w:id="110"/>
      </w:r>
    </w:p>
    <w:p w14:paraId="1B83C0A0"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color w:val="FF0000"/>
          <w:sz w:val="24"/>
          <w:szCs w:val="24"/>
          <w:u w:color="FF0000"/>
        </w:rPr>
      </w:pPr>
      <w:r w:rsidRPr="002A0C01">
        <w:rPr>
          <w:rStyle w:val="None"/>
          <w:rFonts w:ascii="Times New Roman" w:hAnsi="Times New Roman" w:cs="Times New Roman"/>
          <w:sz w:val="24"/>
          <w:szCs w:val="24"/>
        </w:rPr>
        <w:t xml:space="preserve">These witness protection mechanisms indicate advanced innovations in the duty and status of victims and witnesses before international tribunals. </w:t>
      </w:r>
    </w:p>
    <w:p w14:paraId="28818DAC" w14:textId="77777777" w:rsidR="001B7948" w:rsidRPr="002A0C01" w:rsidRDefault="00B2706C" w:rsidP="002A0C01">
      <w:pPr>
        <w:pStyle w:val="Heading2"/>
        <w:spacing w:line="360" w:lineRule="auto"/>
        <w:jc w:val="both"/>
        <w:rPr>
          <w:rStyle w:val="NoneA"/>
          <w:rFonts w:ascii="Times New Roman" w:hAnsi="Times New Roman" w:cs="Times New Roman"/>
        </w:rPr>
      </w:pPr>
      <w:bookmarkStart w:id="25" w:name="_Toc23"/>
      <w:r w:rsidRPr="002A0C01">
        <w:rPr>
          <w:rStyle w:val="None"/>
          <w:rFonts w:ascii="Times New Roman" w:hAnsi="Times New Roman" w:cs="Times New Roman"/>
          <w:lang w:val="it-IT"/>
        </w:rPr>
        <w:t>C</w:t>
      </w:r>
      <w:r w:rsidRPr="002A0C01">
        <w:rPr>
          <w:rStyle w:val="NoneA"/>
          <w:rFonts w:ascii="Times New Roman" w:hAnsi="Times New Roman" w:cs="Times New Roman"/>
        </w:rPr>
        <w:t xml:space="preserve">ONCLUSION </w:t>
      </w:r>
      <w:bookmarkEnd w:id="25"/>
    </w:p>
    <w:p w14:paraId="0D24C745" w14:textId="77777777" w:rsidR="001B7948"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This Chapter summarises the various obligations placed upon State Parties in cooperating with the ICC. These obligations are also contextualised according to copious cases that have been prosecuted in the ICC. The obligations brought out in the chapter include, but are not limited to, the arrest and surrender of wanted individuals; investigation and evidence gathering; and witness protection. State Parties must adhere to these provisions in order to enable the ICC’s functions.</w:t>
      </w:r>
    </w:p>
    <w:p w14:paraId="08125C35" w14:textId="42149782" w:rsidR="008123CA" w:rsidRPr="002A0C01" w:rsidRDefault="00B2706C" w:rsidP="002A0C01">
      <w:pPr>
        <w:pStyle w:val="BodyA"/>
        <w:spacing w:after="200"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following Chapters (Chapter 3 and 4) seeks to outline ways in which Kenya and Sudan failed to comply with the obligations provided in this chapter. The reasons behind the failure to cooperate will then be provided for, with the aim of categorising the reasons under three variables. The categorisation will establish that Kenya and Sudan failed t</w:t>
      </w:r>
      <w:r w:rsidR="00E24D3E" w:rsidRPr="002A0C01">
        <w:rPr>
          <w:rStyle w:val="None"/>
          <w:rFonts w:ascii="Times New Roman" w:hAnsi="Times New Roman" w:cs="Times New Roman"/>
          <w:sz w:val="24"/>
          <w:szCs w:val="24"/>
        </w:rPr>
        <w:t>o comply with the ICC due to two</w:t>
      </w:r>
      <w:r w:rsidRPr="002A0C01">
        <w:rPr>
          <w:rStyle w:val="None"/>
          <w:rFonts w:ascii="Times New Roman" w:hAnsi="Times New Roman" w:cs="Times New Roman"/>
          <w:sz w:val="24"/>
          <w:szCs w:val="24"/>
        </w:rPr>
        <w:t xml:space="preserve"> </w:t>
      </w:r>
      <w:bookmarkStart w:id="26" w:name="_Toc24"/>
      <w:bookmarkStart w:id="27" w:name="_Hlk23837175"/>
      <w:r w:rsidR="00E24D3E" w:rsidRPr="002A0C01">
        <w:rPr>
          <w:rStyle w:val="None"/>
          <w:rFonts w:ascii="Times New Roman" w:hAnsi="Times New Roman" w:cs="Times New Roman"/>
          <w:sz w:val="24"/>
          <w:szCs w:val="24"/>
        </w:rPr>
        <w:t>main reasons - security concerns and information variables.</w:t>
      </w:r>
    </w:p>
    <w:p w14:paraId="1DFA1CC7" w14:textId="77777777" w:rsidR="00E24D3E" w:rsidRPr="002A0C01" w:rsidRDefault="00E24D3E" w:rsidP="002A0C01">
      <w:pPr>
        <w:pStyle w:val="BodyA"/>
        <w:spacing w:line="360" w:lineRule="auto"/>
        <w:jc w:val="both"/>
        <w:rPr>
          <w:rFonts w:ascii="Times New Roman" w:hAnsi="Times New Roman" w:cs="Times New Roman"/>
        </w:rPr>
      </w:pPr>
    </w:p>
    <w:p w14:paraId="4FD8C664"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r w:rsidRPr="002A0C01">
        <w:rPr>
          <w:rStyle w:val="None"/>
          <w:rFonts w:ascii="Times New Roman" w:hAnsi="Times New Roman" w:cs="Times New Roman"/>
        </w:rPr>
        <w:lastRenderedPageBreak/>
        <w:t>CHAPTER THREE</w:t>
      </w:r>
      <w:bookmarkEnd w:id="26"/>
    </w:p>
    <w:p w14:paraId="4A3FD15B"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28" w:name="_Toc25"/>
      <w:r w:rsidRPr="002A0C01">
        <w:rPr>
          <w:rStyle w:val="None"/>
          <w:rFonts w:ascii="Times New Roman" w:hAnsi="Times New Roman" w:cs="Times New Roman"/>
        </w:rPr>
        <w:t>THE SITUATION IN KENYA: SECURITY CONCERNS v THE DUTY TO COOPERATE WITH THE ICC</w:t>
      </w:r>
      <w:bookmarkEnd w:id="28"/>
    </w:p>
    <w:p w14:paraId="0D4F6089"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29" w:name="_Toc26"/>
      <w:r w:rsidRPr="002A0C01">
        <w:rPr>
          <w:rStyle w:val="None"/>
          <w:rFonts w:ascii="Times New Roman" w:hAnsi="Times New Roman" w:cs="Times New Roman"/>
          <w:lang w:val="de-DE"/>
        </w:rPr>
        <w:t>1.0 INTRODUCTION</w:t>
      </w:r>
      <w:bookmarkEnd w:id="29"/>
    </w:p>
    <w:p w14:paraId="39371E65"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bookmarkStart w:id="30" w:name="_Hlk24635743"/>
      <w:r w:rsidRPr="002A0C01">
        <w:rPr>
          <w:rStyle w:val="None"/>
          <w:rFonts w:ascii="Times New Roman" w:hAnsi="Times New Roman" w:cs="Times New Roman"/>
          <w:sz w:val="24"/>
          <w:szCs w:val="24"/>
        </w:rPr>
        <w:t>As pointed out in previous chapters, the key to the ICC’s functions lies in State Cooperation.</w:t>
      </w:r>
      <w:r w:rsidRPr="002A0C01">
        <w:rPr>
          <w:rStyle w:val="None"/>
          <w:rFonts w:ascii="Times New Roman" w:eastAsia="Times New Roman" w:hAnsi="Times New Roman" w:cs="Times New Roman"/>
          <w:sz w:val="24"/>
          <w:szCs w:val="24"/>
          <w:vertAlign w:val="superscript"/>
        </w:rPr>
        <w:footnoteReference w:id="111"/>
      </w:r>
      <w:r w:rsidRPr="002A0C01">
        <w:rPr>
          <w:rStyle w:val="None"/>
          <w:rFonts w:ascii="Times New Roman" w:hAnsi="Times New Roman" w:cs="Times New Roman"/>
          <w:sz w:val="24"/>
          <w:szCs w:val="24"/>
        </w:rPr>
        <w:t xml:space="preserve"> States, as per the Rome Statute, are mandated to comply with the ICC in realising its functions.</w:t>
      </w:r>
      <w:r w:rsidRPr="002A0C01">
        <w:rPr>
          <w:rStyle w:val="None"/>
          <w:rFonts w:ascii="Times New Roman" w:eastAsia="Times New Roman" w:hAnsi="Times New Roman" w:cs="Times New Roman"/>
          <w:sz w:val="24"/>
          <w:szCs w:val="24"/>
          <w:vertAlign w:val="superscript"/>
        </w:rPr>
        <w:footnoteReference w:id="112"/>
      </w:r>
      <w:r w:rsidRPr="002A0C01">
        <w:rPr>
          <w:rStyle w:val="None"/>
          <w:rFonts w:ascii="Times New Roman" w:hAnsi="Times New Roman" w:cs="Times New Roman"/>
          <w:sz w:val="24"/>
          <w:szCs w:val="24"/>
        </w:rPr>
        <w:t xml:space="preserve"> States have however failed to adhere to this obligation, key among them being, Sudan and Kenya.</w:t>
      </w:r>
      <w:r w:rsidRPr="002A0C01">
        <w:rPr>
          <w:rStyle w:val="None"/>
          <w:rFonts w:ascii="Times New Roman" w:eastAsia="Times New Roman" w:hAnsi="Times New Roman" w:cs="Times New Roman"/>
          <w:sz w:val="24"/>
          <w:szCs w:val="24"/>
          <w:vertAlign w:val="superscript"/>
        </w:rPr>
        <w:footnoteReference w:id="113"/>
      </w:r>
      <w:r w:rsidRPr="002A0C01">
        <w:rPr>
          <w:rStyle w:val="None"/>
          <w:rFonts w:ascii="Times New Roman" w:hAnsi="Times New Roman" w:cs="Times New Roman"/>
          <w:sz w:val="24"/>
          <w:szCs w:val="24"/>
        </w:rPr>
        <w:t xml:space="preserve"> Why is this? This paper seeks to prove that African States neglected to cooperate with the ICC due to security concerns (the security of its leaders) and information variables. Kenya and Sudan are incorporated as case studies in order to prove the above assertion. Accordingly, this chapter will focus on the Situation in Kenya as the first case study of the paper and the subsequent chapter will deal with the Situation in Sudan. </w:t>
      </w:r>
    </w:p>
    <w:p w14:paraId="1295CC21"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In the Situation in Kenya, the cases of: The Prosecutor v. Francis Kirimi Muthaura, Uhuru Muigai Kenyatta and Mohammed Hussein Ali; and The Prosecutor v William Samoei Ruto, Henry Kiprono Kosgey and Joshua Arap Sang; evidenced Kenya’s reluctance to cooperate with the ICC.</w:t>
      </w:r>
      <w:r w:rsidRPr="002A0C01">
        <w:rPr>
          <w:rStyle w:val="None"/>
          <w:rFonts w:ascii="Times New Roman" w:eastAsia="Times New Roman" w:hAnsi="Times New Roman" w:cs="Times New Roman"/>
          <w:sz w:val="24"/>
          <w:szCs w:val="24"/>
          <w:vertAlign w:val="superscript"/>
        </w:rPr>
        <w:footnoteReference w:id="114"/>
      </w:r>
      <w:r w:rsidRPr="002A0C01">
        <w:rPr>
          <w:rStyle w:val="None"/>
          <w:rFonts w:ascii="Times New Roman" w:hAnsi="Times New Roman" w:cs="Times New Roman"/>
          <w:sz w:val="24"/>
          <w:szCs w:val="24"/>
        </w:rPr>
        <w:t xml:space="preserve"> This chapter seeks to examine the reason(s) behind this state of affairs in an effort to prove that Kenya’s actions were motivated by security concerns and information variables.</w:t>
      </w:r>
    </w:p>
    <w:p w14:paraId="17C4D3C0"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 chapter will begin by firstly, setting out a summary of the occurrences that led to the prosecution of Uhuru Kenyatta and William Ruto at the ICC. The cases against the accused will then be discussed, following with the ways through which non-cooperation with the ICC was evidenced. Finally, the reason behind the non-cooperation with the ICC will be brought to light and scrutinised through Charles Glaser’s theory.</w:t>
      </w:r>
    </w:p>
    <w:p w14:paraId="74FC2458"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31" w:name="_Toc27"/>
      <w:r w:rsidRPr="002A0C01">
        <w:rPr>
          <w:rStyle w:val="None"/>
          <w:rFonts w:ascii="Times New Roman" w:hAnsi="Times New Roman" w:cs="Times New Roman"/>
          <w:lang w:val="de-DE"/>
        </w:rPr>
        <w:lastRenderedPageBreak/>
        <w:t>2.0 SUMMARY OF THE SITUATION IN KENYA</w:t>
      </w:r>
      <w:bookmarkEnd w:id="31"/>
    </w:p>
    <w:p w14:paraId="080B3BA2"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32" w:name="_Toc28"/>
      <w:r w:rsidRPr="002A0C01">
        <w:rPr>
          <w:rStyle w:val="None"/>
          <w:rFonts w:ascii="Times New Roman" w:hAnsi="Times New Roman" w:cs="Times New Roman"/>
        </w:rPr>
        <w:t xml:space="preserve">2.1 A Background of Bad Governance &amp; Impunity  </w:t>
      </w:r>
      <w:bookmarkEnd w:id="32"/>
    </w:p>
    <w:bookmarkEnd w:id="30"/>
    <w:p w14:paraId="31FB6C7A" w14:textId="77777777" w:rsidR="001B7948" w:rsidRPr="002A0C01" w:rsidRDefault="00B2706C" w:rsidP="002A0C01">
      <w:pPr>
        <w:pStyle w:val="BodyBAA"/>
        <w:spacing w:line="360" w:lineRule="auto"/>
        <w:jc w:val="both"/>
      </w:pPr>
      <w:r w:rsidRPr="002A0C01">
        <w:rPr>
          <w:rStyle w:val="NoneA"/>
        </w:rPr>
        <w:t>The 2007 presidential elections was a contest between two main democratic parties: the Party of National Unity (PNU) which represented the Kikuyus and all other central tribes; and the Orange Democratic Movement (ODM) which represented all the remaining tribes in Kenya.</w:t>
      </w:r>
      <w:bookmarkEnd w:id="27"/>
      <w:r w:rsidRPr="002A0C01">
        <w:rPr>
          <w:rStyle w:val="None"/>
          <w:vertAlign w:val="superscript"/>
        </w:rPr>
        <w:footnoteReference w:id="115"/>
      </w:r>
      <w:r w:rsidRPr="002A0C01">
        <w:rPr>
          <w:rStyle w:val="NoneA"/>
        </w:rPr>
        <w:t xml:space="preserve"> On perceived biased results in the outcome of the 2007 elections, the country erupted and thus began the post elections violence.</w:t>
      </w:r>
      <w:r w:rsidRPr="002A0C01">
        <w:rPr>
          <w:rStyle w:val="None"/>
          <w:vertAlign w:val="superscript"/>
        </w:rPr>
        <w:footnoteReference w:id="116"/>
      </w:r>
      <w:r w:rsidRPr="002A0C01">
        <w:rPr>
          <w:rStyle w:val="NoneA"/>
        </w:rPr>
        <w:t xml:space="preserve"> It was an unprecedented violence and was not equal to any other obscenity that Kenya had encountered.</w:t>
      </w:r>
      <w:r w:rsidRPr="002A0C01">
        <w:rPr>
          <w:rStyle w:val="None"/>
          <w:vertAlign w:val="superscript"/>
        </w:rPr>
        <w:footnoteReference w:id="117"/>
      </w:r>
      <w:r w:rsidRPr="002A0C01">
        <w:rPr>
          <w:rStyle w:val="NoneA"/>
        </w:rPr>
        <w:t xml:space="preserve"> </w:t>
      </w:r>
      <w:r w:rsidRPr="002A0C01">
        <w:rPr>
          <w:rStyle w:val="None"/>
          <w:u w:color="FF0000"/>
        </w:rPr>
        <w:t>Matters such as land inequality, unemployed youth, the personalisation of presidential power and the deliberate weakening of public institutions; were believed to be some of the background factors that contributed to the post elections violence</w:t>
      </w:r>
      <w:r w:rsidRPr="002A0C01">
        <w:rPr>
          <w:rStyle w:val="NoneA"/>
        </w:rPr>
        <w:t>.</w:t>
      </w:r>
      <w:r w:rsidRPr="002A0C01">
        <w:rPr>
          <w:rStyle w:val="None"/>
          <w:vertAlign w:val="superscript"/>
        </w:rPr>
        <w:footnoteReference w:id="118"/>
      </w:r>
      <w:r w:rsidRPr="002A0C01">
        <w:rPr>
          <w:rStyle w:val="NoneA"/>
        </w:rPr>
        <w:t xml:space="preserve"> Within a period of two months, 1100 individuals had been murdered, 3500 people wounded and several displaced.</w:t>
      </w:r>
      <w:r w:rsidRPr="002A0C01">
        <w:rPr>
          <w:rStyle w:val="None"/>
          <w:vertAlign w:val="superscript"/>
        </w:rPr>
        <w:footnoteReference w:id="119"/>
      </w:r>
      <w:r w:rsidRPr="002A0C01">
        <w:rPr>
          <w:rStyle w:val="NoneA"/>
        </w:rPr>
        <w:t xml:space="preserve"> </w:t>
      </w:r>
    </w:p>
    <w:p w14:paraId="157D47C2" w14:textId="77777777" w:rsidR="001B7948" w:rsidRPr="002A0C01" w:rsidRDefault="00B2706C" w:rsidP="002A0C01">
      <w:pPr>
        <w:pStyle w:val="BodyBAA"/>
        <w:spacing w:line="360" w:lineRule="auto"/>
        <w:jc w:val="both"/>
      </w:pPr>
      <w:r w:rsidRPr="002A0C01">
        <w:rPr>
          <w:rStyle w:val="NoneA"/>
        </w:rPr>
        <w:t>The post elections violence came to a halt, only after the AU’s intervention.</w:t>
      </w:r>
      <w:r w:rsidRPr="002A0C01">
        <w:rPr>
          <w:rStyle w:val="None"/>
          <w:vertAlign w:val="superscript"/>
        </w:rPr>
        <w:footnoteReference w:id="120"/>
      </w:r>
      <w:r w:rsidRPr="002A0C01">
        <w:rPr>
          <w:rStyle w:val="NoneA"/>
        </w:rPr>
        <w:t xml:space="preserve"> The AU appointed a group of distinguished African personalities, chaired by Kofi Anaan.</w:t>
      </w:r>
      <w:r w:rsidRPr="002A0C01">
        <w:rPr>
          <w:rStyle w:val="None"/>
          <w:vertAlign w:val="superscript"/>
        </w:rPr>
        <w:footnoteReference w:id="121"/>
      </w:r>
      <w:r w:rsidRPr="002A0C01">
        <w:rPr>
          <w:rStyle w:val="NoneA"/>
        </w:rPr>
        <w:t xml:space="preserve"> They aligned both PNU and ODM into one government. 28</w:t>
      </w:r>
      <w:r w:rsidRPr="002A0C01">
        <w:rPr>
          <w:rStyle w:val="None"/>
          <w:vertAlign w:val="superscript"/>
        </w:rPr>
        <w:t>th</w:t>
      </w:r>
      <w:r w:rsidRPr="002A0C01">
        <w:rPr>
          <w:rStyle w:val="NoneA"/>
        </w:rPr>
        <w:t xml:space="preserve"> February 2008 thus marked a new beginning and year for Kenyans everywhere- a coalition government was formed.</w:t>
      </w:r>
      <w:r w:rsidRPr="002A0C01">
        <w:rPr>
          <w:rStyle w:val="None"/>
          <w:vertAlign w:val="superscript"/>
        </w:rPr>
        <w:footnoteReference w:id="122"/>
      </w:r>
    </w:p>
    <w:p w14:paraId="0236A33D" w14:textId="77777777" w:rsidR="001B7948" w:rsidRPr="002A0C01" w:rsidRDefault="00B2706C" w:rsidP="002A0C01">
      <w:pPr>
        <w:pStyle w:val="BodyBAA"/>
        <w:spacing w:line="360" w:lineRule="auto"/>
        <w:jc w:val="both"/>
      </w:pPr>
      <w:r w:rsidRPr="002A0C01">
        <w:rPr>
          <w:rStyle w:val="NoneA"/>
        </w:rPr>
        <w:t>After the post elections violence, in order to avert the occurrence of a similar atrocity, the Government established the International Commission on Post-Election Violence (CIPEV).</w:t>
      </w:r>
      <w:r w:rsidRPr="002A0C01">
        <w:rPr>
          <w:rStyle w:val="None"/>
          <w:vertAlign w:val="superscript"/>
        </w:rPr>
        <w:footnoteReference w:id="123"/>
      </w:r>
      <w:r w:rsidRPr="002A0C01">
        <w:rPr>
          <w:rStyle w:val="NoneA"/>
        </w:rPr>
        <w:t xml:space="preserve"> Their directive included the investigation of the facts and conditions surrounding the post elections </w:t>
      </w:r>
      <w:r w:rsidRPr="002A0C01">
        <w:rPr>
          <w:rStyle w:val="NoneA"/>
        </w:rPr>
        <w:lastRenderedPageBreak/>
        <w:t>violence, and the formulation of recommendations thereof.</w:t>
      </w:r>
      <w:r w:rsidRPr="002A0C01">
        <w:rPr>
          <w:rStyle w:val="None"/>
          <w:vertAlign w:val="superscript"/>
        </w:rPr>
        <w:footnoteReference w:id="124"/>
      </w:r>
      <w:r w:rsidRPr="002A0C01">
        <w:rPr>
          <w:rStyle w:val="NoneA"/>
        </w:rPr>
        <w:t xml:space="preserve"> The Waki Commission, as CIPEV came later to be known, released its report on the matter 3 months later. Its key recommendation was for Parliament to set up a special tribunal aimed at prosecuting the perpetrators of the post elections violence.</w:t>
      </w:r>
      <w:r w:rsidRPr="002A0C01">
        <w:rPr>
          <w:rStyle w:val="None"/>
          <w:vertAlign w:val="superscript"/>
        </w:rPr>
        <w:footnoteReference w:id="125"/>
      </w:r>
      <w:r w:rsidRPr="002A0C01">
        <w:rPr>
          <w:rStyle w:val="NoneA"/>
        </w:rPr>
        <w:t xml:space="preserve"> The Waki Commission also compiled a tally of people to hold responsible for the heinous acts of the post elections violence.</w:t>
      </w:r>
      <w:r w:rsidRPr="002A0C01">
        <w:rPr>
          <w:rStyle w:val="None"/>
          <w:vertAlign w:val="superscript"/>
        </w:rPr>
        <w:footnoteReference w:id="126"/>
      </w:r>
      <w:r w:rsidRPr="002A0C01">
        <w:rPr>
          <w:rStyle w:val="NoneA"/>
        </w:rPr>
        <w:t xml:space="preserve"> The Waki Commission then recommended its release to the ICC, if the Special Tribunal failed to be formed within 6 months by Parliament.</w:t>
      </w:r>
      <w:r w:rsidRPr="002A0C01">
        <w:rPr>
          <w:rStyle w:val="None"/>
          <w:vertAlign w:val="superscript"/>
        </w:rPr>
        <w:footnoteReference w:id="127"/>
      </w:r>
      <w:r w:rsidRPr="002A0C01">
        <w:rPr>
          <w:rStyle w:val="NoneA"/>
        </w:rPr>
        <w:t xml:space="preserve"> </w:t>
      </w:r>
    </w:p>
    <w:p w14:paraId="052112C3" w14:textId="77777777" w:rsidR="001B7948" w:rsidRPr="002A0C01" w:rsidRDefault="00B2706C" w:rsidP="002A0C01">
      <w:pPr>
        <w:pStyle w:val="BodyBAA"/>
        <w:spacing w:line="360" w:lineRule="auto"/>
        <w:jc w:val="both"/>
      </w:pPr>
      <w:r w:rsidRPr="002A0C01">
        <w:rPr>
          <w:rStyle w:val="NoneA"/>
        </w:rPr>
        <w:t>On February 12, 2009, the Kenyan Parliament, despite the ODM - PNU divide, together elected against the formation of the Special Tribunal Bill.</w:t>
      </w:r>
      <w:r w:rsidRPr="002A0C01">
        <w:rPr>
          <w:rStyle w:val="None"/>
          <w:vertAlign w:val="superscript"/>
        </w:rPr>
        <w:footnoteReference w:id="128"/>
      </w:r>
      <w:r w:rsidRPr="002A0C01">
        <w:rPr>
          <w:rStyle w:val="NoneA"/>
        </w:rPr>
        <w:t xml:space="preserve"> The government took no further action in the setting up of the special tribunal despite ongoing pressure from the ICC.</w:t>
      </w:r>
      <w:r w:rsidRPr="002A0C01">
        <w:rPr>
          <w:rStyle w:val="None"/>
          <w:vertAlign w:val="superscript"/>
        </w:rPr>
        <w:footnoteReference w:id="129"/>
      </w:r>
      <w:r w:rsidRPr="002A0C01">
        <w:rPr>
          <w:rStyle w:val="NoneA"/>
        </w:rPr>
        <w:t xml:space="preserve"> This prompted the handing over of the Waki Commission’s investigations and ‘the list’ to the Office of the Prosecutor of the ICC.</w:t>
      </w:r>
      <w:r w:rsidRPr="002A0C01">
        <w:rPr>
          <w:rStyle w:val="None"/>
          <w:vertAlign w:val="superscript"/>
        </w:rPr>
        <w:footnoteReference w:id="130"/>
      </w:r>
    </w:p>
    <w:p w14:paraId="60D96DC6"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33" w:name="_Toc29"/>
      <w:r w:rsidRPr="002A0C01">
        <w:rPr>
          <w:rStyle w:val="None"/>
          <w:rFonts w:ascii="Times New Roman" w:hAnsi="Times New Roman" w:cs="Times New Roman"/>
        </w:rPr>
        <w:t>2.2 Investigation and Prosecution at the ICC</w:t>
      </w:r>
      <w:bookmarkEnd w:id="33"/>
    </w:p>
    <w:p w14:paraId="105538D6" w14:textId="2A1EDB4E" w:rsidR="001B7948" w:rsidRPr="002A0C01" w:rsidRDefault="00B2706C" w:rsidP="002A0C01">
      <w:pPr>
        <w:pStyle w:val="BodyBAA"/>
        <w:spacing w:line="360" w:lineRule="auto"/>
        <w:jc w:val="both"/>
      </w:pPr>
      <w:r w:rsidRPr="002A0C01">
        <w:rPr>
          <w:rStyle w:val="NoneA"/>
        </w:rPr>
        <w:t>On 26 November 2009, the Prosecutor concluded (based on the Waki Commission’s documentation and the secondary sources in the public domain) that there was need for a formal investigation.</w:t>
      </w:r>
      <w:r w:rsidRPr="002A0C01">
        <w:rPr>
          <w:rStyle w:val="None"/>
          <w:vertAlign w:val="superscript"/>
        </w:rPr>
        <w:footnoteReference w:id="131"/>
      </w:r>
      <w:r w:rsidRPr="002A0C01">
        <w:rPr>
          <w:rStyle w:val="NoneA"/>
        </w:rPr>
        <w:t xml:space="preserve"> The Prosecutor however, required authorisation to do so.</w:t>
      </w:r>
      <w:r w:rsidRPr="002A0C01">
        <w:rPr>
          <w:rStyle w:val="None"/>
          <w:vertAlign w:val="superscript"/>
        </w:rPr>
        <w:footnoteReference w:id="132"/>
      </w:r>
      <w:r w:rsidRPr="002A0C01">
        <w:rPr>
          <w:rStyle w:val="NoneA"/>
        </w:rPr>
        <w:t xml:space="preserve"> This was in accordance with Article 15 of the Rome Statute.</w:t>
      </w:r>
      <w:r w:rsidRPr="002A0C01">
        <w:rPr>
          <w:rStyle w:val="None"/>
          <w:vertAlign w:val="superscript"/>
        </w:rPr>
        <w:footnoteReference w:id="133"/>
      </w:r>
      <w:r w:rsidRPr="002A0C01">
        <w:rPr>
          <w:rStyle w:val="NoneA"/>
        </w:rPr>
        <w:t xml:space="preserve"> The elements to be considered </w:t>
      </w:r>
      <w:r w:rsidR="00E24D3E" w:rsidRPr="002A0C01">
        <w:rPr>
          <w:rStyle w:val="NoneA"/>
        </w:rPr>
        <w:t>in the granting of the authorisa</w:t>
      </w:r>
      <w:r w:rsidRPr="002A0C01">
        <w:rPr>
          <w:rStyle w:val="NoneA"/>
        </w:rPr>
        <w:t xml:space="preserve">tion included: Did the ICC have jurisdiction over the Kenyan situation? Was the </w:t>
      </w:r>
      <w:r w:rsidRPr="002A0C01">
        <w:rPr>
          <w:rStyle w:val="NoneA"/>
        </w:rPr>
        <w:lastRenderedPageBreak/>
        <w:t>Kenyan si</w:t>
      </w:r>
      <w:r w:rsidR="002A0C01">
        <w:rPr>
          <w:rStyle w:val="NoneA"/>
        </w:rPr>
        <w:t>tuation admissible in the ICC? A</w:t>
      </w:r>
      <w:r w:rsidRPr="002A0C01">
        <w:rPr>
          <w:rStyle w:val="NoneA"/>
        </w:rPr>
        <w:t>nd could the Kenyan Government deal with this situation on its own?</w:t>
      </w:r>
      <w:r w:rsidRPr="002A0C01">
        <w:rPr>
          <w:rStyle w:val="None"/>
          <w:vertAlign w:val="superscript"/>
        </w:rPr>
        <w:footnoteReference w:id="134"/>
      </w:r>
    </w:p>
    <w:p w14:paraId="30723439" w14:textId="77777777" w:rsidR="001B7948" w:rsidRPr="002A0C01" w:rsidRDefault="001B7948" w:rsidP="002A0C01">
      <w:pPr>
        <w:pStyle w:val="BodyBAA"/>
        <w:spacing w:line="360" w:lineRule="auto"/>
        <w:jc w:val="both"/>
      </w:pPr>
    </w:p>
    <w:p w14:paraId="284A3750" w14:textId="77777777" w:rsidR="001B7948" w:rsidRPr="002A0C01" w:rsidRDefault="00B2706C" w:rsidP="002A0C01">
      <w:pPr>
        <w:pStyle w:val="BodyBAA"/>
        <w:spacing w:line="360" w:lineRule="auto"/>
        <w:jc w:val="both"/>
      </w:pPr>
      <w:r w:rsidRPr="002A0C01">
        <w:rPr>
          <w:rStyle w:val="NoneA"/>
        </w:rPr>
        <w:t>With regards to jurisdiction, Kenya ratified the Rome Statute on 11 August 1999, becoming a Member State from 15 March 2005.</w:t>
      </w:r>
      <w:r w:rsidRPr="002A0C01">
        <w:rPr>
          <w:rStyle w:val="None"/>
          <w:vertAlign w:val="superscript"/>
        </w:rPr>
        <w:footnoteReference w:id="135"/>
      </w:r>
      <w:r w:rsidRPr="002A0C01">
        <w:rPr>
          <w:rStyle w:val="NoneA"/>
        </w:rPr>
        <w:t xml:space="preserve"> Therefore, as per Article 11 of the Rome Statute, the ICC had jurisdiction.</w:t>
      </w:r>
      <w:r w:rsidRPr="002A0C01">
        <w:rPr>
          <w:rStyle w:val="None"/>
          <w:vertAlign w:val="superscript"/>
        </w:rPr>
        <w:footnoteReference w:id="136"/>
      </w:r>
      <w:r w:rsidRPr="002A0C01">
        <w:rPr>
          <w:rStyle w:val="NoneA"/>
        </w:rPr>
        <w:t xml:space="preserve"> On admissibility, there was a majority ruling on the acceptance of admissibility.</w:t>
      </w:r>
      <w:r w:rsidRPr="002A0C01">
        <w:rPr>
          <w:rStyle w:val="None"/>
          <w:vertAlign w:val="superscript"/>
        </w:rPr>
        <w:footnoteReference w:id="137"/>
      </w:r>
      <w:r w:rsidRPr="002A0C01">
        <w:rPr>
          <w:rStyle w:val="NoneA"/>
        </w:rPr>
        <w:t xml:space="preserve"> With regards to the last element, the ICC noted that the Government of Kenya’s efforts did not amount to concrete steps to ensure the investigation and prosecution the suspects.</w:t>
      </w:r>
      <w:r w:rsidRPr="002A0C01">
        <w:rPr>
          <w:rStyle w:val="None"/>
          <w:vertAlign w:val="superscript"/>
        </w:rPr>
        <w:footnoteReference w:id="138"/>
      </w:r>
      <w:r w:rsidRPr="002A0C01">
        <w:rPr>
          <w:rStyle w:val="NoneA"/>
        </w:rPr>
        <w:t xml:space="preserve"> The Prosecutor had also tried to employ positive complementarity in this jurisdiction, Parliament however failed to abide by agreed upon arrangements.</w:t>
      </w:r>
      <w:r w:rsidRPr="002A0C01">
        <w:rPr>
          <w:rStyle w:val="None"/>
          <w:vertAlign w:val="superscript"/>
        </w:rPr>
        <w:footnoteReference w:id="139"/>
      </w:r>
      <w:r w:rsidRPr="002A0C01">
        <w:rPr>
          <w:rStyle w:val="NoneA"/>
        </w:rPr>
        <w:t xml:space="preserve"> The Pre-Trial Chamber II was thus sanctioned on 31 March 2010.</w:t>
      </w:r>
      <w:r w:rsidRPr="002A0C01">
        <w:rPr>
          <w:rStyle w:val="None"/>
          <w:vertAlign w:val="superscript"/>
        </w:rPr>
        <w:footnoteReference w:id="140"/>
      </w:r>
    </w:p>
    <w:p w14:paraId="4238D247" w14:textId="77777777" w:rsidR="001B7948" w:rsidRPr="002A0C01" w:rsidRDefault="00B2706C" w:rsidP="002A0C01">
      <w:pPr>
        <w:pStyle w:val="BodyBAA"/>
        <w:spacing w:line="360" w:lineRule="auto"/>
        <w:jc w:val="both"/>
      </w:pPr>
      <w:r w:rsidRPr="002A0C01">
        <w:rPr>
          <w:rStyle w:val="NoneA"/>
        </w:rPr>
        <w:t>Following a vigorous enquiry into the Kenyan situation, the Prosecutor reported on 10 December 2012, that he had concluded his investigations and thereafter named the accused.</w:t>
      </w:r>
      <w:r w:rsidRPr="002A0C01">
        <w:rPr>
          <w:rStyle w:val="None"/>
          <w:vertAlign w:val="superscript"/>
        </w:rPr>
        <w:footnoteReference w:id="141"/>
      </w:r>
      <w:r w:rsidRPr="002A0C01">
        <w:rPr>
          <w:rStyle w:val="NoneA"/>
        </w:rPr>
        <w:t xml:space="preserve"> Six individuals were to be prosecuted for crimes against humanity in the form of 2 cases. One case comprised of: William Arap Samoei, Joshua Arap Sang and Henry Kosgey whilst the other comprised of: Uhuru Kenyatta, Mohammed Hussein Ali and Francis Muthaura.</w:t>
      </w:r>
      <w:r w:rsidRPr="002A0C01">
        <w:rPr>
          <w:rStyle w:val="None"/>
          <w:vertAlign w:val="superscript"/>
        </w:rPr>
        <w:footnoteReference w:id="142"/>
      </w:r>
      <w:r w:rsidRPr="002A0C01">
        <w:rPr>
          <w:rStyle w:val="NoneA"/>
        </w:rPr>
        <w:t xml:space="preserve"> The Prosecutor believed that they were the most to blame for the post-election violence. The Prosecutor, in reference to the actions carried out during the post-election violence asserted that:</w:t>
      </w:r>
    </w:p>
    <w:p w14:paraId="18E7BBF2" w14:textId="77777777" w:rsidR="001B7948" w:rsidRPr="002A0C01" w:rsidRDefault="00B2706C" w:rsidP="002A0C01">
      <w:pPr>
        <w:pStyle w:val="BodyBAA"/>
        <w:spacing w:line="360" w:lineRule="auto"/>
        <w:ind w:left="720"/>
        <w:jc w:val="both"/>
      </w:pPr>
      <w:r w:rsidRPr="002A0C01">
        <w:rPr>
          <w:rStyle w:val="NoneA"/>
        </w:rPr>
        <w:lastRenderedPageBreak/>
        <w:t>They were crimes against humanity as a whole. By breaking the cycle of impunity for massive crimes; victims and their families can have justice. And Kenyans can pave the way to peaceful elections in 2012.</w:t>
      </w:r>
      <w:r w:rsidRPr="002A0C01">
        <w:rPr>
          <w:rStyle w:val="None"/>
          <w:vertAlign w:val="superscript"/>
        </w:rPr>
        <w:footnoteReference w:id="143"/>
      </w:r>
    </w:p>
    <w:p w14:paraId="0D21F7B4" w14:textId="77777777" w:rsidR="001B7948" w:rsidRPr="002A0C01" w:rsidRDefault="00B2706C" w:rsidP="002A0C01">
      <w:pPr>
        <w:pStyle w:val="Heading4"/>
        <w:spacing w:line="360" w:lineRule="auto"/>
        <w:jc w:val="both"/>
        <w:rPr>
          <w:rStyle w:val="None"/>
          <w:rFonts w:ascii="Times New Roman" w:eastAsia="Times New Roman" w:hAnsi="Times New Roman" w:cs="Times New Roman"/>
        </w:rPr>
      </w:pPr>
      <w:bookmarkStart w:id="34" w:name="_Toc30"/>
      <w:r w:rsidRPr="002A0C01">
        <w:rPr>
          <w:rStyle w:val="None"/>
          <w:rFonts w:ascii="Times New Roman" w:hAnsi="Times New Roman" w:cs="Times New Roman"/>
        </w:rPr>
        <w:t xml:space="preserve">2.2.1 The Prosecutor v William Samoei Ruto, Henry Kiprono Kosgey and Joshua Arap Sang </w:t>
      </w:r>
      <w:bookmarkEnd w:id="34"/>
    </w:p>
    <w:p w14:paraId="6B285E20" w14:textId="77777777" w:rsidR="001B7948" w:rsidRPr="002A0C01" w:rsidRDefault="00B2706C" w:rsidP="002A0C01">
      <w:pPr>
        <w:pStyle w:val="BodyBAA"/>
        <w:spacing w:line="360" w:lineRule="auto"/>
        <w:jc w:val="both"/>
      </w:pPr>
      <w:r w:rsidRPr="002A0C01">
        <w:rPr>
          <w:rStyle w:val="NoneA"/>
        </w:rPr>
        <w:t>The confirmation of charges hearing for these three accused began on 1 September 2011 and concluded on 8 September 2011.</w:t>
      </w:r>
      <w:r w:rsidRPr="002A0C01">
        <w:rPr>
          <w:rStyle w:val="None"/>
          <w:vertAlign w:val="superscript"/>
        </w:rPr>
        <w:footnoteReference w:id="144"/>
      </w:r>
      <w:r w:rsidRPr="002A0C01">
        <w:rPr>
          <w:rStyle w:val="NoneA"/>
        </w:rPr>
        <w:t xml:space="preserve"> Charges were confirmed in both William Ruto and Arap Sang’s cases but the judges failed to confirm the charges in Kosgey’s case.</w:t>
      </w:r>
      <w:r w:rsidRPr="002A0C01">
        <w:rPr>
          <w:rStyle w:val="None"/>
          <w:vertAlign w:val="superscript"/>
        </w:rPr>
        <w:footnoteReference w:id="145"/>
      </w:r>
      <w:r w:rsidRPr="002A0C01">
        <w:rPr>
          <w:rStyle w:val="NoneA"/>
        </w:rPr>
        <w:t xml:space="preserve"> In his case it was held that the Prosecution had failed to meet the evidentiary burden required under the Rome Statute.</w:t>
      </w:r>
      <w:r w:rsidRPr="002A0C01">
        <w:rPr>
          <w:rStyle w:val="None"/>
          <w:vertAlign w:val="superscript"/>
        </w:rPr>
        <w:footnoteReference w:id="146"/>
      </w:r>
      <w:r w:rsidRPr="002A0C01">
        <w:rPr>
          <w:rStyle w:val="NoneA"/>
        </w:rPr>
        <w:t xml:space="preserve"> </w:t>
      </w:r>
    </w:p>
    <w:p w14:paraId="06AFD223" w14:textId="77777777" w:rsidR="001B7948" w:rsidRPr="002A0C01" w:rsidRDefault="00B2706C" w:rsidP="002A0C01">
      <w:pPr>
        <w:pStyle w:val="BodyBAA"/>
        <w:spacing w:line="360" w:lineRule="auto"/>
        <w:jc w:val="both"/>
      </w:pPr>
      <w:r w:rsidRPr="002A0C01">
        <w:rPr>
          <w:rStyle w:val="NoneA"/>
        </w:rPr>
        <w:t>William Ruto was accused of:</w:t>
      </w:r>
    </w:p>
    <w:p w14:paraId="221D3A65" w14:textId="436A46CA" w:rsidR="001B7948" w:rsidRPr="002A0C01" w:rsidRDefault="002A0C01" w:rsidP="002A0C01">
      <w:pPr>
        <w:pStyle w:val="BodyBAA"/>
        <w:spacing w:line="360" w:lineRule="auto"/>
        <w:ind w:left="720"/>
        <w:jc w:val="both"/>
      </w:pPr>
      <w:r>
        <w:rPr>
          <w:rStyle w:val="NoneA"/>
        </w:rPr>
        <w:t>B</w:t>
      </w:r>
      <w:r w:rsidR="00B2706C" w:rsidRPr="002A0C01">
        <w:rPr>
          <w:rStyle w:val="NoneA"/>
        </w:rPr>
        <w:t>eing criminally responsible as an indirect co-perpetrator pursuant to article 25(3)(a) of the Rome Statute for the crimes against humanity of: Murder (article (7(l)(a)); deportation or forcible transfer of population (article 7(l)(d)); and persecution (article 7(l)(h)).”</w:t>
      </w:r>
      <w:r w:rsidR="00B2706C" w:rsidRPr="002A0C01">
        <w:rPr>
          <w:rStyle w:val="None"/>
          <w:vertAlign w:val="superscript"/>
        </w:rPr>
        <w:footnoteReference w:id="147"/>
      </w:r>
    </w:p>
    <w:p w14:paraId="5655F893" w14:textId="77777777" w:rsidR="001B7948" w:rsidRPr="002A0C01" w:rsidRDefault="00B2706C" w:rsidP="002A0C01">
      <w:pPr>
        <w:pStyle w:val="BodyBAA"/>
        <w:spacing w:line="360" w:lineRule="auto"/>
        <w:jc w:val="both"/>
      </w:pPr>
      <w:r w:rsidRPr="002A0C01">
        <w:rPr>
          <w:rStyle w:val="NoneA"/>
        </w:rPr>
        <w:t>Arap Sang on the other hand was accused of:</w:t>
      </w:r>
    </w:p>
    <w:p w14:paraId="3B2E0EF9" w14:textId="7D3F4379" w:rsidR="001B7948" w:rsidRPr="002A0C01" w:rsidRDefault="002A0C01" w:rsidP="002A0C01">
      <w:pPr>
        <w:pStyle w:val="BodyBAA"/>
        <w:spacing w:line="360" w:lineRule="auto"/>
        <w:ind w:left="720"/>
        <w:jc w:val="both"/>
      </w:pPr>
      <w:r>
        <w:rPr>
          <w:rStyle w:val="NoneA"/>
        </w:rPr>
        <w:t>B</w:t>
      </w:r>
      <w:r w:rsidR="00B2706C" w:rsidRPr="002A0C01">
        <w:rPr>
          <w:rStyle w:val="NoneA"/>
        </w:rPr>
        <w:t>eing an indirect co-perpetrator, of having otherwise contributed (within the meaning of article 25(3)(d) of the Rome Statute) to the commission of the following crimes against humanity of: Murder (article 7(l)(a)); deportation or forcible transfer of population (article 7(l)(d)); and persecution (article 7(l)(h)).”</w:t>
      </w:r>
      <w:r w:rsidR="00B2706C" w:rsidRPr="002A0C01">
        <w:rPr>
          <w:rStyle w:val="None"/>
          <w:vertAlign w:val="superscript"/>
        </w:rPr>
        <w:footnoteReference w:id="148"/>
      </w:r>
    </w:p>
    <w:p w14:paraId="71012BB0" w14:textId="77777777" w:rsidR="001B7948" w:rsidRPr="002A0C01" w:rsidRDefault="00B2706C" w:rsidP="002A0C01">
      <w:pPr>
        <w:pStyle w:val="BodyBAA"/>
        <w:spacing w:line="360" w:lineRule="auto"/>
        <w:jc w:val="both"/>
      </w:pPr>
      <w:r w:rsidRPr="002A0C01">
        <w:rPr>
          <w:rStyle w:val="None"/>
          <w:u w:color="FF0000"/>
        </w:rPr>
        <w:t xml:space="preserve">The trial commenced on 10 September 2013. On 5 April 2016, after contemplation of Mr. Ruto and Mr. Sang’s request to dismiss the charges and acquit the accused, their cases were </w:t>
      </w:r>
      <w:r w:rsidRPr="002A0C01">
        <w:rPr>
          <w:rStyle w:val="None"/>
          <w:u w:color="FF0000"/>
        </w:rPr>
        <w:lastRenderedPageBreak/>
        <w:t>terminated</w:t>
      </w:r>
      <w:r w:rsidRPr="002A0C01">
        <w:rPr>
          <w:rStyle w:val="NoneA"/>
        </w:rPr>
        <w:t>.</w:t>
      </w:r>
      <w:r w:rsidRPr="002A0C01">
        <w:rPr>
          <w:rStyle w:val="None"/>
          <w:vertAlign w:val="superscript"/>
        </w:rPr>
        <w:footnoteReference w:id="149"/>
      </w:r>
      <w:r w:rsidRPr="002A0C01">
        <w:rPr>
          <w:rStyle w:val="NoneA"/>
        </w:rPr>
        <w:t xml:space="preserve"> In a majority opinion, the court deduced that a judgement of acquittal would not be the right result and thus discharged the charges on both the accused.</w:t>
      </w:r>
      <w:r w:rsidRPr="002A0C01">
        <w:rPr>
          <w:rStyle w:val="None"/>
          <w:vertAlign w:val="superscript"/>
        </w:rPr>
        <w:footnoteReference w:id="150"/>
      </w:r>
      <w:r w:rsidRPr="002A0C01">
        <w:rPr>
          <w:rStyle w:val="NoneA"/>
        </w:rPr>
        <w:t>The majority founded this on the presentation of insufficient evidence by the Prosecutor.</w:t>
      </w:r>
      <w:r w:rsidRPr="002A0C01">
        <w:rPr>
          <w:rStyle w:val="None"/>
          <w:vertAlign w:val="superscript"/>
        </w:rPr>
        <w:footnoteReference w:id="151"/>
      </w:r>
      <w:r w:rsidRPr="002A0C01">
        <w:rPr>
          <w:rStyle w:val="NoneA"/>
        </w:rPr>
        <w:t xml:space="preserve">  </w:t>
      </w:r>
    </w:p>
    <w:p w14:paraId="54F5F8D8" w14:textId="77777777" w:rsidR="001B7948" w:rsidRPr="002A0C01" w:rsidRDefault="00B2706C" w:rsidP="002A0C01">
      <w:pPr>
        <w:pStyle w:val="Heading4"/>
        <w:spacing w:line="360" w:lineRule="auto"/>
        <w:jc w:val="both"/>
        <w:rPr>
          <w:rStyle w:val="None"/>
          <w:rFonts w:ascii="Times New Roman" w:eastAsia="Times New Roman" w:hAnsi="Times New Roman" w:cs="Times New Roman"/>
        </w:rPr>
      </w:pPr>
      <w:bookmarkStart w:id="35" w:name="_Toc31"/>
      <w:r w:rsidRPr="002A0C01">
        <w:rPr>
          <w:rStyle w:val="None"/>
          <w:rFonts w:ascii="Times New Roman" w:hAnsi="Times New Roman" w:cs="Times New Roman"/>
        </w:rPr>
        <w:t>2.2.2 The Prosecutor v. Francis Kirimi Muthaura, Uhuru Muigai Kenyatta and Mohammed Hussein Ali</w:t>
      </w:r>
      <w:bookmarkEnd w:id="35"/>
    </w:p>
    <w:p w14:paraId="7B5864AF" w14:textId="77777777" w:rsidR="001B7948" w:rsidRPr="002A0C01" w:rsidRDefault="00B2706C" w:rsidP="002A0C01">
      <w:pPr>
        <w:pStyle w:val="BodyBAA"/>
        <w:spacing w:line="360" w:lineRule="auto"/>
        <w:jc w:val="both"/>
      </w:pPr>
      <w:r w:rsidRPr="002A0C01">
        <w:rPr>
          <w:rStyle w:val="NoneA"/>
        </w:rPr>
        <w:t>The confirmation of charges hearing for these three accused began on 25 September 2011 and concluded on 5 October 2011.</w:t>
      </w:r>
      <w:r w:rsidRPr="002A0C01">
        <w:rPr>
          <w:rStyle w:val="None"/>
          <w:vertAlign w:val="superscript"/>
        </w:rPr>
        <w:footnoteReference w:id="152"/>
      </w:r>
      <w:r w:rsidRPr="002A0C01">
        <w:rPr>
          <w:rStyle w:val="NoneA"/>
        </w:rPr>
        <w:t xml:space="preserve"> As of then, charges had been confirmed for both Francis Muthaura and Uhuru Kenyatta, however, on March 11 2013, the Prosecution announced that it would be dropping the charges on Francis Muthaura due to insufficient evidence.</w:t>
      </w:r>
      <w:r w:rsidRPr="002A0C01">
        <w:rPr>
          <w:rStyle w:val="None"/>
          <w:vertAlign w:val="superscript"/>
        </w:rPr>
        <w:footnoteReference w:id="153"/>
      </w:r>
      <w:r w:rsidRPr="002A0C01">
        <w:rPr>
          <w:rStyle w:val="NoneA"/>
        </w:rPr>
        <w:t xml:space="preserve"> The loss of a key witness, was cited as one of the factors leading to the insufficient evidence.</w:t>
      </w:r>
      <w:r w:rsidRPr="002A0C01">
        <w:rPr>
          <w:rStyle w:val="None"/>
          <w:vertAlign w:val="superscript"/>
        </w:rPr>
        <w:footnoteReference w:id="154"/>
      </w:r>
      <w:r w:rsidRPr="002A0C01">
        <w:rPr>
          <w:rStyle w:val="NoneA"/>
        </w:rPr>
        <w:t xml:space="preserve"> The charges on Mohammed Hussein Ali were also dropped on January 23 2013, the same reasons were cited.</w:t>
      </w:r>
      <w:r w:rsidRPr="002A0C01">
        <w:rPr>
          <w:rStyle w:val="None"/>
          <w:vertAlign w:val="superscript"/>
        </w:rPr>
        <w:footnoteReference w:id="155"/>
      </w:r>
      <w:r w:rsidRPr="002A0C01">
        <w:rPr>
          <w:rStyle w:val="NoneA"/>
        </w:rPr>
        <w:t xml:space="preserve"> </w:t>
      </w:r>
    </w:p>
    <w:p w14:paraId="091B9533" w14:textId="77777777" w:rsidR="001B7948" w:rsidRPr="002A0C01" w:rsidRDefault="00B2706C" w:rsidP="002A0C01">
      <w:pPr>
        <w:pStyle w:val="BodyBAA"/>
        <w:spacing w:line="360" w:lineRule="auto"/>
        <w:jc w:val="both"/>
      </w:pPr>
      <w:r w:rsidRPr="002A0C01">
        <w:rPr>
          <w:rStyle w:val="NoneA"/>
        </w:rPr>
        <w:t>Uhuru Kenyatta was however accused of:</w:t>
      </w:r>
    </w:p>
    <w:p w14:paraId="02377051" w14:textId="59ACF1D7" w:rsidR="001B7948" w:rsidRPr="002A0C01" w:rsidRDefault="002A0C01" w:rsidP="002A0C01">
      <w:pPr>
        <w:pStyle w:val="BodyBAA"/>
        <w:spacing w:line="360" w:lineRule="auto"/>
        <w:ind w:left="720"/>
        <w:jc w:val="both"/>
      </w:pPr>
      <w:r>
        <w:rPr>
          <w:rStyle w:val="NoneA"/>
        </w:rPr>
        <w:t xml:space="preserve"> B</w:t>
      </w:r>
      <w:r w:rsidR="00B2706C" w:rsidRPr="002A0C01">
        <w:rPr>
          <w:rStyle w:val="NoneA"/>
        </w:rPr>
        <w:t>eing criminally responsible as an indirect co-perpetrator pursuant to article 25(3)(a) of the Rome Statute for the crimes against humanity of: murder (article 7(l)(a)); deportation or forcible transfer of population (article 7(l)(d)); rape (article7(l)(g)); persecution (article 7(l)(h)); and other i</w:t>
      </w:r>
      <w:r>
        <w:rPr>
          <w:rStyle w:val="NoneA"/>
        </w:rPr>
        <w:t>nhumane acts (article 7(l)(k)).</w:t>
      </w:r>
      <w:r w:rsidR="00B2706C" w:rsidRPr="002A0C01">
        <w:rPr>
          <w:rStyle w:val="None"/>
          <w:vertAlign w:val="superscript"/>
        </w:rPr>
        <w:footnoteReference w:id="156"/>
      </w:r>
      <w:r w:rsidR="00B2706C" w:rsidRPr="002A0C01">
        <w:rPr>
          <w:rStyle w:val="NoneA"/>
        </w:rPr>
        <w:t xml:space="preserve"> </w:t>
      </w:r>
    </w:p>
    <w:p w14:paraId="23DC7C0A" w14:textId="77777777" w:rsidR="001B7948" w:rsidRPr="002A0C01" w:rsidRDefault="00B2706C" w:rsidP="002A0C01">
      <w:pPr>
        <w:pStyle w:val="BodyBAA"/>
        <w:spacing w:line="360" w:lineRule="auto"/>
        <w:jc w:val="both"/>
      </w:pPr>
      <w:r w:rsidRPr="002A0C01">
        <w:rPr>
          <w:rStyle w:val="NoneA"/>
        </w:rPr>
        <w:t>After several extensions or delays the Court finally directed the Prosecution on 3 December 2014, to withdraw the charges or to indicate its readiness to proceed to trial.</w:t>
      </w:r>
      <w:r w:rsidRPr="002A0C01">
        <w:rPr>
          <w:rStyle w:val="None"/>
          <w:vertAlign w:val="superscript"/>
        </w:rPr>
        <w:footnoteReference w:id="157"/>
      </w:r>
      <w:r w:rsidRPr="002A0C01">
        <w:rPr>
          <w:rStyle w:val="NoneA"/>
        </w:rPr>
        <w:t xml:space="preserve"> On consideration of its </w:t>
      </w:r>
      <w:r w:rsidRPr="002A0C01">
        <w:rPr>
          <w:rStyle w:val="NoneA"/>
        </w:rPr>
        <w:lastRenderedPageBreak/>
        <w:t>options, the Prosecution decided to withdraw the charges alluding to the fact that there was insufficient evidence. The Trial Chamber then ended the proceedings in the case.</w:t>
      </w:r>
      <w:r w:rsidRPr="002A0C01">
        <w:rPr>
          <w:rStyle w:val="None"/>
          <w:vertAlign w:val="superscript"/>
        </w:rPr>
        <w:footnoteReference w:id="158"/>
      </w:r>
    </w:p>
    <w:p w14:paraId="5C8F5058" w14:textId="77777777" w:rsidR="001B7948" w:rsidRPr="002A0C01" w:rsidRDefault="00B2706C" w:rsidP="002A0C01">
      <w:pPr>
        <w:pStyle w:val="Heading2"/>
        <w:spacing w:line="360" w:lineRule="auto"/>
        <w:jc w:val="both"/>
        <w:rPr>
          <w:rStyle w:val="None"/>
          <w:rFonts w:ascii="Times New Roman" w:eastAsia="Times New Roman" w:hAnsi="Times New Roman" w:cs="Times New Roman"/>
          <w:color w:val="000000"/>
          <w:u w:color="000000"/>
        </w:rPr>
      </w:pPr>
      <w:bookmarkStart w:id="36" w:name="_Hlk23837565"/>
      <w:bookmarkStart w:id="37" w:name="_Toc32"/>
      <w:r w:rsidRPr="002A0C01">
        <w:rPr>
          <w:rStyle w:val="None"/>
          <w:rFonts w:ascii="Times New Roman" w:hAnsi="Times New Roman" w:cs="Times New Roman"/>
          <w:lang w:val="de-DE"/>
        </w:rPr>
        <w:t>3.0 THE RATIONALE BEHIND KENYA</w:t>
      </w:r>
      <w:r w:rsidRPr="002A0C01">
        <w:rPr>
          <w:rStyle w:val="None"/>
          <w:rFonts w:ascii="Times New Roman" w:hAnsi="Times New Roman" w:cs="Times New Roman"/>
        </w:rPr>
        <w:t>’</w:t>
      </w:r>
      <w:r w:rsidRPr="002A0C01">
        <w:rPr>
          <w:rStyle w:val="None"/>
          <w:rFonts w:ascii="Times New Roman" w:hAnsi="Times New Roman" w:cs="Times New Roman"/>
          <w:lang w:val="de-DE"/>
        </w:rPr>
        <w:t xml:space="preserve">S FAILURE TO COOPERATE WITH THE ICC </w:t>
      </w:r>
      <w:bookmarkEnd w:id="36"/>
      <w:bookmarkEnd w:id="37"/>
    </w:p>
    <w:p w14:paraId="010A201B" w14:textId="77777777" w:rsidR="001B7948" w:rsidRPr="002A0C01" w:rsidRDefault="00B2706C" w:rsidP="002A0C01">
      <w:pPr>
        <w:pStyle w:val="BodyC"/>
        <w:spacing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u w:color="FF0000"/>
        </w:rPr>
        <w:t>Kenya’s resistance to cooperate with the ICC was evidenced on numerous occasions. For one, the Kenyan Government neglected to assist the Prosecutor in conducting his investigations of the crimes in question.</w:t>
      </w:r>
      <w:r w:rsidRPr="002A0C01">
        <w:rPr>
          <w:rStyle w:val="None"/>
          <w:rFonts w:ascii="Times New Roman" w:eastAsia="Times New Roman" w:hAnsi="Times New Roman" w:cs="Times New Roman"/>
          <w:sz w:val="24"/>
          <w:szCs w:val="24"/>
          <w:u w:color="FF0000"/>
          <w:vertAlign w:val="superscript"/>
        </w:rPr>
        <w:footnoteReference w:id="159"/>
      </w:r>
      <w:r w:rsidRPr="002A0C01">
        <w:rPr>
          <w:rStyle w:val="None"/>
          <w:rFonts w:ascii="Times New Roman" w:hAnsi="Times New Roman" w:cs="Times New Roman"/>
          <w:sz w:val="24"/>
          <w:szCs w:val="24"/>
          <w:u w:color="FF0000"/>
        </w:rPr>
        <w:t xml:space="preserve"> Kenya constantly delayed in the handing over evidence/requested documents to the Prosecutor.</w:t>
      </w:r>
      <w:r w:rsidRPr="002A0C01">
        <w:rPr>
          <w:rStyle w:val="None"/>
          <w:rFonts w:ascii="Times New Roman" w:eastAsia="Times New Roman" w:hAnsi="Times New Roman" w:cs="Times New Roman"/>
          <w:sz w:val="24"/>
          <w:szCs w:val="24"/>
          <w:u w:color="FF0000"/>
          <w:vertAlign w:val="superscript"/>
        </w:rPr>
        <w:footnoteReference w:id="160"/>
      </w:r>
      <w:r w:rsidRPr="002A0C01">
        <w:rPr>
          <w:rStyle w:val="None"/>
          <w:rFonts w:ascii="Times New Roman" w:hAnsi="Times New Roman" w:cs="Times New Roman"/>
          <w:sz w:val="24"/>
          <w:szCs w:val="24"/>
          <w:u w:color="FF0000"/>
        </w:rPr>
        <w:t xml:space="preserve"> There were also instances of witness intimidation including the murdering of ICC’s key witnesses.</w:t>
      </w:r>
      <w:r w:rsidRPr="002A0C01">
        <w:rPr>
          <w:rStyle w:val="None"/>
          <w:rFonts w:ascii="Times New Roman" w:eastAsia="Times New Roman" w:hAnsi="Times New Roman" w:cs="Times New Roman"/>
          <w:sz w:val="24"/>
          <w:szCs w:val="24"/>
          <w:u w:color="FF0000"/>
          <w:vertAlign w:val="superscript"/>
        </w:rPr>
        <w:footnoteReference w:id="161"/>
      </w:r>
      <w:r w:rsidRPr="002A0C01">
        <w:rPr>
          <w:rStyle w:val="None"/>
          <w:rFonts w:ascii="Times New Roman" w:hAnsi="Times New Roman" w:cs="Times New Roman"/>
          <w:sz w:val="24"/>
          <w:szCs w:val="24"/>
          <w:u w:color="FF0000"/>
        </w:rPr>
        <w:t xml:space="preserve"> The Kibaki Government attributed their actions to the conviction that the ICC was prejudiced against Africa.</w:t>
      </w:r>
      <w:r w:rsidRPr="002A0C01">
        <w:rPr>
          <w:rStyle w:val="None"/>
          <w:rFonts w:ascii="Times New Roman" w:eastAsia="Times New Roman" w:hAnsi="Times New Roman" w:cs="Times New Roman"/>
          <w:sz w:val="24"/>
          <w:szCs w:val="24"/>
          <w:u w:color="FF0000"/>
          <w:vertAlign w:val="superscript"/>
        </w:rPr>
        <w:footnoteReference w:id="162"/>
      </w:r>
      <w:r w:rsidRPr="002A0C01">
        <w:rPr>
          <w:rStyle w:val="None"/>
          <w:rFonts w:ascii="Times New Roman" w:hAnsi="Times New Roman" w:cs="Times New Roman"/>
          <w:sz w:val="24"/>
          <w:szCs w:val="24"/>
          <w:u w:color="FF0000"/>
        </w:rPr>
        <w:t xml:space="preserve"> </w:t>
      </w:r>
    </w:p>
    <w:p w14:paraId="7C7E6101" w14:textId="77777777" w:rsidR="001B7948" w:rsidRPr="002A0C01" w:rsidRDefault="00B2706C" w:rsidP="002A0C01">
      <w:pPr>
        <w:pStyle w:val="BodyC"/>
        <w:spacing w:line="360" w:lineRule="auto"/>
        <w:jc w:val="both"/>
        <w:rPr>
          <w:rStyle w:val="None"/>
          <w:rFonts w:ascii="Times New Roman" w:eastAsia="Times New Roman" w:hAnsi="Times New Roman" w:cs="Times New Roman"/>
        </w:rPr>
      </w:pPr>
      <w:r w:rsidRPr="002A0C01">
        <w:rPr>
          <w:rStyle w:val="None"/>
          <w:rFonts w:ascii="Times New Roman" w:hAnsi="Times New Roman" w:cs="Times New Roman"/>
          <w:sz w:val="24"/>
          <w:szCs w:val="24"/>
          <w:u w:color="FF0000"/>
        </w:rPr>
        <w:t>The Kibaki Government also pursued the deferral of the ICC cases to the African Court.</w:t>
      </w:r>
      <w:r w:rsidRPr="002A0C01">
        <w:rPr>
          <w:rStyle w:val="None"/>
          <w:rFonts w:ascii="Times New Roman" w:eastAsia="Times New Roman" w:hAnsi="Times New Roman" w:cs="Times New Roman"/>
          <w:sz w:val="24"/>
          <w:szCs w:val="24"/>
          <w:u w:color="FF0000"/>
          <w:vertAlign w:val="superscript"/>
        </w:rPr>
        <w:footnoteReference w:id="163"/>
      </w:r>
      <w:r w:rsidRPr="002A0C01">
        <w:rPr>
          <w:rStyle w:val="None"/>
          <w:rFonts w:ascii="Times New Roman" w:hAnsi="Times New Roman" w:cs="Times New Roman"/>
          <w:sz w:val="24"/>
          <w:szCs w:val="24"/>
          <w:u w:color="FF0000"/>
        </w:rPr>
        <w:t xml:space="preserve"> When this strategy failed, Kenya pursued the entrusting of the case to the East African Court of Justice (EACJ), despite the EACJ’s lack of jurisdiction on the matter.</w:t>
      </w:r>
      <w:r w:rsidRPr="002A0C01">
        <w:rPr>
          <w:rStyle w:val="None"/>
          <w:rFonts w:ascii="Times New Roman" w:eastAsia="Times New Roman" w:hAnsi="Times New Roman" w:cs="Times New Roman"/>
          <w:sz w:val="24"/>
          <w:szCs w:val="24"/>
          <w:u w:color="FF0000"/>
          <w:vertAlign w:val="superscript"/>
        </w:rPr>
        <w:footnoteReference w:id="164"/>
      </w:r>
      <w:r w:rsidRPr="002A0C01">
        <w:rPr>
          <w:rStyle w:val="None"/>
          <w:rFonts w:ascii="Times New Roman" w:hAnsi="Times New Roman" w:cs="Times New Roman"/>
          <w:sz w:val="24"/>
          <w:szCs w:val="24"/>
          <w:u w:color="FF0000"/>
        </w:rPr>
        <w:t xml:space="preserve"> Evidently, </w:t>
      </w:r>
      <w:r w:rsidRPr="002A0C01">
        <w:rPr>
          <w:rStyle w:val="None"/>
          <w:rFonts w:ascii="Times New Roman" w:hAnsi="Times New Roman" w:cs="Times New Roman"/>
          <w:sz w:val="24"/>
          <w:szCs w:val="24"/>
        </w:rPr>
        <w:t>Kenya did not want to cooperate with the ICC in the prosecution of the accused.</w:t>
      </w:r>
      <w:r w:rsidRPr="002A0C01">
        <w:rPr>
          <w:rStyle w:val="None"/>
          <w:rFonts w:ascii="Times New Roman" w:eastAsia="Times New Roman" w:hAnsi="Times New Roman" w:cs="Times New Roman"/>
          <w:sz w:val="24"/>
          <w:szCs w:val="24"/>
          <w:vertAlign w:val="superscript"/>
        </w:rPr>
        <w:footnoteReference w:id="165"/>
      </w:r>
      <w:r w:rsidRPr="002A0C01">
        <w:rPr>
          <w:rStyle w:val="None"/>
          <w:rFonts w:ascii="Times New Roman" w:hAnsi="Times New Roman" w:cs="Times New Roman"/>
          <w:sz w:val="24"/>
          <w:szCs w:val="24"/>
        </w:rPr>
        <w:t xml:space="preserve"> During the 2013 elections in fact, the accused banded together due to the charges laid against them by the ICC.</w:t>
      </w:r>
      <w:r w:rsidRPr="002A0C01">
        <w:rPr>
          <w:rStyle w:val="None"/>
          <w:rFonts w:ascii="Times New Roman" w:eastAsia="Times New Roman" w:hAnsi="Times New Roman" w:cs="Times New Roman"/>
          <w:sz w:val="24"/>
          <w:szCs w:val="24"/>
          <w:vertAlign w:val="superscript"/>
        </w:rPr>
        <w:footnoteReference w:id="166"/>
      </w:r>
      <w:r w:rsidRPr="002A0C01">
        <w:rPr>
          <w:rStyle w:val="None"/>
          <w:rFonts w:ascii="Times New Roman" w:hAnsi="Times New Roman" w:cs="Times New Roman"/>
          <w:sz w:val="24"/>
          <w:szCs w:val="24"/>
        </w:rPr>
        <w:t xml:space="preserve"> This was in order to escape legal accountability.</w:t>
      </w:r>
      <w:r w:rsidRPr="002A0C01">
        <w:rPr>
          <w:rStyle w:val="None"/>
          <w:rFonts w:ascii="Times New Roman" w:eastAsia="Times New Roman" w:hAnsi="Times New Roman" w:cs="Times New Roman"/>
          <w:sz w:val="24"/>
          <w:szCs w:val="24"/>
          <w:vertAlign w:val="superscript"/>
        </w:rPr>
        <w:footnoteReference w:id="167"/>
      </w:r>
      <w:r w:rsidRPr="002A0C01">
        <w:rPr>
          <w:rStyle w:val="None"/>
          <w:rFonts w:ascii="Times New Roman" w:hAnsi="Times New Roman" w:cs="Times New Roman"/>
          <w:sz w:val="24"/>
          <w:szCs w:val="24"/>
        </w:rPr>
        <w:t xml:space="preserve"> The accused went as far as stating th</w:t>
      </w:r>
      <w:r w:rsidRPr="002A0C01">
        <w:rPr>
          <w:rStyle w:val="None"/>
          <w:rFonts w:ascii="Times New Roman" w:hAnsi="Times New Roman" w:cs="Times New Roman"/>
        </w:rPr>
        <w:t>at:</w:t>
      </w:r>
    </w:p>
    <w:p w14:paraId="175C6239" w14:textId="77777777" w:rsidR="001B7948" w:rsidRPr="002A0C01" w:rsidRDefault="00B2706C" w:rsidP="002A0C01">
      <w:pPr>
        <w:pStyle w:val="BodyC"/>
        <w:spacing w:line="360" w:lineRule="auto"/>
        <w:ind w:left="720"/>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lastRenderedPageBreak/>
        <w:t>A vote for us is a vote of no confidence in the ICC. Presidential victory for the Jubilee Alliance may indicate there is something wrong with the charges its two leaders are facing at The Hague.</w:t>
      </w:r>
      <w:r w:rsidRPr="002A0C01">
        <w:rPr>
          <w:rStyle w:val="None"/>
          <w:rFonts w:ascii="Times New Roman" w:eastAsia="Times New Roman" w:hAnsi="Times New Roman" w:cs="Times New Roman"/>
          <w:sz w:val="24"/>
          <w:szCs w:val="24"/>
          <w:vertAlign w:val="superscript"/>
        </w:rPr>
        <w:footnoteReference w:id="168"/>
      </w:r>
      <w:r w:rsidRPr="002A0C01">
        <w:rPr>
          <w:rStyle w:val="None"/>
          <w:rFonts w:ascii="Times New Roman" w:hAnsi="Times New Roman" w:cs="Times New Roman"/>
          <w:sz w:val="24"/>
          <w:szCs w:val="24"/>
        </w:rPr>
        <w:t xml:space="preserve"> </w:t>
      </w:r>
    </w:p>
    <w:p w14:paraId="4E30D14A"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rPr>
        <w:t xml:space="preserve">Once elected into Government, </w:t>
      </w:r>
      <w:r w:rsidRPr="002A0C01">
        <w:rPr>
          <w:rStyle w:val="None"/>
          <w:rFonts w:ascii="Times New Roman" w:hAnsi="Times New Roman" w:cs="Times New Roman"/>
          <w:sz w:val="24"/>
          <w:szCs w:val="24"/>
          <w:u w:color="FF0000"/>
        </w:rPr>
        <w:t>President Kenyatta further sought the entrance of his colleagues in the AU to call for the deferral of the case to the AU or the withdrawal of the charges by the Prosecutor and the UN Security Council.</w:t>
      </w:r>
      <w:r w:rsidRPr="002A0C01">
        <w:rPr>
          <w:rStyle w:val="None"/>
          <w:rFonts w:ascii="Times New Roman" w:eastAsia="Times New Roman" w:hAnsi="Times New Roman" w:cs="Times New Roman"/>
          <w:sz w:val="24"/>
          <w:szCs w:val="24"/>
          <w:u w:color="FF0000"/>
          <w:vertAlign w:val="superscript"/>
        </w:rPr>
        <w:footnoteReference w:id="169"/>
      </w:r>
      <w:r w:rsidRPr="002A0C01">
        <w:rPr>
          <w:rStyle w:val="None"/>
          <w:rFonts w:ascii="Times New Roman" w:hAnsi="Times New Roman" w:cs="Times New Roman"/>
          <w:sz w:val="24"/>
          <w:szCs w:val="24"/>
          <w:u w:color="FF0000"/>
        </w:rPr>
        <w:t xml:space="preserve"> The President claimed that these actions would “conserve peace and national reconciliation in Kenya”.</w:t>
      </w:r>
      <w:r w:rsidRPr="002A0C01">
        <w:rPr>
          <w:rStyle w:val="None"/>
          <w:rFonts w:ascii="Times New Roman" w:eastAsia="Times New Roman" w:hAnsi="Times New Roman" w:cs="Times New Roman"/>
          <w:sz w:val="24"/>
          <w:szCs w:val="24"/>
          <w:u w:color="FF0000"/>
          <w:vertAlign w:val="superscript"/>
        </w:rPr>
        <w:footnoteReference w:id="170"/>
      </w:r>
      <w:r w:rsidRPr="002A0C01">
        <w:rPr>
          <w:rStyle w:val="None"/>
          <w:rFonts w:ascii="Times New Roman" w:hAnsi="Times New Roman" w:cs="Times New Roman"/>
          <w:sz w:val="24"/>
          <w:szCs w:val="24"/>
          <w:u w:color="FF0000"/>
        </w:rPr>
        <w:t xml:space="preserve"> </w:t>
      </w:r>
    </w:p>
    <w:p w14:paraId="41D9E0A5" w14:textId="5AC6BBDE"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u w:color="FF0000"/>
        </w:rPr>
        <w:t xml:space="preserve"> As the</w:t>
      </w:r>
      <w:r w:rsidRPr="002A0C01">
        <w:rPr>
          <w:rStyle w:val="None"/>
          <w:rFonts w:ascii="Times New Roman" w:hAnsi="Times New Roman" w:cs="Times New Roman"/>
          <w:sz w:val="24"/>
          <w:szCs w:val="24"/>
        </w:rPr>
        <w:t xml:space="preserve"> new leaders of a country with the most prominent economy in Eastern Africa, the accused became even more were willing to ignore the ICC</w:t>
      </w:r>
      <w:r w:rsidRPr="002A0C01">
        <w:rPr>
          <w:rStyle w:val="None"/>
          <w:rFonts w:ascii="Times New Roman" w:eastAsia="Times New Roman" w:hAnsi="Times New Roman" w:cs="Times New Roman"/>
          <w:sz w:val="24"/>
          <w:szCs w:val="24"/>
          <w:vertAlign w:val="superscript"/>
        </w:rPr>
        <w:footnoteReference w:id="171"/>
      </w:r>
      <w:r w:rsidRPr="002A0C01">
        <w:rPr>
          <w:rStyle w:val="None"/>
          <w:rFonts w:ascii="Times New Roman" w:hAnsi="Times New Roman" w:cs="Times New Roman"/>
          <w:sz w:val="24"/>
          <w:szCs w:val="24"/>
        </w:rPr>
        <w:t xml:space="preserve"> For these reasons, many scholars have posited that Kenya indeed neglected to cooperate with the ICC due to the accused positions in the Government of Kenya,</w:t>
      </w:r>
      <w:r w:rsidRPr="002A0C01">
        <w:rPr>
          <w:rStyle w:val="None"/>
          <w:rFonts w:ascii="Times New Roman" w:eastAsia="Times New Roman" w:hAnsi="Times New Roman" w:cs="Times New Roman"/>
          <w:sz w:val="24"/>
          <w:szCs w:val="24"/>
          <w:vertAlign w:val="superscript"/>
        </w:rPr>
        <w:footnoteReference w:id="172"/>
      </w:r>
      <w:r w:rsidRPr="002A0C01">
        <w:rPr>
          <w:rStyle w:val="None"/>
          <w:rFonts w:ascii="Times New Roman" w:hAnsi="Times New Roman" w:cs="Times New Roman"/>
          <w:sz w:val="24"/>
          <w:szCs w:val="24"/>
        </w:rPr>
        <w:t xml:space="preserve"> and also due to the view that the ICC is biased against Africa.</w:t>
      </w:r>
      <w:r w:rsidRPr="002A0C01">
        <w:rPr>
          <w:rStyle w:val="None"/>
          <w:rFonts w:ascii="Times New Roman" w:eastAsia="Times New Roman" w:hAnsi="Times New Roman" w:cs="Times New Roman"/>
          <w:sz w:val="24"/>
          <w:szCs w:val="24"/>
          <w:vertAlign w:val="superscript"/>
        </w:rPr>
        <w:footnoteReference w:id="173"/>
      </w:r>
    </w:p>
    <w:p w14:paraId="5E8BEED5"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Having identified the motives behind Kenya’s actions where do these actions fit in Glaser’s categorisation? </w:t>
      </w:r>
    </w:p>
    <w:p w14:paraId="395659DD"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Charles Glaser poses a new theory (the rational theory of international politics) to explain the basis of a State’</w:t>
      </w:r>
      <w:r w:rsidRPr="002A0C01">
        <w:rPr>
          <w:rStyle w:val="None"/>
          <w:rFonts w:ascii="Times New Roman" w:hAnsi="Times New Roman" w:cs="Times New Roman"/>
          <w:sz w:val="24"/>
          <w:szCs w:val="24"/>
          <w:lang w:val="fr-FR"/>
        </w:rPr>
        <w:t>s actions.</w:t>
      </w:r>
      <w:r w:rsidRPr="002A0C01">
        <w:rPr>
          <w:rStyle w:val="None"/>
          <w:rFonts w:ascii="Times New Roman" w:eastAsia="Times New Roman" w:hAnsi="Times New Roman" w:cs="Times New Roman"/>
          <w:sz w:val="24"/>
          <w:szCs w:val="24"/>
          <w:vertAlign w:val="superscript"/>
        </w:rPr>
        <w:footnoteReference w:id="174"/>
      </w:r>
      <w:r w:rsidRPr="002A0C01">
        <w:rPr>
          <w:rStyle w:val="None"/>
          <w:rFonts w:ascii="Times New Roman" w:hAnsi="Times New Roman" w:cs="Times New Roman"/>
          <w:sz w:val="24"/>
          <w:szCs w:val="24"/>
        </w:rPr>
        <w:t xml:space="preserve"> The theory recognises three variables that guide a State's strategy.</w:t>
      </w:r>
      <w:r w:rsidRPr="002A0C01">
        <w:rPr>
          <w:rStyle w:val="None"/>
          <w:rFonts w:ascii="Times New Roman" w:eastAsia="Times New Roman" w:hAnsi="Times New Roman" w:cs="Times New Roman"/>
          <w:sz w:val="24"/>
          <w:szCs w:val="24"/>
          <w:vertAlign w:val="superscript"/>
        </w:rPr>
        <w:footnoteReference w:id="175"/>
      </w:r>
      <w:r w:rsidRPr="002A0C01">
        <w:rPr>
          <w:rStyle w:val="None"/>
          <w:rFonts w:ascii="Times New Roman" w:hAnsi="Times New Roman" w:cs="Times New Roman"/>
          <w:sz w:val="24"/>
          <w:szCs w:val="24"/>
        </w:rPr>
        <w:t xml:space="preserve"> The first variable is the State's motives (is the State in question persuaded by security concerns or “greed”?) Security concerns relate to a State defending what it has (maintaining status quo) whereas a ‘greedy’ motive refers to a State’s yearn for expansion.</w:t>
      </w:r>
      <w:r w:rsidRPr="002A0C01">
        <w:rPr>
          <w:rStyle w:val="None"/>
          <w:rFonts w:ascii="Times New Roman" w:eastAsia="Times New Roman" w:hAnsi="Times New Roman" w:cs="Times New Roman"/>
          <w:sz w:val="24"/>
          <w:szCs w:val="24"/>
          <w:vertAlign w:val="superscript"/>
        </w:rPr>
        <w:footnoteReference w:id="176"/>
      </w:r>
      <w:r w:rsidRPr="002A0C01">
        <w:rPr>
          <w:rStyle w:val="None"/>
          <w:rFonts w:ascii="Times New Roman" w:hAnsi="Times New Roman" w:cs="Times New Roman"/>
          <w:sz w:val="24"/>
          <w:szCs w:val="24"/>
        </w:rPr>
        <w:t xml:space="preserve"> The second variable is </w:t>
      </w:r>
      <w:r w:rsidRPr="002A0C01">
        <w:rPr>
          <w:rStyle w:val="None"/>
          <w:rFonts w:ascii="Times New Roman" w:hAnsi="Times New Roman" w:cs="Times New Roman"/>
          <w:sz w:val="24"/>
          <w:szCs w:val="24"/>
        </w:rPr>
        <w:lastRenderedPageBreak/>
        <w:t>material variables which pertain to the State's military potential relative to the mission it would be expected to perform and the military potential of other states.</w:t>
      </w:r>
      <w:r w:rsidRPr="002A0C01">
        <w:rPr>
          <w:rStyle w:val="None"/>
          <w:rFonts w:ascii="Times New Roman" w:eastAsia="Times New Roman" w:hAnsi="Times New Roman" w:cs="Times New Roman"/>
          <w:sz w:val="24"/>
          <w:szCs w:val="24"/>
          <w:vertAlign w:val="superscript"/>
        </w:rPr>
        <w:footnoteReference w:id="177"/>
      </w:r>
      <w:r w:rsidRPr="002A0C01">
        <w:rPr>
          <w:rStyle w:val="None"/>
          <w:rFonts w:ascii="Times New Roman" w:hAnsi="Times New Roman" w:cs="Times New Roman"/>
          <w:sz w:val="24"/>
          <w:szCs w:val="24"/>
        </w:rPr>
        <w:t xml:space="preserve"> The third and last variable is information variables which refers to the information the State knows about its antagonist's intentions and the information the State thinks the adversary knows of its motives.</w:t>
      </w:r>
      <w:r w:rsidRPr="002A0C01">
        <w:rPr>
          <w:rStyle w:val="None"/>
          <w:rFonts w:ascii="Times New Roman" w:eastAsia="Times New Roman" w:hAnsi="Times New Roman" w:cs="Times New Roman"/>
          <w:sz w:val="24"/>
          <w:szCs w:val="24"/>
          <w:vertAlign w:val="superscript"/>
        </w:rPr>
        <w:footnoteReference w:id="178"/>
      </w:r>
      <w:r w:rsidRPr="002A0C01">
        <w:rPr>
          <w:rStyle w:val="None"/>
          <w:rFonts w:ascii="Times New Roman" w:hAnsi="Times New Roman" w:cs="Times New Roman"/>
          <w:sz w:val="24"/>
          <w:szCs w:val="24"/>
        </w:rPr>
        <w:t xml:space="preserve"> </w:t>
      </w:r>
    </w:p>
    <w:p w14:paraId="40C2501F"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These three variables, according to Glaser, are factors contemplated by States when considering an action to take.</w:t>
      </w:r>
      <w:r w:rsidRPr="002A0C01">
        <w:rPr>
          <w:rStyle w:val="None"/>
          <w:rFonts w:ascii="Times New Roman" w:eastAsia="Times New Roman" w:hAnsi="Times New Roman" w:cs="Times New Roman"/>
          <w:sz w:val="24"/>
          <w:szCs w:val="24"/>
          <w:vertAlign w:val="superscript"/>
        </w:rPr>
        <w:footnoteReference w:id="179"/>
      </w:r>
      <w:r w:rsidRPr="002A0C01">
        <w:rPr>
          <w:rStyle w:val="None"/>
          <w:rFonts w:ascii="Times New Roman" w:hAnsi="Times New Roman" w:cs="Times New Roman"/>
          <w:sz w:val="24"/>
          <w:szCs w:val="24"/>
        </w:rPr>
        <w:t xml:space="preserve"> Depending on these variables, a State may be more likely to cooperate with an international body, for example, than not.</w:t>
      </w:r>
      <w:r w:rsidRPr="002A0C01">
        <w:rPr>
          <w:rStyle w:val="None"/>
          <w:rFonts w:ascii="Times New Roman" w:eastAsia="Times New Roman" w:hAnsi="Times New Roman" w:cs="Times New Roman"/>
          <w:sz w:val="24"/>
          <w:szCs w:val="24"/>
          <w:vertAlign w:val="superscript"/>
        </w:rPr>
        <w:footnoteReference w:id="180"/>
      </w:r>
      <w:r w:rsidRPr="002A0C01">
        <w:rPr>
          <w:rStyle w:val="None"/>
          <w:rFonts w:ascii="Times New Roman" w:hAnsi="Times New Roman" w:cs="Times New Roman"/>
          <w:sz w:val="24"/>
          <w:szCs w:val="24"/>
        </w:rPr>
        <w:t xml:space="preserve"> If a State, for example, believes that an international body has more military potential than the State and a greedy motive, this is more likely to result in non-cooperation with the international body.</w:t>
      </w:r>
      <w:r w:rsidRPr="002A0C01">
        <w:rPr>
          <w:rStyle w:val="None"/>
          <w:rFonts w:ascii="Times New Roman" w:eastAsia="Times New Roman" w:hAnsi="Times New Roman" w:cs="Times New Roman"/>
          <w:sz w:val="24"/>
          <w:szCs w:val="24"/>
          <w:vertAlign w:val="superscript"/>
        </w:rPr>
        <w:footnoteReference w:id="181"/>
      </w:r>
      <w:r w:rsidRPr="002A0C01">
        <w:rPr>
          <w:rStyle w:val="None"/>
          <w:rFonts w:ascii="Times New Roman" w:hAnsi="Times New Roman" w:cs="Times New Roman"/>
          <w:sz w:val="24"/>
          <w:szCs w:val="24"/>
        </w:rPr>
        <w:t xml:space="preserve"> However, if the State believes that the international body has less military capabilities and a non-greedy motive, a State is more likely to cooperate with an international body.</w:t>
      </w:r>
      <w:r w:rsidRPr="002A0C01">
        <w:rPr>
          <w:rStyle w:val="None"/>
          <w:rFonts w:ascii="Times New Roman" w:eastAsia="Times New Roman" w:hAnsi="Times New Roman" w:cs="Times New Roman"/>
          <w:sz w:val="24"/>
          <w:szCs w:val="24"/>
          <w:vertAlign w:val="superscript"/>
        </w:rPr>
        <w:footnoteReference w:id="182"/>
      </w:r>
    </w:p>
    <w:p w14:paraId="7988911F"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 xml:space="preserve">In the case at hand, it is this paper’s contention that Kenya’s actions (the failure to cooperate) was influenced by security concerns (the security of its leaders). Kenya strived to preserve or maintain their heads of States as opposed to expanding wealth, territory or influence. </w:t>
      </w:r>
    </w:p>
    <w:p w14:paraId="073446A1"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rPr>
      </w:pPr>
      <w:r w:rsidRPr="002A0C01">
        <w:rPr>
          <w:rStyle w:val="None"/>
          <w:rFonts w:ascii="Times New Roman" w:hAnsi="Times New Roman" w:cs="Times New Roman"/>
          <w:sz w:val="24"/>
          <w:szCs w:val="24"/>
        </w:rPr>
        <w:t>Kenya’s actions, as per this paper, were also influenced by information variables. Information variables arise in that Kenya believed that the ICC’s intentions were not good.</w:t>
      </w:r>
      <w:r w:rsidRPr="002A0C01">
        <w:rPr>
          <w:rStyle w:val="None"/>
          <w:rFonts w:ascii="Times New Roman" w:eastAsia="Times New Roman" w:hAnsi="Times New Roman" w:cs="Times New Roman"/>
          <w:sz w:val="24"/>
          <w:szCs w:val="24"/>
          <w:vertAlign w:val="superscript"/>
        </w:rPr>
        <w:footnoteReference w:id="183"/>
      </w:r>
      <w:r w:rsidRPr="002A0C01">
        <w:rPr>
          <w:rStyle w:val="None"/>
          <w:rFonts w:ascii="Times New Roman" w:hAnsi="Times New Roman" w:cs="Times New Roman"/>
          <w:sz w:val="24"/>
          <w:szCs w:val="24"/>
        </w:rPr>
        <w:t xml:space="preserve"> The Government of Kenya believed that the ICC was prejudiced against Africa and its leaders.</w:t>
      </w:r>
      <w:r w:rsidRPr="002A0C01">
        <w:rPr>
          <w:rStyle w:val="None"/>
          <w:rFonts w:ascii="Times New Roman" w:eastAsia="Times New Roman" w:hAnsi="Times New Roman" w:cs="Times New Roman"/>
          <w:sz w:val="24"/>
          <w:szCs w:val="24"/>
          <w:vertAlign w:val="superscript"/>
        </w:rPr>
        <w:footnoteReference w:id="184"/>
      </w:r>
      <w:r w:rsidRPr="002A0C01">
        <w:rPr>
          <w:rStyle w:val="None"/>
          <w:rFonts w:ascii="Times New Roman" w:hAnsi="Times New Roman" w:cs="Times New Roman"/>
          <w:sz w:val="24"/>
          <w:szCs w:val="24"/>
        </w:rPr>
        <w:t xml:space="preserve"> This notion was founded on the fact that thus far mainly African leaders had been indicted by the ICC. </w:t>
      </w:r>
      <w:r w:rsidRPr="002A0C01">
        <w:rPr>
          <w:rStyle w:val="None"/>
          <w:rFonts w:ascii="Times New Roman" w:eastAsia="Times New Roman" w:hAnsi="Times New Roman" w:cs="Times New Roman"/>
          <w:sz w:val="24"/>
          <w:szCs w:val="24"/>
          <w:vertAlign w:val="superscript"/>
        </w:rPr>
        <w:lastRenderedPageBreak/>
        <w:footnoteReference w:id="185"/>
      </w:r>
      <w:r w:rsidRPr="002A0C01">
        <w:rPr>
          <w:rStyle w:val="None"/>
          <w:rFonts w:ascii="Times New Roman" w:hAnsi="Times New Roman" w:cs="Times New Roman"/>
          <w:sz w:val="24"/>
          <w:szCs w:val="24"/>
        </w:rPr>
        <w:t>Consequently, this information of the adversary’s (ICC) intentions led Kenya to fail to cooperate with the ICC.</w:t>
      </w:r>
    </w:p>
    <w:p w14:paraId="7B864568"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38" w:name="_Toc33"/>
      <w:r w:rsidRPr="002A0C01">
        <w:rPr>
          <w:rStyle w:val="None"/>
          <w:rFonts w:ascii="Times New Roman" w:hAnsi="Times New Roman" w:cs="Times New Roman"/>
          <w:sz w:val="24"/>
          <w:szCs w:val="24"/>
        </w:rPr>
        <w:t xml:space="preserve"> </w:t>
      </w:r>
      <w:r w:rsidRPr="002A0C01">
        <w:rPr>
          <w:rStyle w:val="None"/>
          <w:rFonts w:ascii="Times New Roman" w:hAnsi="Times New Roman" w:cs="Times New Roman"/>
        </w:rPr>
        <w:t>4.0 CONCLUSION</w:t>
      </w:r>
      <w:bookmarkEnd w:id="38"/>
    </w:p>
    <w:p w14:paraId="6921AC73"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It is clear from the above analysis that Kenya failed to cooperate with the ICC based on security concerns and information variables. Kenya wanted to maintain its leaders (thus ensuring its leaders’ security) and believed that the ICC’s motives were biased (He was attacking Africa and its leaders). This demonstrates that the assertion that African States fail to cooperate with the ICC due to security reasons (to ensure the security of its leaders) and information variables, holds water. With this knowledge, the ICC can determine better ways to combat the issue of non-cooperation.</w:t>
      </w:r>
    </w:p>
    <w:p w14:paraId="4BE1B9C7"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Further validation of the above pronouncement (African States fail to cooperate with the ICC due to security reasons) will be provided in the next chapter through the Situation in Sudan.</w:t>
      </w:r>
    </w:p>
    <w:p w14:paraId="10C13D54" w14:textId="7A85E76D" w:rsidR="001B7948" w:rsidRPr="002A0C01" w:rsidRDefault="00B2706C" w:rsidP="002A0C01">
      <w:pPr>
        <w:pStyle w:val="WordDefaultStyleA"/>
        <w:spacing w:line="360" w:lineRule="auto"/>
        <w:jc w:val="both"/>
        <w:rPr>
          <w:rStyle w:val="NoneA"/>
          <w:rFonts w:cs="Times New Roman"/>
          <w:sz w:val="24"/>
          <w:szCs w:val="24"/>
        </w:rPr>
      </w:pPr>
      <w:r w:rsidRPr="002A0C01">
        <w:rPr>
          <w:rStyle w:val="None"/>
          <w:rFonts w:cs="Times New Roman"/>
          <w:sz w:val="24"/>
          <w:szCs w:val="24"/>
        </w:rPr>
        <w:t>In Chapter Four, the same examination will be conducted in order to demonstrate the same conclusion. The Chapter will provide a summary of the circumstances that led to the case against Omar Hassan Ahmad Al Bashir at the ICC. The ways through which non-cooperation with the ICC was evidenced will then be brought out and consequently, the reason(s) behind the non-cooperation with the ICC will be identified and scrutinised through Charles Glaser’s theory.</w:t>
      </w:r>
    </w:p>
    <w:p w14:paraId="152209AB" w14:textId="77777777" w:rsidR="002A0C01" w:rsidRDefault="002A0C01" w:rsidP="002A0C01">
      <w:pPr>
        <w:pStyle w:val="Heading"/>
        <w:spacing w:line="360" w:lineRule="auto"/>
        <w:jc w:val="both"/>
        <w:rPr>
          <w:rStyle w:val="None"/>
          <w:rFonts w:ascii="Times New Roman" w:hAnsi="Times New Roman" w:cs="Times New Roman"/>
        </w:rPr>
      </w:pPr>
      <w:bookmarkStart w:id="39" w:name="_Toc34"/>
    </w:p>
    <w:p w14:paraId="1AC25499" w14:textId="77777777" w:rsidR="002A0C01" w:rsidRDefault="002A0C01" w:rsidP="002A0C01">
      <w:pPr>
        <w:pStyle w:val="Heading"/>
        <w:spacing w:line="360" w:lineRule="auto"/>
        <w:jc w:val="both"/>
        <w:rPr>
          <w:rStyle w:val="None"/>
          <w:rFonts w:ascii="Times New Roman" w:hAnsi="Times New Roman" w:cs="Times New Roman"/>
        </w:rPr>
      </w:pPr>
    </w:p>
    <w:p w14:paraId="2C342CB4" w14:textId="77777777" w:rsidR="002A0C01" w:rsidRPr="002A0C01" w:rsidRDefault="002A0C01" w:rsidP="002A0C01">
      <w:pPr>
        <w:pStyle w:val="BodyA"/>
      </w:pPr>
    </w:p>
    <w:p w14:paraId="605A705E"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r w:rsidRPr="002A0C01">
        <w:rPr>
          <w:rStyle w:val="None"/>
          <w:rFonts w:ascii="Times New Roman" w:hAnsi="Times New Roman" w:cs="Times New Roman"/>
        </w:rPr>
        <w:lastRenderedPageBreak/>
        <w:t>CHAPTER FOUR</w:t>
      </w:r>
      <w:bookmarkEnd w:id="39"/>
    </w:p>
    <w:p w14:paraId="0895B07A"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40" w:name="_Toc35"/>
      <w:r w:rsidRPr="002A0C01">
        <w:rPr>
          <w:rStyle w:val="None"/>
          <w:rFonts w:ascii="Times New Roman" w:hAnsi="Times New Roman" w:cs="Times New Roman"/>
        </w:rPr>
        <w:t>THE SITUATION IN SUDAN: SECURITY CONCERNS v THE DUTY TO COOPERATE WITH THE ICC</w:t>
      </w:r>
      <w:bookmarkEnd w:id="40"/>
    </w:p>
    <w:p w14:paraId="719FE221"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41" w:name="_Toc36"/>
      <w:r w:rsidRPr="002A0C01">
        <w:rPr>
          <w:rStyle w:val="None"/>
          <w:rFonts w:ascii="Times New Roman" w:hAnsi="Times New Roman" w:cs="Times New Roman"/>
          <w:lang w:val="de-DE"/>
        </w:rPr>
        <w:t>1.0 INTRODUCTION</w:t>
      </w:r>
      <w:bookmarkEnd w:id="41"/>
    </w:p>
    <w:p w14:paraId="1DB2F377"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u w:color="FF0000"/>
        </w:rPr>
        <w:t xml:space="preserve">Having canvassed the Situation in Kenya in the previous chapter, this chapter will focus on the Situation in Sudan. This chapter seeks to prove that African States neglect to cooperate with the ICC due to security reasons (the security of its leaders) and information variables. This assertion was proven in the previous Chapter through the Situation in Kenya and this Chapter will attempt to prove the same assertion through the Situation in Sudan. </w:t>
      </w:r>
    </w:p>
    <w:p w14:paraId="7532F039" w14:textId="77777777" w:rsidR="001B7948" w:rsidRPr="002A0C01" w:rsidRDefault="00B2706C" w:rsidP="002A0C01">
      <w:pPr>
        <w:pStyle w:val="BodyA"/>
        <w:spacing w:line="360" w:lineRule="auto"/>
        <w:jc w:val="both"/>
        <w:rPr>
          <w:rStyle w:val="None"/>
          <w:rFonts w:ascii="Times New Roman" w:eastAsia="Times New Roman" w:hAnsi="Times New Roman" w:cs="Times New Roman"/>
          <w:sz w:val="24"/>
          <w:szCs w:val="24"/>
          <w:u w:color="FF0000"/>
        </w:rPr>
      </w:pPr>
      <w:r w:rsidRPr="002A0C01">
        <w:rPr>
          <w:rStyle w:val="None"/>
          <w:rFonts w:ascii="Times New Roman" w:hAnsi="Times New Roman" w:cs="Times New Roman"/>
          <w:sz w:val="24"/>
          <w:szCs w:val="24"/>
          <w:u w:color="FF0000"/>
        </w:rPr>
        <w:t xml:space="preserve">In the Situation in Sudan, the cases of: The Prosecutor v </w:t>
      </w:r>
      <w:r w:rsidRPr="002A0C01">
        <w:rPr>
          <w:rStyle w:val="None"/>
          <w:rFonts w:ascii="Times New Roman" w:hAnsi="Times New Roman" w:cs="Times New Roman"/>
          <w:sz w:val="24"/>
          <w:szCs w:val="24"/>
        </w:rPr>
        <w:t xml:space="preserve">Ahmad Muhammad Harun and Ali Muhammad Ali Abd-Al-Rahman and The Prosecutor v Omar Hassan Ahmad Al Bashir, will be discussed. </w:t>
      </w:r>
      <w:r w:rsidRPr="002A0C01">
        <w:rPr>
          <w:rStyle w:val="None"/>
          <w:rFonts w:ascii="Times New Roman" w:hAnsi="Times New Roman" w:cs="Times New Roman"/>
          <w:sz w:val="24"/>
          <w:szCs w:val="24"/>
          <w:u w:color="FF0000"/>
        </w:rPr>
        <w:t>However, this paper will mainly focus on the case against Omar Al Bashir.  The Chapter will begin by firstly, providing a summary of the events that led to the prosecution of the accused at the ICC. The cases against the accused will then be discussed, following with the ways through which non-cooperation with the ICC was evidenced. Finally, the reasons behind the non-cooperation with the ICC will be brought to light and scrutinised through Charles Glaser’s theory.</w:t>
      </w:r>
    </w:p>
    <w:p w14:paraId="3E36AC4C"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42" w:name="_Toc37"/>
      <w:r w:rsidRPr="002A0C01">
        <w:rPr>
          <w:rStyle w:val="None"/>
          <w:rFonts w:ascii="Times New Roman" w:hAnsi="Times New Roman" w:cs="Times New Roman"/>
          <w:lang w:val="de-DE"/>
        </w:rPr>
        <w:t xml:space="preserve">2.0 SUMMARY OF THE SITUATION IN </w:t>
      </w:r>
      <w:r w:rsidRPr="002A0C01">
        <w:rPr>
          <w:rStyle w:val="None"/>
          <w:rFonts w:ascii="Times New Roman" w:hAnsi="Times New Roman" w:cs="Times New Roman"/>
        </w:rPr>
        <w:t>SUDAN</w:t>
      </w:r>
      <w:bookmarkEnd w:id="42"/>
    </w:p>
    <w:p w14:paraId="527CC789"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43" w:name="_Toc38"/>
      <w:r w:rsidRPr="002A0C01">
        <w:rPr>
          <w:rStyle w:val="None"/>
          <w:rFonts w:ascii="Times New Roman" w:hAnsi="Times New Roman" w:cs="Times New Roman"/>
        </w:rPr>
        <w:t xml:space="preserve">2.1 A Background of Bad Governance &amp; Impunity  </w:t>
      </w:r>
      <w:bookmarkEnd w:id="43"/>
    </w:p>
    <w:p w14:paraId="17FFAA24" w14:textId="77777777" w:rsidR="001B7948" w:rsidRPr="002A0C01" w:rsidRDefault="00B2706C" w:rsidP="002A0C01">
      <w:pPr>
        <w:pStyle w:val="BodyBA"/>
        <w:spacing w:after="160" w:line="360" w:lineRule="auto"/>
        <w:jc w:val="both"/>
      </w:pPr>
      <w:r w:rsidRPr="002A0C01">
        <w:rPr>
          <w:rStyle w:val="NoneA"/>
        </w:rPr>
        <w:t>The conflict in Sudan began in 2002 when two rebel groups, the Sudanese Liberation Movement/Army (SLM/A) and the Justice and Equality Movement (JEM) instituted attacks on government institutions.</w:t>
      </w:r>
      <w:r w:rsidRPr="002A0C01">
        <w:rPr>
          <w:rStyle w:val="None"/>
          <w:vertAlign w:val="superscript"/>
        </w:rPr>
        <w:footnoteReference w:id="186"/>
      </w:r>
      <w:r w:rsidRPr="002A0C01">
        <w:rPr>
          <w:rStyle w:val="NoneA"/>
        </w:rPr>
        <w:t xml:space="preserve"> The rebel groups claimed the people of Sudan were socio-economically and politically marginalised</w:t>
      </w:r>
      <w:r w:rsidRPr="002A0C01">
        <w:rPr>
          <w:rStyle w:val="None"/>
          <w:color w:val="FF0000"/>
          <w:u w:color="FF0000"/>
        </w:rPr>
        <w:t xml:space="preserve"> </w:t>
      </w:r>
      <w:r w:rsidRPr="002A0C01">
        <w:rPr>
          <w:rStyle w:val="None"/>
          <w:u w:color="FF0000"/>
        </w:rPr>
        <w:t xml:space="preserve">and demanded more involvement of the people of </w:t>
      </w:r>
      <w:r w:rsidRPr="002A0C01">
        <w:rPr>
          <w:rStyle w:val="None"/>
          <w:u w:color="FF0000"/>
        </w:rPr>
        <w:lastRenderedPageBreak/>
        <w:t>Sudan, in the government</w:t>
      </w:r>
      <w:r w:rsidRPr="002A0C01">
        <w:rPr>
          <w:rStyle w:val="NoneA"/>
        </w:rPr>
        <w:t>.</w:t>
      </w:r>
      <w:r w:rsidRPr="002A0C01">
        <w:rPr>
          <w:rStyle w:val="None"/>
          <w:vertAlign w:val="superscript"/>
        </w:rPr>
        <w:footnoteReference w:id="187"/>
      </w:r>
      <w:r w:rsidRPr="002A0C01">
        <w:rPr>
          <w:rStyle w:val="NoneA"/>
        </w:rPr>
        <w:t xml:space="preserve"> At first the government did not pay much attention to these rebel groups and did not retaliate until the attacks grew in severity.</w:t>
      </w:r>
      <w:r w:rsidRPr="002A0C01">
        <w:rPr>
          <w:rStyle w:val="None"/>
          <w:vertAlign w:val="superscript"/>
        </w:rPr>
        <w:footnoteReference w:id="188"/>
      </w:r>
      <w:r w:rsidRPr="002A0C01">
        <w:rPr>
          <w:rStyle w:val="NoneA"/>
        </w:rPr>
        <w:t xml:space="preserve"> </w:t>
      </w:r>
    </w:p>
    <w:p w14:paraId="462ED29D" w14:textId="77777777" w:rsidR="001B7948" w:rsidRPr="002A0C01" w:rsidRDefault="00B2706C" w:rsidP="002A0C01">
      <w:pPr>
        <w:pStyle w:val="BodyBA"/>
        <w:spacing w:after="160" w:line="360" w:lineRule="auto"/>
        <w:jc w:val="both"/>
      </w:pPr>
      <w:r w:rsidRPr="002A0C01">
        <w:rPr>
          <w:rStyle w:val="None"/>
          <w:u w:color="FF0000"/>
        </w:rPr>
        <w:t>Faced with a security threat from two rebel groups, the government, in its effort to fight against the rebel groups, recruited local tribes.</w:t>
      </w:r>
      <w:r w:rsidRPr="002A0C01">
        <w:rPr>
          <w:rStyle w:val="None"/>
          <w:u w:color="FF0000"/>
          <w:vertAlign w:val="superscript"/>
        </w:rPr>
        <w:footnoteReference w:id="189"/>
      </w:r>
      <w:r w:rsidRPr="002A0C01">
        <w:rPr>
          <w:rStyle w:val="None"/>
          <w:u w:color="FF0000"/>
        </w:rPr>
        <w:t xml:space="preserve"> </w:t>
      </w:r>
      <w:r w:rsidRPr="002A0C01">
        <w:rPr>
          <w:rStyle w:val="None"/>
        </w:rPr>
        <w:t>The recruitment of these local tribes to combat the rebel groups created more tension and is believed to be the main reason for the war that broke out in Sudan.</w:t>
      </w:r>
      <w:r w:rsidRPr="002A0C01">
        <w:rPr>
          <w:rStyle w:val="None"/>
          <w:vertAlign w:val="superscript"/>
        </w:rPr>
        <w:footnoteReference w:id="190"/>
      </w:r>
      <w:r w:rsidRPr="002A0C01">
        <w:rPr>
          <w:rStyle w:val="None"/>
        </w:rPr>
        <w:t xml:space="preserve"> Among the tribes that were recruited, the vast majority were the Arabic nomads who sought land due to the increasing desertification.</w:t>
      </w:r>
      <w:r w:rsidRPr="002A0C01">
        <w:rPr>
          <w:rStyle w:val="None"/>
          <w:vertAlign w:val="superscript"/>
        </w:rPr>
        <w:footnoteReference w:id="191"/>
      </w:r>
      <w:r w:rsidRPr="002A0C01">
        <w:rPr>
          <w:rStyle w:val="None"/>
        </w:rPr>
        <w:t xml:space="preserve"> These nomads’ tribes were referred to as the “</w:t>
      </w:r>
      <w:r w:rsidRPr="002A0C01">
        <w:rPr>
          <w:rStyle w:val="None"/>
          <w:lang w:val="nl-NL"/>
        </w:rPr>
        <w:t>Janjaweed</w:t>
      </w:r>
      <w:r w:rsidRPr="002A0C01">
        <w:rPr>
          <w:rStyle w:val="None"/>
        </w:rPr>
        <w:t>” m</w:t>
      </w:r>
      <w:r w:rsidRPr="002A0C01">
        <w:rPr>
          <w:rStyle w:val="None"/>
          <w:lang w:val="it-IT"/>
        </w:rPr>
        <w:t>ilitia.</w:t>
      </w:r>
      <w:r w:rsidRPr="002A0C01">
        <w:rPr>
          <w:rStyle w:val="None"/>
          <w:vertAlign w:val="superscript"/>
        </w:rPr>
        <w:footnoteReference w:id="192"/>
      </w:r>
      <w:r w:rsidRPr="002A0C01">
        <w:rPr>
          <w:rStyle w:val="None"/>
        </w:rPr>
        <w:t xml:space="preserve"> The Janjaweed militia fought alongside the Sudanese army, who provided the militia with weapons and funding.</w:t>
      </w:r>
      <w:r w:rsidRPr="002A0C01">
        <w:rPr>
          <w:rStyle w:val="None"/>
          <w:vertAlign w:val="superscript"/>
        </w:rPr>
        <w:footnoteReference w:id="193"/>
      </w:r>
      <w:r w:rsidRPr="002A0C01">
        <w:rPr>
          <w:rStyle w:val="None"/>
        </w:rPr>
        <w:t xml:space="preserve"> Intertribal violence became prevalent as the Janjaweed militia used brutal means (that some have characterised as genocidal)</w:t>
      </w:r>
      <w:r w:rsidRPr="002A0C01">
        <w:rPr>
          <w:rStyle w:val="None"/>
          <w:vertAlign w:val="superscript"/>
        </w:rPr>
        <w:footnoteReference w:id="194"/>
      </w:r>
      <w:r w:rsidRPr="002A0C01">
        <w:rPr>
          <w:rStyle w:val="None"/>
        </w:rPr>
        <w:t xml:space="preserve"> to acquire the land of other tribes.</w:t>
      </w:r>
      <w:r w:rsidRPr="002A0C01">
        <w:rPr>
          <w:rStyle w:val="None"/>
          <w:vertAlign w:val="superscript"/>
        </w:rPr>
        <w:footnoteReference w:id="195"/>
      </w:r>
      <w:r w:rsidRPr="002A0C01">
        <w:rPr>
          <w:rStyle w:val="None"/>
        </w:rPr>
        <w:t xml:space="preserve"> </w:t>
      </w:r>
    </w:p>
    <w:p w14:paraId="0D5298F8" w14:textId="77777777" w:rsidR="001B7948" w:rsidRPr="002A0C01" w:rsidRDefault="00B2706C" w:rsidP="002A0C01">
      <w:pPr>
        <w:pStyle w:val="BodyBA"/>
        <w:spacing w:after="160" w:line="360" w:lineRule="auto"/>
        <w:jc w:val="both"/>
      </w:pPr>
      <w:r w:rsidRPr="002A0C01">
        <w:rPr>
          <w:rStyle w:val="NoneA"/>
        </w:rPr>
        <w:t>The alliance between the government and the militia caused a great divide in the country.</w:t>
      </w:r>
      <w:r w:rsidRPr="002A0C01">
        <w:rPr>
          <w:rStyle w:val="None"/>
          <w:vertAlign w:val="superscript"/>
        </w:rPr>
        <w:footnoteReference w:id="196"/>
      </w:r>
      <w:r w:rsidRPr="002A0C01">
        <w:rPr>
          <w:rStyle w:val="NoneA"/>
        </w:rPr>
        <w:t xml:space="preserve"> Uncountable civilians were murdered due to the war between the government together with the </w:t>
      </w:r>
      <w:r w:rsidRPr="002A0C01">
        <w:rPr>
          <w:rStyle w:val="NoneA"/>
        </w:rPr>
        <w:lastRenderedPageBreak/>
        <w:t>Janjaweed and the rebel groups.</w:t>
      </w:r>
      <w:r w:rsidRPr="002A0C01">
        <w:rPr>
          <w:rStyle w:val="None"/>
          <w:vertAlign w:val="superscript"/>
        </w:rPr>
        <w:footnoteReference w:id="197"/>
      </w:r>
      <w:r w:rsidRPr="002A0C01">
        <w:rPr>
          <w:rStyle w:val="NoneA"/>
        </w:rPr>
        <w:t xml:space="preserve"> The UN also estimated that there were 1.65 million internally displaced individuals and 200,000 refugees fled to the neighbouring country of Chad.</w:t>
      </w:r>
      <w:r w:rsidRPr="002A0C01">
        <w:rPr>
          <w:rStyle w:val="None"/>
          <w:vertAlign w:val="superscript"/>
        </w:rPr>
        <w:footnoteReference w:id="198"/>
      </w:r>
    </w:p>
    <w:p w14:paraId="34C323F5" w14:textId="76A61A1D" w:rsidR="001B7948" w:rsidRPr="002A0C01" w:rsidRDefault="00B2706C" w:rsidP="002A0C01">
      <w:pPr>
        <w:pStyle w:val="BodyBA"/>
        <w:spacing w:after="160" w:line="360" w:lineRule="auto"/>
        <w:jc w:val="both"/>
      </w:pPr>
      <w:r w:rsidRPr="002A0C01">
        <w:rPr>
          <w:rStyle w:val="NoneA"/>
        </w:rPr>
        <w:t>The government of Sudan failed to bring the perpetrators of the crimes to justice leading to the intervention of the UN.</w:t>
      </w:r>
      <w:r w:rsidRPr="002A0C01">
        <w:rPr>
          <w:rStyle w:val="None"/>
          <w:vertAlign w:val="superscript"/>
        </w:rPr>
        <w:footnoteReference w:id="199"/>
      </w:r>
      <w:r w:rsidRPr="002A0C01">
        <w:rPr>
          <w:rStyle w:val="NoneA"/>
        </w:rPr>
        <w:t xml:space="preserve"> The UN, on September 2004, formed the International Commission of Inquiry in order to attend to the Situation in Sudan.</w:t>
      </w:r>
      <w:r w:rsidRPr="002A0C01">
        <w:rPr>
          <w:rStyle w:val="None"/>
          <w:vertAlign w:val="superscript"/>
        </w:rPr>
        <w:footnoteReference w:id="200"/>
      </w:r>
      <w:r w:rsidRPr="002A0C01">
        <w:rPr>
          <w:rStyle w:val="NoneA"/>
        </w:rPr>
        <w:t xml:space="preserve"> The Sudan Commission was commissioned to investigate the infractions of human rights occurring in Sudan and to put forward a solution.</w:t>
      </w:r>
      <w:r w:rsidRPr="002A0C01">
        <w:rPr>
          <w:rStyle w:val="None"/>
          <w:vertAlign w:val="superscript"/>
        </w:rPr>
        <w:footnoteReference w:id="201"/>
      </w:r>
      <w:r w:rsidRPr="002A0C01">
        <w:rPr>
          <w:rStyle w:val="NoneA"/>
        </w:rPr>
        <w:t xml:space="preserve"> The report by the International Commission of Inquiry was handed to the </w:t>
      </w:r>
      <w:r w:rsidR="002A0C01">
        <w:rPr>
          <w:rStyle w:val="NoneA"/>
        </w:rPr>
        <w:t>UN Security Council, which occa</w:t>
      </w:r>
      <w:r w:rsidRPr="002A0C01">
        <w:rPr>
          <w:rStyle w:val="NoneA"/>
        </w:rPr>
        <w:t>sioned the referral of the case to the ICC.</w:t>
      </w:r>
      <w:r w:rsidRPr="002A0C01">
        <w:rPr>
          <w:rStyle w:val="None"/>
          <w:vertAlign w:val="superscript"/>
        </w:rPr>
        <w:footnoteReference w:id="202"/>
      </w:r>
      <w:r w:rsidRPr="002A0C01">
        <w:rPr>
          <w:rStyle w:val="NoneA"/>
        </w:rPr>
        <w:t xml:space="preserve"> The UN Security Council forwarded the case to the ICC as it believed that it was “the appropriate mechanism to lift the veil of impunity.”</w:t>
      </w:r>
      <w:r w:rsidRPr="002A0C01">
        <w:rPr>
          <w:rStyle w:val="None"/>
          <w:vertAlign w:val="superscript"/>
        </w:rPr>
        <w:footnoteReference w:id="203"/>
      </w:r>
      <w:r w:rsidRPr="002A0C01">
        <w:rPr>
          <w:rStyle w:val="NoneA"/>
        </w:rPr>
        <w:t xml:space="preserve"> </w:t>
      </w:r>
    </w:p>
    <w:p w14:paraId="3D473AE1" w14:textId="77777777" w:rsidR="001B7948" w:rsidRPr="002A0C01" w:rsidRDefault="00B2706C" w:rsidP="002A0C01">
      <w:pPr>
        <w:pStyle w:val="Heading3"/>
        <w:spacing w:line="360" w:lineRule="auto"/>
        <w:jc w:val="both"/>
        <w:rPr>
          <w:rStyle w:val="None"/>
          <w:rFonts w:ascii="Times New Roman" w:eastAsia="Times New Roman" w:hAnsi="Times New Roman" w:cs="Times New Roman"/>
        </w:rPr>
      </w:pPr>
      <w:bookmarkStart w:id="44" w:name="_Toc39"/>
      <w:r w:rsidRPr="002A0C01">
        <w:rPr>
          <w:rStyle w:val="None"/>
          <w:rFonts w:ascii="Times New Roman" w:hAnsi="Times New Roman" w:cs="Times New Roman"/>
        </w:rPr>
        <w:t>2.2 Investigation &amp; Prosecution at the ICC</w:t>
      </w:r>
      <w:bookmarkEnd w:id="44"/>
    </w:p>
    <w:p w14:paraId="70AAB183" w14:textId="77777777" w:rsidR="001B7948" w:rsidRPr="002A0C01" w:rsidRDefault="00B2706C" w:rsidP="002A0C01">
      <w:pPr>
        <w:pStyle w:val="BodyBA"/>
        <w:spacing w:after="160" w:line="360" w:lineRule="auto"/>
        <w:jc w:val="both"/>
        <w:rPr>
          <w:rStyle w:val="NoneA"/>
        </w:rPr>
      </w:pPr>
      <w:r w:rsidRPr="002A0C01">
        <w:rPr>
          <w:rStyle w:val="None"/>
          <w:u w:color="FF0000"/>
        </w:rPr>
        <w:t>Following the UN Security Council’s referral of the Sudan situation to the ICC, jurisdictional issues were raised.</w:t>
      </w:r>
      <w:r w:rsidRPr="002A0C01">
        <w:rPr>
          <w:rStyle w:val="None"/>
          <w:u w:color="FF0000"/>
          <w:vertAlign w:val="superscript"/>
        </w:rPr>
        <w:footnoteReference w:id="204"/>
      </w:r>
      <w:r w:rsidRPr="002A0C01">
        <w:rPr>
          <w:rStyle w:val="None"/>
          <w:u w:color="FF0000"/>
        </w:rPr>
        <w:t xml:space="preserve"> These issues were raised due to the fact that Sudan was not a party State to the Rome Statute and the ICC could only hear matters under the ambit of the Rome Statute.</w:t>
      </w:r>
      <w:r w:rsidRPr="002A0C01">
        <w:rPr>
          <w:rStyle w:val="None"/>
          <w:u w:color="FF0000"/>
          <w:vertAlign w:val="superscript"/>
        </w:rPr>
        <w:footnoteReference w:id="205"/>
      </w:r>
      <w:r w:rsidRPr="002A0C01">
        <w:rPr>
          <w:rStyle w:val="None"/>
          <w:u w:color="FF0000"/>
        </w:rPr>
        <w:t xml:space="preserve"> The UN Security Council, as per the Rome Statute, can however refer cases to the ICC if the crimes are within the scope of the Rome Statute.</w:t>
      </w:r>
      <w:r w:rsidRPr="002A0C01">
        <w:rPr>
          <w:rStyle w:val="None"/>
          <w:u w:color="FF0000"/>
          <w:vertAlign w:val="superscript"/>
        </w:rPr>
        <w:footnoteReference w:id="206"/>
      </w:r>
      <w:r w:rsidRPr="002A0C01">
        <w:rPr>
          <w:rStyle w:val="None"/>
          <w:u w:color="FF0000"/>
        </w:rPr>
        <w:t xml:space="preserve"> Since the Sudan Commission reported that crimes against humanity that amounted to war crimes were committed in Sudan, t</w:t>
      </w:r>
      <w:r w:rsidRPr="002A0C01">
        <w:rPr>
          <w:rStyle w:val="NoneA"/>
        </w:rPr>
        <w:t xml:space="preserve">hese crimes fell within </w:t>
      </w:r>
      <w:r w:rsidRPr="002A0C01">
        <w:rPr>
          <w:rStyle w:val="NoneA"/>
        </w:rPr>
        <w:lastRenderedPageBreak/>
        <w:t>the ambit of the Rome Statute.</w:t>
      </w:r>
      <w:r w:rsidRPr="002A0C01">
        <w:rPr>
          <w:rStyle w:val="None"/>
          <w:vertAlign w:val="superscript"/>
        </w:rPr>
        <w:footnoteReference w:id="207"/>
      </w:r>
      <w:r w:rsidRPr="002A0C01">
        <w:rPr>
          <w:rStyle w:val="NoneA"/>
        </w:rPr>
        <w:t xml:space="preserve"> The ICC therefore had jurisdiction over these cases.</w:t>
      </w:r>
      <w:r w:rsidRPr="002A0C01">
        <w:rPr>
          <w:rStyle w:val="None"/>
          <w:vertAlign w:val="superscript"/>
        </w:rPr>
        <w:footnoteReference w:id="208"/>
      </w:r>
      <w:r w:rsidRPr="002A0C01">
        <w:rPr>
          <w:rStyle w:val="NoneA"/>
        </w:rPr>
        <w:t xml:space="preserve"> The office of the Prosecutor thus began to gather evidence on the case in order to catch the perpetrators of these crimes.</w:t>
      </w:r>
      <w:r w:rsidRPr="002A0C01">
        <w:rPr>
          <w:rStyle w:val="None"/>
          <w:vertAlign w:val="superscript"/>
        </w:rPr>
        <w:footnoteReference w:id="209"/>
      </w:r>
      <w:r w:rsidRPr="002A0C01">
        <w:rPr>
          <w:rStyle w:val="NoneA"/>
        </w:rPr>
        <w:t xml:space="preserve"> The Prosecutor named 3 perpetrators of the crimes against humanity and established two cases to deal with the accused. The first case comprised of: Ahmad Muhammad Harun and Ali Muhammad Ali Abd-Al-Rahman,</w:t>
      </w:r>
      <w:r w:rsidRPr="002A0C01">
        <w:rPr>
          <w:rStyle w:val="None"/>
          <w:vertAlign w:val="superscript"/>
        </w:rPr>
        <w:footnoteReference w:id="210"/>
      </w:r>
      <w:r w:rsidRPr="002A0C01">
        <w:rPr>
          <w:rStyle w:val="NoneA"/>
        </w:rPr>
        <w:t xml:space="preserve"> whilst the other case had only one accused - Omar Hassan Ahmad Al Bashir.</w:t>
      </w:r>
      <w:r w:rsidRPr="002A0C01">
        <w:rPr>
          <w:rStyle w:val="None"/>
          <w:vertAlign w:val="superscript"/>
        </w:rPr>
        <w:footnoteReference w:id="211"/>
      </w:r>
    </w:p>
    <w:p w14:paraId="5F68DE62" w14:textId="77777777" w:rsidR="001B7948" w:rsidRPr="002A0C01" w:rsidRDefault="00B2706C" w:rsidP="002A0C01">
      <w:pPr>
        <w:pStyle w:val="Heading4"/>
        <w:spacing w:line="360" w:lineRule="auto"/>
        <w:jc w:val="both"/>
        <w:rPr>
          <w:rStyle w:val="None"/>
          <w:rFonts w:ascii="Times New Roman" w:eastAsia="Times New Roman" w:hAnsi="Times New Roman" w:cs="Times New Roman"/>
        </w:rPr>
      </w:pPr>
      <w:bookmarkStart w:id="45" w:name="_Toc40"/>
      <w:r w:rsidRPr="002A0C01">
        <w:rPr>
          <w:rStyle w:val="None"/>
          <w:rFonts w:ascii="Times New Roman" w:hAnsi="Times New Roman" w:cs="Times New Roman"/>
        </w:rPr>
        <w:t xml:space="preserve">2.2.1 The Prosecutor v </w:t>
      </w:r>
      <w:bookmarkStart w:id="46" w:name="_Hlk24370983"/>
      <w:r w:rsidRPr="002A0C01">
        <w:rPr>
          <w:rStyle w:val="None"/>
          <w:rFonts w:ascii="Times New Roman" w:hAnsi="Times New Roman" w:cs="Times New Roman"/>
        </w:rPr>
        <w:t>Omar Hassan Ahmad Al Bashir</w:t>
      </w:r>
      <w:bookmarkEnd w:id="45"/>
      <w:bookmarkEnd w:id="46"/>
    </w:p>
    <w:p w14:paraId="55282FBD" w14:textId="77777777" w:rsidR="001B7948" w:rsidRPr="002A0C01" w:rsidRDefault="00B2706C" w:rsidP="002A0C01">
      <w:pPr>
        <w:pStyle w:val="BodyBA"/>
        <w:spacing w:after="160" w:line="360" w:lineRule="auto"/>
        <w:jc w:val="both"/>
      </w:pPr>
      <w:r w:rsidRPr="002A0C01">
        <w:rPr>
          <w:rStyle w:val="NoneA"/>
        </w:rPr>
        <w:t>The office of the Prosecutor presented this case against Omar Al Bashir, President of Sudan, as its second.</w:t>
      </w:r>
      <w:r w:rsidRPr="002A0C01">
        <w:rPr>
          <w:rStyle w:val="None"/>
          <w:vertAlign w:val="superscript"/>
        </w:rPr>
        <w:footnoteReference w:id="212"/>
      </w:r>
      <w:r w:rsidRPr="002A0C01">
        <w:rPr>
          <w:rStyle w:val="NoneA"/>
        </w:rPr>
        <w:t xml:space="preserve"> On 4 March 2009 the first warrant of arrest for Omar Al Bashir was issued under article 25 (3)(a) of the Rome Statute,</w:t>
      </w:r>
      <w:r w:rsidRPr="002A0C01">
        <w:rPr>
          <w:rStyle w:val="None"/>
          <w:vertAlign w:val="superscript"/>
        </w:rPr>
        <w:footnoteReference w:id="213"/>
      </w:r>
      <w:r w:rsidRPr="002A0C01">
        <w:rPr>
          <w:rStyle w:val="NoneA"/>
        </w:rPr>
        <w:t xml:space="preserve"> as an indirect perpetrator, with the following charges: </w:t>
      </w:r>
    </w:p>
    <w:p w14:paraId="01BC5336" w14:textId="77777777" w:rsidR="001B7948" w:rsidRPr="002A0C01" w:rsidRDefault="00B2706C" w:rsidP="002A0C01">
      <w:pPr>
        <w:pStyle w:val="BodyBA"/>
        <w:numPr>
          <w:ilvl w:val="0"/>
          <w:numId w:val="5"/>
        </w:numPr>
        <w:spacing w:after="160" w:line="360" w:lineRule="auto"/>
        <w:jc w:val="both"/>
      </w:pPr>
      <w:r w:rsidRPr="002A0C01">
        <w:rPr>
          <w:rStyle w:val="NoneA"/>
        </w:rPr>
        <w:t>Five counts of crimes against humanity: murder (article 7(1)(a)); extermination (article 7(1)(b)); forcible transfer (article 7(1)(d)); torture (article 7(1)(f)); and rape (article 7(1)(g));</w:t>
      </w:r>
    </w:p>
    <w:p w14:paraId="30D0E129" w14:textId="77777777" w:rsidR="001B7948" w:rsidRPr="002A0C01" w:rsidRDefault="00B2706C" w:rsidP="002A0C01">
      <w:pPr>
        <w:pStyle w:val="BodyBA"/>
        <w:numPr>
          <w:ilvl w:val="0"/>
          <w:numId w:val="5"/>
        </w:numPr>
        <w:spacing w:after="160" w:line="360" w:lineRule="auto"/>
        <w:jc w:val="both"/>
      </w:pPr>
      <w:r w:rsidRPr="002A0C01">
        <w:rPr>
          <w:rStyle w:val="NoneA"/>
        </w:rPr>
        <w:t>Two counts of war crimes: intentionally directing attacks against a civilian population pillaging (article 8(2)(e)(v)); and</w:t>
      </w:r>
    </w:p>
    <w:p w14:paraId="585AB19F" w14:textId="77777777" w:rsidR="001B7948" w:rsidRPr="002A0C01" w:rsidRDefault="00B2706C" w:rsidP="002A0C01">
      <w:pPr>
        <w:pStyle w:val="BodyBA"/>
        <w:numPr>
          <w:ilvl w:val="0"/>
          <w:numId w:val="5"/>
        </w:numPr>
        <w:spacing w:after="160" w:line="360" w:lineRule="auto"/>
        <w:jc w:val="both"/>
      </w:pPr>
      <w:r w:rsidRPr="002A0C01">
        <w:rPr>
          <w:rStyle w:val="NoneA"/>
        </w:rPr>
        <w:t>Three counts of genocide: genocide by killing (article 6-a), genocide by causing serious bodily or mental harm (article 6-b) and genocide by deliberately inflicting on each target group conditions of life calculated to bring about the group’s physical destruction (article 6-c).</w:t>
      </w:r>
      <w:r w:rsidRPr="002A0C01">
        <w:rPr>
          <w:rStyle w:val="None"/>
          <w:vertAlign w:val="superscript"/>
        </w:rPr>
        <w:footnoteReference w:id="214"/>
      </w:r>
    </w:p>
    <w:p w14:paraId="2A5CF56F" w14:textId="77777777" w:rsidR="001B7948" w:rsidRPr="002A0C01" w:rsidRDefault="00B2706C" w:rsidP="002A0C01">
      <w:pPr>
        <w:pStyle w:val="BodyBA"/>
        <w:spacing w:after="160" w:line="360" w:lineRule="auto"/>
        <w:jc w:val="both"/>
        <w:rPr>
          <w:rStyle w:val="None"/>
          <w:u w:color="FF0000"/>
        </w:rPr>
      </w:pPr>
      <w:r w:rsidRPr="002A0C01">
        <w:rPr>
          <w:rStyle w:val="None"/>
          <w:u w:color="FF0000"/>
        </w:rPr>
        <w:lastRenderedPageBreak/>
        <w:t>The ICC had reasonable grounds to believe that Omar Al Bashir and other officials contracted the militia to respond to the attack by the rebel groups and Omar Al Bashir coordinated and implemented the campaign against the rebel groups.</w:t>
      </w:r>
      <w:r w:rsidRPr="002A0C01">
        <w:rPr>
          <w:rStyle w:val="None"/>
          <w:u w:color="FF0000"/>
          <w:vertAlign w:val="superscript"/>
        </w:rPr>
        <w:footnoteReference w:id="215"/>
      </w:r>
    </w:p>
    <w:p w14:paraId="4B40608A" w14:textId="77777777" w:rsidR="001B7948" w:rsidRPr="002A0C01" w:rsidRDefault="00B2706C" w:rsidP="002A0C01">
      <w:pPr>
        <w:pStyle w:val="BodyBA"/>
        <w:spacing w:after="160" w:line="360" w:lineRule="auto"/>
        <w:jc w:val="both"/>
      </w:pPr>
      <w:r w:rsidRPr="002A0C01">
        <w:rPr>
          <w:rStyle w:val="NoneA"/>
        </w:rPr>
        <w:t>On 12 July 2010, a second warrant for Omar Al Bashir was issued.</w:t>
      </w:r>
      <w:r w:rsidRPr="002A0C01">
        <w:rPr>
          <w:rStyle w:val="None"/>
          <w:vertAlign w:val="superscript"/>
        </w:rPr>
        <w:footnoteReference w:id="216"/>
      </w:r>
      <w:r w:rsidRPr="002A0C01">
        <w:rPr>
          <w:rStyle w:val="NoneA"/>
        </w:rPr>
        <w:t xml:space="preserve"> The second arrest warrant was issued in order to include the charge of a count of genocide under article 6 (a), 6 (b) and 6 (c) of the Rome statute.</w:t>
      </w:r>
      <w:r w:rsidRPr="002A0C01">
        <w:rPr>
          <w:rStyle w:val="None"/>
          <w:vertAlign w:val="superscript"/>
        </w:rPr>
        <w:footnoteReference w:id="217"/>
      </w:r>
      <w:r w:rsidRPr="002A0C01">
        <w:rPr>
          <w:rStyle w:val="NoneA"/>
        </w:rPr>
        <w:t xml:space="preserve"> The second warrant does not in any way revoke the first arrest warrant issued against the accused.</w:t>
      </w:r>
      <w:r w:rsidRPr="002A0C01">
        <w:rPr>
          <w:rStyle w:val="None"/>
          <w:vertAlign w:val="superscript"/>
        </w:rPr>
        <w:footnoteReference w:id="218"/>
      </w:r>
    </w:p>
    <w:p w14:paraId="7FC47754" w14:textId="77777777" w:rsidR="001B7948" w:rsidRPr="002A0C01" w:rsidRDefault="00B2706C" w:rsidP="002A0C01">
      <w:pPr>
        <w:pStyle w:val="BodyBA"/>
        <w:spacing w:after="160" w:line="360" w:lineRule="auto"/>
        <w:jc w:val="both"/>
      </w:pPr>
      <w:r w:rsidRPr="002A0C01">
        <w:rPr>
          <w:rStyle w:val="None"/>
        </w:rPr>
        <w:t xml:space="preserve">Omar Al Bashir has yet to face trial as he has not responded to the summons or the warrant of arrest issued by the </w:t>
      </w:r>
      <w:r w:rsidRPr="002A0C01">
        <w:rPr>
          <w:rStyle w:val="None"/>
          <w:lang w:val="it-IT"/>
        </w:rPr>
        <w:t>ICC.</w:t>
      </w:r>
      <w:r w:rsidRPr="002A0C01">
        <w:rPr>
          <w:rStyle w:val="None"/>
          <w:vertAlign w:val="superscript"/>
        </w:rPr>
        <w:footnoteReference w:id="219"/>
      </w:r>
      <w:r w:rsidRPr="002A0C01">
        <w:rPr>
          <w:rStyle w:val="None"/>
        </w:rPr>
        <w:t xml:space="preserve"> </w:t>
      </w:r>
    </w:p>
    <w:p w14:paraId="2F22D29E"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47" w:name="_Toc41"/>
      <w:r w:rsidRPr="002A0C01">
        <w:rPr>
          <w:rStyle w:val="None"/>
          <w:rFonts w:ascii="Times New Roman" w:hAnsi="Times New Roman" w:cs="Times New Roman"/>
          <w:lang w:val="de-DE"/>
        </w:rPr>
        <w:t>3.0 THE RATIONALE BEHIND SUDAN</w:t>
      </w:r>
      <w:r w:rsidRPr="002A0C01">
        <w:rPr>
          <w:rStyle w:val="None"/>
          <w:rFonts w:ascii="Times New Roman" w:hAnsi="Times New Roman" w:cs="Times New Roman"/>
        </w:rPr>
        <w:t>’</w:t>
      </w:r>
      <w:r w:rsidRPr="002A0C01">
        <w:rPr>
          <w:rStyle w:val="None"/>
          <w:rFonts w:ascii="Times New Roman" w:hAnsi="Times New Roman" w:cs="Times New Roman"/>
          <w:lang w:val="de-DE"/>
        </w:rPr>
        <w:t>S FAILURE TO COOPERATE WITH THE ICC</w:t>
      </w:r>
      <w:bookmarkEnd w:id="47"/>
    </w:p>
    <w:p w14:paraId="65F6D009" w14:textId="77777777" w:rsidR="001B7948" w:rsidRPr="002A0C01" w:rsidRDefault="00B2706C" w:rsidP="002A0C01">
      <w:pPr>
        <w:pStyle w:val="BodyBA"/>
        <w:spacing w:line="360" w:lineRule="auto"/>
        <w:jc w:val="both"/>
      </w:pPr>
      <w:r w:rsidRPr="002A0C01">
        <w:rPr>
          <w:rStyle w:val="NoneA"/>
        </w:rPr>
        <w:t xml:space="preserve"> </w:t>
      </w:r>
    </w:p>
    <w:p w14:paraId="4897E4E7" w14:textId="77777777" w:rsidR="001B7948" w:rsidRPr="002A0C01" w:rsidRDefault="00B2706C" w:rsidP="002A0C01">
      <w:pPr>
        <w:pStyle w:val="BodyBA"/>
        <w:spacing w:line="360" w:lineRule="auto"/>
        <w:jc w:val="both"/>
        <w:rPr>
          <w:rStyle w:val="NoneA"/>
        </w:rPr>
      </w:pPr>
      <w:r w:rsidRPr="002A0C01">
        <w:rPr>
          <w:rStyle w:val="NoneA"/>
        </w:rPr>
        <w:t>In the Situation in Sudan, hesitation to cooperate with the ICC was showcased in various instances. The billboards in Khartoum were filled with phrases such as ‘Protect the International Law from Ocampo’s illusions’, ‘Ocampo’s plot: A malicious move in the siege’ and ‘No for the oppression of people under the name of international law!’</w:t>
      </w:r>
      <w:r w:rsidRPr="002A0C01">
        <w:rPr>
          <w:rStyle w:val="None"/>
          <w:vertAlign w:val="superscript"/>
        </w:rPr>
        <w:footnoteReference w:id="220"/>
      </w:r>
      <w:r w:rsidRPr="002A0C01">
        <w:rPr>
          <w:rStyle w:val="NoneA"/>
        </w:rPr>
        <w:t xml:space="preserve"> Sudan’s Minister of State for Humanitarian Affairs rejected the complementarity principle recognised in the Rome Statute, </w:t>
      </w:r>
      <w:r w:rsidRPr="002A0C01">
        <w:rPr>
          <w:rStyle w:val="None"/>
          <w:vertAlign w:val="superscript"/>
        </w:rPr>
        <w:footnoteReference w:id="221"/>
      </w:r>
      <w:r w:rsidRPr="002A0C01">
        <w:rPr>
          <w:rStyle w:val="NoneA"/>
        </w:rPr>
        <w:t>whilst Sudan’s Ambassador to the UN challenged the existence of the ICC to Sudan.</w:t>
      </w:r>
      <w:r w:rsidRPr="002A0C01">
        <w:rPr>
          <w:rStyle w:val="None"/>
          <w:vertAlign w:val="superscript"/>
        </w:rPr>
        <w:footnoteReference w:id="222"/>
      </w:r>
    </w:p>
    <w:p w14:paraId="06354086" w14:textId="77777777" w:rsidR="001B7948" w:rsidRPr="002A0C01" w:rsidRDefault="00B2706C" w:rsidP="002A0C01">
      <w:pPr>
        <w:pStyle w:val="BodyBA"/>
        <w:spacing w:line="360" w:lineRule="auto"/>
        <w:jc w:val="both"/>
        <w:rPr>
          <w:rStyle w:val="NoneA"/>
        </w:rPr>
      </w:pPr>
      <w:r w:rsidRPr="002A0C01">
        <w:rPr>
          <w:rStyle w:val="NoneA"/>
        </w:rPr>
        <w:lastRenderedPageBreak/>
        <w:t>The referral of the situation to the ICC by the UN was also rejected.</w:t>
      </w:r>
      <w:r w:rsidRPr="002A0C01">
        <w:rPr>
          <w:rStyle w:val="None"/>
          <w:vertAlign w:val="superscript"/>
        </w:rPr>
        <w:footnoteReference w:id="223"/>
      </w:r>
      <w:r w:rsidRPr="002A0C01">
        <w:rPr>
          <w:rStyle w:val="NoneA"/>
        </w:rPr>
        <w:t xml:space="preserve"> Sudan neglected to assist in the Prosecutor’s investigations and also decided against complying with the arrest warrant issued for Omar Al Bashir by the ICC.</w:t>
      </w:r>
      <w:r w:rsidRPr="002A0C01">
        <w:rPr>
          <w:rStyle w:val="None"/>
          <w:vertAlign w:val="superscript"/>
        </w:rPr>
        <w:footnoteReference w:id="224"/>
      </w:r>
      <w:r w:rsidRPr="002A0C01">
        <w:rPr>
          <w:rStyle w:val="NoneA"/>
        </w:rPr>
        <w:t xml:space="preserve"> The Interior Minister of Sudan went as far as proclaiming that he would murder those who arrested a Sudanese official for the purposes of handing him over to international justice.</w:t>
      </w:r>
      <w:r w:rsidRPr="002A0C01">
        <w:rPr>
          <w:rStyle w:val="None"/>
          <w:vertAlign w:val="superscript"/>
        </w:rPr>
        <w:footnoteReference w:id="225"/>
      </w:r>
    </w:p>
    <w:p w14:paraId="43F8F68C" w14:textId="77777777" w:rsidR="001B7948" w:rsidRPr="002A0C01" w:rsidRDefault="00B2706C" w:rsidP="002A0C01">
      <w:pPr>
        <w:pStyle w:val="BodyBA"/>
        <w:spacing w:line="360" w:lineRule="auto"/>
        <w:jc w:val="both"/>
      </w:pPr>
      <w:r w:rsidRPr="002A0C01">
        <w:rPr>
          <w:rStyle w:val="NoneA"/>
        </w:rPr>
        <w:t>Sudan furthermore, sought the intervention of the AU who also took a stand against the indictment of Omar Al Bashir.</w:t>
      </w:r>
      <w:r w:rsidRPr="002A0C01">
        <w:rPr>
          <w:rStyle w:val="None"/>
          <w:vertAlign w:val="superscript"/>
        </w:rPr>
        <w:footnoteReference w:id="226"/>
      </w:r>
      <w:r w:rsidRPr="002A0C01">
        <w:rPr>
          <w:rStyle w:val="NoneA"/>
        </w:rPr>
        <w:t xml:space="preserve"> Accordingly, the AU, in 2009, passed a resolution proclaiming that: </w:t>
      </w:r>
    </w:p>
    <w:p w14:paraId="41173698" w14:textId="32E908FF" w:rsidR="001B7948" w:rsidRPr="002A0C01" w:rsidRDefault="002A0C01" w:rsidP="002A0C01">
      <w:pPr>
        <w:pStyle w:val="BodyBA"/>
        <w:spacing w:line="360" w:lineRule="auto"/>
        <w:ind w:left="720"/>
        <w:jc w:val="both"/>
        <w:rPr>
          <w:rStyle w:val="None"/>
          <w:sz w:val="22"/>
          <w:szCs w:val="22"/>
        </w:rPr>
      </w:pPr>
      <w:r>
        <w:rPr>
          <w:rStyle w:val="None"/>
          <w:sz w:val="22"/>
          <w:szCs w:val="22"/>
        </w:rPr>
        <w:t>T</w:t>
      </w:r>
      <w:r w:rsidR="00B2706C" w:rsidRPr="002A0C01">
        <w:rPr>
          <w:rStyle w:val="None"/>
          <w:sz w:val="22"/>
          <w:szCs w:val="22"/>
        </w:rPr>
        <w:t>he AU member states shall not co-operate pursuant to the provisions of article 98 of the Rome Statute of the ICC relating to immunities, for the arrest and surrender of President Omar El Bashir of The Sudan.</w:t>
      </w:r>
      <w:r w:rsidR="00B2706C" w:rsidRPr="002A0C01">
        <w:rPr>
          <w:rStyle w:val="None"/>
          <w:sz w:val="22"/>
          <w:szCs w:val="22"/>
          <w:vertAlign w:val="superscript"/>
        </w:rPr>
        <w:footnoteReference w:id="227"/>
      </w:r>
    </w:p>
    <w:p w14:paraId="329647FA" w14:textId="77777777" w:rsidR="001B7948" w:rsidRPr="002A0C01" w:rsidRDefault="00B2706C" w:rsidP="002A0C01">
      <w:pPr>
        <w:pStyle w:val="BodyBA"/>
        <w:spacing w:line="360" w:lineRule="auto"/>
        <w:jc w:val="both"/>
      </w:pPr>
      <w:r w:rsidRPr="002A0C01">
        <w:rPr>
          <w:rStyle w:val="NoneA"/>
        </w:rPr>
        <w:t xml:space="preserve">The AU based their stance on Article 98(2) of the Rome Statute, which provides that: </w:t>
      </w:r>
    </w:p>
    <w:p w14:paraId="4A5404BB" w14:textId="77777777" w:rsidR="001B7948" w:rsidRPr="002A0C01" w:rsidRDefault="00B2706C" w:rsidP="002A0C01">
      <w:pPr>
        <w:pStyle w:val="BodyBA"/>
        <w:spacing w:line="360" w:lineRule="auto"/>
        <w:ind w:left="785"/>
        <w:jc w:val="both"/>
        <w:rPr>
          <w:rStyle w:val="None"/>
          <w:sz w:val="22"/>
          <w:szCs w:val="22"/>
        </w:rPr>
      </w:pPr>
      <w:r w:rsidRPr="002A0C01">
        <w:rPr>
          <w:rStyle w:val="None"/>
          <w:sz w:val="22"/>
          <w:szCs w:val="22"/>
        </w:rPr>
        <w:t>The Court may not proceed with a request for surrender which would require the requested State to act inconsistently with its obligations under international agreements pursuant to which the consent of a sending State is required to surrender a person of that State to the Court, unless the Court can first obtain the cooperation of the sending State for the giving of consent for the surrender.</w:t>
      </w:r>
      <w:r w:rsidRPr="002A0C01">
        <w:rPr>
          <w:rStyle w:val="None"/>
          <w:sz w:val="22"/>
          <w:szCs w:val="22"/>
          <w:vertAlign w:val="superscript"/>
        </w:rPr>
        <w:footnoteReference w:id="228"/>
      </w:r>
      <w:r w:rsidRPr="002A0C01">
        <w:rPr>
          <w:rStyle w:val="None"/>
          <w:sz w:val="22"/>
          <w:szCs w:val="22"/>
        </w:rPr>
        <w:t xml:space="preserve"> </w:t>
      </w:r>
    </w:p>
    <w:p w14:paraId="14465BA5" w14:textId="77777777" w:rsidR="001B7948" w:rsidRPr="002A0C01" w:rsidRDefault="00B2706C" w:rsidP="002A0C01">
      <w:pPr>
        <w:pStyle w:val="BodyBA"/>
        <w:spacing w:line="360" w:lineRule="auto"/>
        <w:jc w:val="both"/>
      </w:pPr>
      <w:r w:rsidRPr="002A0C01">
        <w:rPr>
          <w:rStyle w:val="NoneA"/>
        </w:rPr>
        <w:t>To the AU, Omar Al Bashir enjoyed sovereign immunity (due to his presidential status) and thus could not be surrendered to the ICC without Sudan’s consent.</w:t>
      </w:r>
      <w:r w:rsidRPr="002A0C01">
        <w:rPr>
          <w:rStyle w:val="None"/>
          <w:vertAlign w:val="superscript"/>
        </w:rPr>
        <w:footnoteReference w:id="229"/>
      </w:r>
      <w:r w:rsidRPr="002A0C01">
        <w:rPr>
          <w:rStyle w:val="NoneA"/>
        </w:rPr>
        <w:t xml:space="preserve"> The AU issued further directives in pursuance of the withdrawal of member States from the ICC.</w:t>
      </w:r>
      <w:r w:rsidRPr="002A0C01">
        <w:rPr>
          <w:rStyle w:val="None"/>
          <w:vertAlign w:val="superscript"/>
        </w:rPr>
        <w:footnoteReference w:id="230"/>
      </w:r>
      <w:r w:rsidRPr="002A0C01">
        <w:rPr>
          <w:rStyle w:val="NoneA"/>
        </w:rPr>
        <w:t xml:space="preserve"> There were however some member States such as Malawi that have declared their unwillingness to adhere to the AU’s directives.</w:t>
      </w:r>
      <w:r w:rsidRPr="002A0C01">
        <w:rPr>
          <w:rStyle w:val="None"/>
          <w:vertAlign w:val="superscript"/>
        </w:rPr>
        <w:footnoteReference w:id="231"/>
      </w:r>
      <w:r w:rsidRPr="002A0C01">
        <w:rPr>
          <w:rStyle w:val="NoneA"/>
        </w:rPr>
        <w:t xml:space="preserve"> </w:t>
      </w:r>
    </w:p>
    <w:p w14:paraId="6A367705" w14:textId="77777777" w:rsidR="001B7948" w:rsidRPr="002A0C01" w:rsidRDefault="00B2706C" w:rsidP="002A0C01">
      <w:pPr>
        <w:pStyle w:val="BodyBA"/>
        <w:spacing w:line="360" w:lineRule="auto"/>
        <w:jc w:val="both"/>
      </w:pPr>
      <w:r w:rsidRPr="002A0C01">
        <w:rPr>
          <w:rStyle w:val="NoneA"/>
        </w:rPr>
        <w:lastRenderedPageBreak/>
        <w:t>Thus far, the ICC has acknowledged the disinclination of the Sudanese Government to cooperate with it.</w:t>
      </w:r>
      <w:r w:rsidRPr="002A0C01">
        <w:rPr>
          <w:rStyle w:val="None"/>
          <w:vertAlign w:val="superscript"/>
        </w:rPr>
        <w:footnoteReference w:id="232"/>
      </w:r>
      <w:r w:rsidRPr="002A0C01">
        <w:rPr>
          <w:rStyle w:val="NoneA"/>
        </w:rPr>
        <w:t xml:space="preserve">  In an effort to combat this, the Prosecutor has undertaken more assertive means to obtain Sudan’s cooperation including seeking the international community’s assistance.</w:t>
      </w:r>
      <w:r w:rsidRPr="002A0C01">
        <w:rPr>
          <w:rStyle w:val="None"/>
          <w:vertAlign w:val="superscript"/>
        </w:rPr>
        <w:footnoteReference w:id="233"/>
      </w:r>
      <w:r w:rsidRPr="002A0C01">
        <w:rPr>
          <w:rStyle w:val="NoneA"/>
        </w:rPr>
        <w:t xml:space="preserve"> Despite this, Omar Al Bashir has yet to be surrendered to the ICC, his whereabouts remain unknown.</w:t>
      </w:r>
      <w:r w:rsidRPr="002A0C01">
        <w:rPr>
          <w:rStyle w:val="None"/>
          <w:vertAlign w:val="superscript"/>
        </w:rPr>
        <w:footnoteReference w:id="234"/>
      </w:r>
    </w:p>
    <w:p w14:paraId="4680EFDB" w14:textId="77777777" w:rsidR="001B7948" w:rsidRPr="002A0C01" w:rsidRDefault="00B2706C" w:rsidP="002A0C01">
      <w:pPr>
        <w:pStyle w:val="BodyBA"/>
        <w:spacing w:line="360" w:lineRule="auto"/>
        <w:jc w:val="both"/>
        <w:rPr>
          <w:rStyle w:val="NoneA"/>
        </w:rPr>
      </w:pPr>
      <w:r w:rsidRPr="002A0C01">
        <w:rPr>
          <w:rStyle w:val="NoneA"/>
        </w:rPr>
        <w:t>It has been posited that the AU’s lack of cooperation with the ICC stems down to the belief that the ICC is biased against Africa.</w:t>
      </w:r>
      <w:r w:rsidRPr="002A0C01">
        <w:rPr>
          <w:rStyle w:val="None"/>
          <w:vertAlign w:val="superscript"/>
        </w:rPr>
        <w:footnoteReference w:id="235"/>
      </w:r>
      <w:r w:rsidRPr="002A0C01">
        <w:rPr>
          <w:rStyle w:val="NoneA"/>
        </w:rPr>
        <w:t xml:space="preserve"> This belief is hinged on the fact that only African Situations had been referred to the ICC, the Security Council and the Prosecutor.</w:t>
      </w:r>
      <w:r w:rsidRPr="002A0C01">
        <w:rPr>
          <w:rStyle w:val="None"/>
          <w:vertAlign w:val="superscript"/>
        </w:rPr>
        <w:footnoteReference w:id="236"/>
      </w:r>
      <w:r w:rsidRPr="002A0C01">
        <w:rPr>
          <w:rStyle w:val="NoneA"/>
        </w:rPr>
        <w:t xml:space="preserve"> Sudan on the other hand, went against the ICC’s wishes due to Omar Al Bashir’s position in the Government.</w:t>
      </w:r>
      <w:r w:rsidRPr="002A0C01">
        <w:rPr>
          <w:rStyle w:val="None"/>
          <w:vertAlign w:val="superscript"/>
        </w:rPr>
        <w:footnoteReference w:id="237"/>
      </w:r>
      <w:r w:rsidRPr="002A0C01">
        <w:rPr>
          <w:rStyle w:val="NoneA"/>
        </w:rPr>
        <w:t xml:space="preserve"> As the head of State, the Sudanese Government was not keen on sanctioning his prosecution by the ICC.</w:t>
      </w:r>
      <w:r w:rsidRPr="002A0C01">
        <w:rPr>
          <w:rStyle w:val="None"/>
          <w:vertAlign w:val="superscript"/>
        </w:rPr>
        <w:footnoteReference w:id="238"/>
      </w:r>
      <w:r w:rsidRPr="002A0C01">
        <w:rPr>
          <w:rStyle w:val="NoneA"/>
        </w:rPr>
        <w:t xml:space="preserve"> </w:t>
      </w:r>
    </w:p>
    <w:p w14:paraId="5B7E73C2" w14:textId="77777777" w:rsidR="001B7948" w:rsidRPr="002A0C01" w:rsidRDefault="00B2706C" w:rsidP="002A0C01">
      <w:pPr>
        <w:pStyle w:val="BodyBA"/>
        <w:spacing w:line="360" w:lineRule="auto"/>
        <w:jc w:val="both"/>
      </w:pPr>
      <w:r w:rsidRPr="002A0C01">
        <w:rPr>
          <w:rStyle w:val="NoneA"/>
        </w:rPr>
        <w:t xml:space="preserve">Having identified the motives behind Sudan’s actions where do these actions fit in Glaser’s categorisation? </w:t>
      </w:r>
    </w:p>
    <w:p w14:paraId="1D2BB318" w14:textId="77777777" w:rsidR="001B7948" w:rsidRPr="002A0C01" w:rsidRDefault="00B2706C" w:rsidP="002A0C01">
      <w:pPr>
        <w:pStyle w:val="BodyBA"/>
        <w:spacing w:line="360" w:lineRule="auto"/>
        <w:jc w:val="both"/>
        <w:rPr>
          <w:rStyle w:val="NoneA"/>
        </w:rPr>
      </w:pPr>
      <w:r w:rsidRPr="002A0C01">
        <w:rPr>
          <w:rStyle w:val="None"/>
        </w:rPr>
        <w:t>Charles Glaser poses a new theory to explain the motivations behind a State’</w:t>
      </w:r>
      <w:r w:rsidRPr="002A0C01">
        <w:rPr>
          <w:rStyle w:val="None"/>
          <w:lang w:val="fr-FR"/>
        </w:rPr>
        <w:t>s actions.</w:t>
      </w:r>
      <w:r w:rsidRPr="002A0C01">
        <w:rPr>
          <w:rStyle w:val="None"/>
          <w:vertAlign w:val="superscript"/>
        </w:rPr>
        <w:footnoteReference w:id="239"/>
      </w:r>
      <w:r w:rsidRPr="002A0C01">
        <w:rPr>
          <w:rStyle w:val="None"/>
        </w:rPr>
        <w:t xml:space="preserve"> The rational theory of international politics identifies three kinds of variables that influence a State's strategy: one, the State's motives, specifically whether it is motivated by security concerns or "greed"; two, material variables, which determine its military capabilities; and three, information variables, what the State knows about its adversary's motives.</w:t>
      </w:r>
      <w:r w:rsidRPr="002A0C01">
        <w:rPr>
          <w:rStyle w:val="None"/>
          <w:vertAlign w:val="superscript"/>
        </w:rPr>
        <w:footnoteReference w:id="240"/>
      </w:r>
      <w:r w:rsidRPr="002A0C01">
        <w:rPr>
          <w:rStyle w:val="None"/>
        </w:rPr>
        <w:t xml:space="preserve"> These three variables, according to Glaser, are factors contemplated by States when considering an action to take.</w:t>
      </w:r>
      <w:r w:rsidRPr="002A0C01">
        <w:rPr>
          <w:rStyle w:val="None"/>
          <w:vertAlign w:val="superscript"/>
        </w:rPr>
        <w:footnoteReference w:id="241"/>
      </w:r>
      <w:r w:rsidRPr="002A0C01">
        <w:rPr>
          <w:rStyle w:val="None"/>
        </w:rPr>
        <w:t xml:space="preserve"> </w:t>
      </w:r>
    </w:p>
    <w:p w14:paraId="30825C7D" w14:textId="77777777" w:rsidR="001B7948" w:rsidRPr="002A0C01" w:rsidRDefault="00B2706C" w:rsidP="002A0C01">
      <w:pPr>
        <w:pStyle w:val="BodyBA"/>
        <w:spacing w:line="360" w:lineRule="auto"/>
        <w:jc w:val="both"/>
      </w:pPr>
      <w:r w:rsidRPr="002A0C01">
        <w:rPr>
          <w:rStyle w:val="NoneA"/>
        </w:rPr>
        <w:t xml:space="preserve">It is this paper’s assertion that Sudan failed to cooperate with the ICC due to security concerns. They sought to maintain their heads of States/ the security of its leaders as opposed to expanding </w:t>
      </w:r>
      <w:r w:rsidRPr="002A0C01">
        <w:rPr>
          <w:rStyle w:val="NoneA"/>
        </w:rPr>
        <w:lastRenderedPageBreak/>
        <w:t>wealth, territory or influence. Sudan also failed to cooperate with the ICC due to information variables. The ICC’s intentions/motives were seen to be partial against Africans.</w:t>
      </w:r>
      <w:r w:rsidRPr="002A0C01">
        <w:rPr>
          <w:rStyle w:val="None"/>
          <w:vertAlign w:val="superscript"/>
        </w:rPr>
        <w:footnoteReference w:id="242"/>
      </w:r>
      <w:r w:rsidRPr="002A0C01">
        <w:rPr>
          <w:rStyle w:val="NoneA"/>
        </w:rPr>
        <w:t xml:space="preserve"> Accordingly, with this information, Sudan became more reluctant to cooperate with the ICC.</w:t>
      </w:r>
    </w:p>
    <w:p w14:paraId="1422E6CD" w14:textId="77777777" w:rsidR="001B7948" w:rsidRPr="002A0C01" w:rsidRDefault="00B2706C" w:rsidP="002A0C01">
      <w:pPr>
        <w:pStyle w:val="Heading2"/>
        <w:spacing w:line="360" w:lineRule="auto"/>
        <w:jc w:val="both"/>
        <w:rPr>
          <w:rStyle w:val="None"/>
          <w:rFonts w:ascii="Times New Roman" w:eastAsia="Times New Roman" w:hAnsi="Times New Roman" w:cs="Times New Roman"/>
        </w:rPr>
      </w:pPr>
      <w:bookmarkStart w:id="48" w:name="_Toc42"/>
      <w:r w:rsidRPr="002A0C01">
        <w:rPr>
          <w:rStyle w:val="None"/>
          <w:rFonts w:ascii="Times New Roman" w:hAnsi="Times New Roman" w:cs="Times New Roman"/>
        </w:rPr>
        <w:t>4.0 CONCLUSION</w:t>
      </w:r>
      <w:bookmarkEnd w:id="48"/>
    </w:p>
    <w:p w14:paraId="19FD1394" w14:textId="77777777" w:rsidR="001B7948" w:rsidRPr="002A0C01" w:rsidRDefault="00B2706C" w:rsidP="002A0C01">
      <w:pPr>
        <w:pStyle w:val="BodyBA"/>
        <w:spacing w:line="360" w:lineRule="auto"/>
        <w:jc w:val="both"/>
        <w:rPr>
          <w:rStyle w:val="None"/>
        </w:rPr>
      </w:pPr>
      <w:r w:rsidRPr="002A0C01">
        <w:rPr>
          <w:rStyle w:val="NoneA"/>
        </w:rPr>
        <w:t xml:space="preserve">From the above analysis, it is apparent that African countries neglected to cooperate with the ICC in order to ensure the security of its leaders (security concerns) and due to information variables (perceived prejudice by the ICC). This assertion has been proven through the analyses carried out in Chapters Three and Four on the Situations in Kenya and Sudan. </w:t>
      </w:r>
      <w:r w:rsidRPr="002A0C01">
        <w:rPr>
          <w:rStyle w:val="NoneA"/>
          <w:rFonts w:eastAsia="Arial Unicode MS"/>
        </w:rPr>
        <w:br/>
      </w:r>
    </w:p>
    <w:p w14:paraId="7E0C2AB1" w14:textId="77777777" w:rsidR="008123CA" w:rsidRPr="002A0C01" w:rsidRDefault="008123CA" w:rsidP="002A0C01">
      <w:pPr>
        <w:pStyle w:val="BodyBA"/>
        <w:spacing w:line="360" w:lineRule="auto"/>
        <w:jc w:val="both"/>
        <w:rPr>
          <w:rStyle w:val="None"/>
        </w:rPr>
      </w:pPr>
    </w:p>
    <w:p w14:paraId="33CED04C" w14:textId="77777777" w:rsidR="008123CA" w:rsidRPr="002A0C01" w:rsidRDefault="008123CA" w:rsidP="002A0C01">
      <w:pPr>
        <w:pStyle w:val="BodyBA"/>
        <w:spacing w:line="360" w:lineRule="auto"/>
        <w:jc w:val="both"/>
        <w:rPr>
          <w:rStyle w:val="None"/>
        </w:rPr>
      </w:pPr>
    </w:p>
    <w:p w14:paraId="2019C12A" w14:textId="77777777" w:rsidR="008123CA" w:rsidRPr="002A0C01" w:rsidRDefault="008123CA" w:rsidP="002A0C01">
      <w:pPr>
        <w:pStyle w:val="BodyBA"/>
        <w:spacing w:line="360" w:lineRule="auto"/>
        <w:jc w:val="both"/>
        <w:rPr>
          <w:rStyle w:val="None"/>
        </w:rPr>
      </w:pPr>
    </w:p>
    <w:p w14:paraId="17141BA9" w14:textId="77777777" w:rsidR="008123CA" w:rsidRPr="002A0C01" w:rsidRDefault="008123CA" w:rsidP="002A0C01">
      <w:pPr>
        <w:pStyle w:val="BodyBA"/>
        <w:spacing w:line="360" w:lineRule="auto"/>
        <w:jc w:val="both"/>
        <w:rPr>
          <w:rStyle w:val="None"/>
        </w:rPr>
      </w:pPr>
    </w:p>
    <w:p w14:paraId="7975ED18" w14:textId="77777777" w:rsidR="008123CA" w:rsidRPr="002A0C01" w:rsidRDefault="008123CA" w:rsidP="002A0C01">
      <w:pPr>
        <w:pStyle w:val="BodyBA"/>
        <w:spacing w:line="360" w:lineRule="auto"/>
        <w:jc w:val="both"/>
        <w:rPr>
          <w:rStyle w:val="None"/>
        </w:rPr>
      </w:pPr>
    </w:p>
    <w:p w14:paraId="3C15B598" w14:textId="77777777" w:rsidR="008123CA" w:rsidRPr="002A0C01" w:rsidRDefault="008123CA" w:rsidP="002A0C01">
      <w:pPr>
        <w:pStyle w:val="BodyBA"/>
        <w:spacing w:line="360" w:lineRule="auto"/>
        <w:jc w:val="both"/>
        <w:rPr>
          <w:rStyle w:val="None"/>
        </w:rPr>
      </w:pPr>
    </w:p>
    <w:p w14:paraId="27E45612" w14:textId="77777777" w:rsidR="008123CA" w:rsidRPr="002A0C01" w:rsidRDefault="008123CA" w:rsidP="002A0C01">
      <w:pPr>
        <w:pStyle w:val="BodyBA"/>
        <w:spacing w:line="360" w:lineRule="auto"/>
        <w:jc w:val="both"/>
        <w:rPr>
          <w:rStyle w:val="None"/>
        </w:rPr>
      </w:pPr>
    </w:p>
    <w:p w14:paraId="7DC6BFCF" w14:textId="77777777" w:rsidR="008123CA" w:rsidRPr="002A0C01" w:rsidRDefault="008123CA" w:rsidP="002A0C01">
      <w:pPr>
        <w:pStyle w:val="BodyBA"/>
        <w:spacing w:line="360" w:lineRule="auto"/>
        <w:jc w:val="both"/>
        <w:rPr>
          <w:rStyle w:val="None"/>
        </w:rPr>
      </w:pPr>
    </w:p>
    <w:p w14:paraId="74B5A31C" w14:textId="77777777" w:rsidR="0094199B" w:rsidRPr="002A0C01" w:rsidRDefault="0094199B" w:rsidP="002A0C01">
      <w:pPr>
        <w:pStyle w:val="BodyBA"/>
        <w:spacing w:line="360" w:lineRule="auto"/>
        <w:jc w:val="both"/>
        <w:rPr>
          <w:rStyle w:val="None"/>
        </w:rPr>
      </w:pPr>
    </w:p>
    <w:p w14:paraId="773F69AC" w14:textId="77777777" w:rsidR="0094199B" w:rsidRPr="002A0C01" w:rsidRDefault="0094199B" w:rsidP="002A0C01">
      <w:pPr>
        <w:pStyle w:val="BodyBA"/>
        <w:spacing w:line="360" w:lineRule="auto"/>
        <w:jc w:val="both"/>
        <w:rPr>
          <w:rStyle w:val="None"/>
        </w:rPr>
      </w:pPr>
    </w:p>
    <w:p w14:paraId="56C5D91A" w14:textId="77777777" w:rsidR="0094199B" w:rsidRPr="002A0C01" w:rsidRDefault="0094199B" w:rsidP="002A0C01">
      <w:pPr>
        <w:pStyle w:val="BodyBA"/>
        <w:spacing w:line="360" w:lineRule="auto"/>
        <w:jc w:val="both"/>
        <w:rPr>
          <w:rStyle w:val="None"/>
        </w:rPr>
      </w:pPr>
    </w:p>
    <w:p w14:paraId="7F26B0C1" w14:textId="77777777" w:rsidR="0094199B" w:rsidRPr="002A0C01" w:rsidRDefault="0094199B" w:rsidP="002A0C01">
      <w:pPr>
        <w:pStyle w:val="BodyBA"/>
        <w:spacing w:line="360" w:lineRule="auto"/>
        <w:jc w:val="both"/>
        <w:rPr>
          <w:rStyle w:val="None"/>
        </w:rPr>
      </w:pPr>
    </w:p>
    <w:p w14:paraId="0A57D50D" w14:textId="77777777" w:rsidR="0094199B" w:rsidRPr="002A0C01" w:rsidRDefault="0094199B" w:rsidP="002A0C01">
      <w:pPr>
        <w:pStyle w:val="BodyBA"/>
        <w:spacing w:line="360" w:lineRule="auto"/>
        <w:jc w:val="both"/>
        <w:rPr>
          <w:rStyle w:val="None"/>
        </w:rPr>
      </w:pPr>
    </w:p>
    <w:p w14:paraId="66950DCA" w14:textId="77777777" w:rsidR="0094199B" w:rsidRPr="002A0C01" w:rsidRDefault="0094199B" w:rsidP="002A0C01">
      <w:pPr>
        <w:pStyle w:val="BodyBA"/>
        <w:spacing w:line="360" w:lineRule="auto"/>
        <w:jc w:val="both"/>
        <w:rPr>
          <w:rStyle w:val="None"/>
        </w:rPr>
      </w:pPr>
    </w:p>
    <w:p w14:paraId="7F3EF5D1" w14:textId="77777777" w:rsidR="0094199B" w:rsidRPr="002A0C01" w:rsidRDefault="0094199B" w:rsidP="002A0C01">
      <w:pPr>
        <w:pStyle w:val="BodyBA"/>
        <w:spacing w:line="360" w:lineRule="auto"/>
        <w:jc w:val="both"/>
        <w:rPr>
          <w:rStyle w:val="None"/>
        </w:rPr>
      </w:pPr>
    </w:p>
    <w:p w14:paraId="1CE4C4B9"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49" w:name="_Toc43"/>
      <w:r w:rsidRPr="002A0C01">
        <w:rPr>
          <w:rStyle w:val="None"/>
          <w:rFonts w:ascii="Times New Roman" w:hAnsi="Times New Roman" w:cs="Times New Roman"/>
        </w:rPr>
        <w:lastRenderedPageBreak/>
        <w:t xml:space="preserve">CHAPTER FIVE </w:t>
      </w:r>
      <w:bookmarkEnd w:id="49"/>
    </w:p>
    <w:p w14:paraId="0F5BAA47" w14:textId="77777777" w:rsidR="001B7948" w:rsidRPr="002A0C01" w:rsidRDefault="00B2706C" w:rsidP="002A0C01">
      <w:pPr>
        <w:pStyle w:val="Heading"/>
        <w:spacing w:line="360" w:lineRule="auto"/>
        <w:jc w:val="both"/>
        <w:rPr>
          <w:rStyle w:val="None"/>
          <w:rFonts w:ascii="Times New Roman" w:eastAsia="Times New Roman" w:hAnsi="Times New Roman" w:cs="Times New Roman"/>
        </w:rPr>
      </w:pPr>
      <w:bookmarkStart w:id="50" w:name="_Toc44"/>
      <w:r w:rsidRPr="002A0C01">
        <w:rPr>
          <w:rStyle w:val="None"/>
          <w:rFonts w:ascii="Times New Roman" w:hAnsi="Times New Roman" w:cs="Times New Roman"/>
          <w:lang w:val="en-GB"/>
        </w:rPr>
        <w:t>CONCLUSION</w:t>
      </w:r>
      <w:r w:rsidRPr="002A0C01">
        <w:rPr>
          <w:rStyle w:val="None"/>
          <w:rFonts w:ascii="Times New Roman" w:hAnsi="Times New Roman" w:cs="Times New Roman"/>
        </w:rPr>
        <w:t xml:space="preserve"> AND RECOMMENDATIONS</w:t>
      </w:r>
      <w:bookmarkEnd w:id="50"/>
    </w:p>
    <w:p w14:paraId="4AA01AB1" w14:textId="77777777" w:rsidR="001B7948" w:rsidRPr="002A0C01" w:rsidRDefault="00B2706C" w:rsidP="002A0C01">
      <w:pPr>
        <w:pStyle w:val="Heading2"/>
        <w:spacing w:line="360" w:lineRule="auto"/>
        <w:jc w:val="both"/>
        <w:rPr>
          <w:rStyle w:val="None"/>
          <w:rFonts w:ascii="Times New Roman" w:eastAsia="Times New Roman" w:hAnsi="Times New Roman" w:cs="Times New Roman"/>
          <w:sz w:val="24"/>
          <w:szCs w:val="24"/>
        </w:rPr>
      </w:pPr>
      <w:bookmarkStart w:id="51" w:name="_Toc45"/>
      <w:r w:rsidRPr="002A0C01">
        <w:rPr>
          <w:rStyle w:val="None"/>
          <w:rFonts w:ascii="Times New Roman" w:hAnsi="Times New Roman" w:cs="Times New Roman"/>
        </w:rPr>
        <w:t xml:space="preserve">1.0 </w:t>
      </w:r>
      <w:r w:rsidRPr="002A0C01">
        <w:rPr>
          <w:rStyle w:val="None"/>
          <w:rFonts w:ascii="Times New Roman" w:hAnsi="Times New Roman" w:cs="Times New Roman"/>
          <w:sz w:val="24"/>
          <w:szCs w:val="24"/>
          <w:lang w:val="de-DE"/>
        </w:rPr>
        <w:t xml:space="preserve">INTRODUCTION </w:t>
      </w:r>
      <w:bookmarkEnd w:id="51"/>
    </w:p>
    <w:p w14:paraId="7B2CDB47"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 xml:space="preserve">At the onset, this paper analysed the cooperation regime set out in the ICC’s Rome Statute, with a view of understanding how effective the ICC is in dealing with persons accused of crimes under the Rome Statute. Seeing as most of the disputes dealt with by the ICC have arisen from Africa, the paper used the examples of Kenya and Sudan as case studies for this research. </w:t>
      </w:r>
    </w:p>
    <w:p w14:paraId="02E530FA"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 xml:space="preserve">Through the Situations in Kenya and Sudan, it was transparent that the ICC had not been successful in the prosecution of the accused in the respective countries.  The failure of the ICC to prosecute the accused stemmed from the neglect of Kenya and Sudan to cooperate with the ICC. </w:t>
      </w:r>
    </w:p>
    <w:p w14:paraId="2D9495CD"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 xml:space="preserve">This paper thus sought to scrutinise the basis of Kenya and Sudan’s actions, with regards to their omission in cooperating with the ICC. In order to examine Kenya and Sudan’s rationale, the paper used the rational theory of international politics, established by Charles Glaser. </w:t>
      </w:r>
    </w:p>
    <w:p w14:paraId="3843AF0B" w14:textId="77777777" w:rsidR="001B7948" w:rsidRPr="002A0C01" w:rsidRDefault="00B2706C" w:rsidP="002A0C01">
      <w:pPr>
        <w:pStyle w:val="BodyBA"/>
        <w:spacing w:line="360" w:lineRule="auto"/>
        <w:jc w:val="both"/>
      </w:pPr>
      <w:r w:rsidRPr="002A0C01">
        <w:rPr>
          <w:rStyle w:val="NoneA"/>
        </w:rPr>
        <w:t>This Chapter now seeks to summarise the information gathered from all the Chapters. Ways through which the research questions have been answered and the hypotheses tested, will then be demonstrated. Finally, recommendations will be made to combat the issue of State non-cooperation with the ICC.</w:t>
      </w:r>
    </w:p>
    <w:p w14:paraId="179F141D" w14:textId="77777777" w:rsidR="001B7948" w:rsidRPr="002A0C01" w:rsidRDefault="00B2706C" w:rsidP="002A0C01">
      <w:pPr>
        <w:pStyle w:val="Heading2"/>
        <w:spacing w:line="360" w:lineRule="auto"/>
        <w:jc w:val="both"/>
        <w:rPr>
          <w:rStyle w:val="None"/>
          <w:rFonts w:ascii="Times New Roman" w:eastAsia="Times New Roman" w:hAnsi="Times New Roman" w:cs="Times New Roman"/>
          <w:sz w:val="24"/>
          <w:szCs w:val="24"/>
        </w:rPr>
      </w:pPr>
      <w:bookmarkStart w:id="52" w:name="_Toc46"/>
      <w:r w:rsidRPr="002A0C01">
        <w:rPr>
          <w:rStyle w:val="None"/>
          <w:rFonts w:ascii="Times New Roman" w:hAnsi="Times New Roman" w:cs="Times New Roman"/>
          <w:sz w:val="24"/>
          <w:szCs w:val="24"/>
        </w:rPr>
        <w:t>2.0 CONCLUSION</w:t>
      </w:r>
      <w:bookmarkEnd w:id="52"/>
    </w:p>
    <w:p w14:paraId="4CD34B37"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This research was guided by three research questions. The first was, what are the various provisions relating to State cooperation according to the Rome Statute? Second, why did Kenya and Sudan fail to cooperate with the ICC? And third, can the reasons or motives behind Kenya and Sudan’s failure to cooperate with the ICC be reduced to three main variables, that is; security concerns or greed, material variables and information variables?</w:t>
      </w:r>
    </w:p>
    <w:p w14:paraId="60F95D09"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In addition, the study sought to test two hypotheses, first, that the reasons or motives behind a State Party’s failure to cooperate with the ICC can be reduced to three – security concerns or greed, material variables and information variables and second, Kenya and Sudan failed to cooperate with the ICC based on security concerns and information variables.</w:t>
      </w:r>
    </w:p>
    <w:p w14:paraId="303516AF" w14:textId="63E07641"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 xml:space="preserve">In order to respond to the first research question, the paper provided for the various methods through which a State is required to cooperate with the ICC, according to the Rome Statute. This includes assisting the ICC in the arrest and surrender of accused persons, investigation and </w:t>
      </w:r>
      <w:r w:rsidRPr="002A0C01">
        <w:rPr>
          <w:rStyle w:val="None"/>
          <w:rFonts w:cs="Times New Roman"/>
          <w:sz w:val="24"/>
          <w:szCs w:val="24"/>
        </w:rPr>
        <w:lastRenderedPageBreak/>
        <w:t>evidence gathering and witness protection. Cases were also presented in order to display the application of the cooperation specifications in the Rome Statute. In so doing, the paper established that member States fail to adhere to the provisions of the Rome Statute, which res</w:t>
      </w:r>
      <w:r w:rsidR="002A0C01">
        <w:rPr>
          <w:rStyle w:val="None"/>
          <w:rFonts w:cs="Times New Roman"/>
          <w:sz w:val="24"/>
          <w:szCs w:val="24"/>
        </w:rPr>
        <w:t>ults in non-cooperation with</w:t>
      </w:r>
      <w:r w:rsidRPr="002A0C01">
        <w:rPr>
          <w:rStyle w:val="None"/>
          <w:rFonts w:cs="Times New Roman"/>
          <w:sz w:val="24"/>
          <w:szCs w:val="24"/>
        </w:rPr>
        <w:t xml:space="preserve"> the ICC. This was exhibited in Kenya’s failure to protect key ICC witnesses, contrary to the Rome Statute and the delays in handing over </w:t>
      </w:r>
      <w:r w:rsidR="002A0C01">
        <w:rPr>
          <w:rStyle w:val="None"/>
          <w:rFonts w:cs="Times New Roman"/>
          <w:sz w:val="24"/>
          <w:szCs w:val="24"/>
        </w:rPr>
        <w:t xml:space="preserve">evidence to the ICC. Sudan also </w:t>
      </w:r>
      <w:r w:rsidRPr="002A0C01">
        <w:rPr>
          <w:rStyle w:val="None"/>
          <w:rFonts w:cs="Times New Roman"/>
          <w:sz w:val="24"/>
          <w:szCs w:val="24"/>
        </w:rPr>
        <w:t>neglected to hand over Bashir (the accused) to the ICC, despite the arrest warrants that had been issued for him.</w:t>
      </w:r>
    </w:p>
    <w:p w14:paraId="7FB3FE87"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 xml:space="preserve">The paper thus sought to answer the second research question by providing the rationale behind Kenya and Sudan’s neglect to liaise with the ICC. Based on extensive research, it was determined that Kenya and Sudan failed to cooperate with the ICC due to the accused persons’ presidential status in their respective countries and due to the perceived bias of the ICC against Africa. In an effort to maintain their Heads of State, Kenya and Sudan neglected to cooperate with the ICC. </w:t>
      </w:r>
    </w:p>
    <w:p w14:paraId="373881C5" w14:textId="77777777"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These reasons were then categorised using Charles Glaser’s theory, in order to prove that States actions are mainly motivated by the variables identified in the rational theory of international politics. This classification directly responded to the third research question and substantiated the second hypothesis, by showcasing the reduction of Kenya and Sudan’s motives to three elements, that is, security concerns or greed, material variables and information variables.</w:t>
      </w:r>
    </w:p>
    <w:p w14:paraId="0DD73ECE" w14:textId="3CB27E60" w:rsidR="001B7948"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Kenya and Sudan</w:t>
      </w:r>
      <w:r w:rsidR="002A0C01">
        <w:rPr>
          <w:rStyle w:val="None"/>
          <w:rFonts w:cs="Times New Roman"/>
          <w:sz w:val="24"/>
          <w:szCs w:val="24"/>
        </w:rPr>
        <w:t>’</w:t>
      </w:r>
      <w:r w:rsidRPr="002A0C01">
        <w:rPr>
          <w:rStyle w:val="None"/>
          <w:rFonts w:cs="Times New Roman"/>
          <w:sz w:val="24"/>
          <w:szCs w:val="24"/>
        </w:rPr>
        <w:t>s concern for the security of its leaders can be grouped under security concerns whereas the perceived bias of the ICC against Africa can be categorised under</w:t>
      </w:r>
      <w:r w:rsidRPr="002A0C01">
        <w:rPr>
          <w:rFonts w:cs="Times New Roman"/>
        </w:rPr>
        <w:t xml:space="preserve"> </w:t>
      </w:r>
      <w:r w:rsidRPr="002A0C01">
        <w:rPr>
          <w:rStyle w:val="None"/>
          <w:rFonts w:cs="Times New Roman"/>
          <w:sz w:val="24"/>
          <w:szCs w:val="24"/>
        </w:rPr>
        <w:t xml:space="preserve">information variables. This supports the last hypothesis. </w:t>
      </w:r>
    </w:p>
    <w:p w14:paraId="15912F51" w14:textId="6EC427CC" w:rsidR="001B7948" w:rsidRPr="002A0C01" w:rsidRDefault="002A0C01" w:rsidP="002A0C01">
      <w:pPr>
        <w:pStyle w:val="WordDefaultStyleA"/>
        <w:spacing w:line="360" w:lineRule="auto"/>
        <w:jc w:val="both"/>
        <w:rPr>
          <w:rStyle w:val="None"/>
          <w:rFonts w:cs="Times New Roman"/>
          <w:sz w:val="24"/>
          <w:szCs w:val="24"/>
        </w:rPr>
      </w:pPr>
      <w:r w:rsidRPr="002A0C01">
        <w:rPr>
          <w:rStyle w:val="None"/>
          <w:rFonts w:cs="Times New Roman"/>
          <w:sz w:val="24"/>
          <w:szCs w:val="24"/>
          <w:lang w:val="en-GB"/>
        </w:rPr>
        <w:t>Categorisation</w:t>
      </w:r>
      <w:r>
        <w:rPr>
          <w:rStyle w:val="None"/>
          <w:rFonts w:cs="Times New Roman"/>
          <w:sz w:val="24"/>
          <w:szCs w:val="24"/>
        </w:rPr>
        <w:t xml:space="preserve"> of State</w:t>
      </w:r>
      <w:r w:rsidR="00B2706C" w:rsidRPr="002A0C01">
        <w:rPr>
          <w:rStyle w:val="None"/>
          <w:rFonts w:cs="Times New Roman"/>
          <w:sz w:val="24"/>
          <w:szCs w:val="24"/>
        </w:rPr>
        <w:t xml:space="preserve"> actions through Glaser’s theory provides a recourse to the ICC. It enables predictability of States actions since they can only be reduced to three factors.  The ICC can thus determine ways to respond to actions prompted by the three variables. The recommendations below, aid the ICC in the above by setting out actions to take when a member State is motivated by information variables or security concerns.</w:t>
      </w:r>
    </w:p>
    <w:p w14:paraId="7DD0FF07" w14:textId="77777777" w:rsidR="001B7948" w:rsidRPr="002A0C01" w:rsidRDefault="00B2706C" w:rsidP="002A0C01">
      <w:pPr>
        <w:pStyle w:val="Heading2"/>
        <w:spacing w:line="360" w:lineRule="auto"/>
        <w:jc w:val="both"/>
        <w:rPr>
          <w:rStyle w:val="None"/>
          <w:rFonts w:ascii="Times New Roman" w:eastAsia="Times New Roman" w:hAnsi="Times New Roman" w:cs="Times New Roman"/>
          <w:sz w:val="24"/>
          <w:szCs w:val="24"/>
        </w:rPr>
      </w:pPr>
      <w:bookmarkStart w:id="53" w:name="_Toc47"/>
      <w:r w:rsidRPr="002A0C01">
        <w:rPr>
          <w:rStyle w:val="None"/>
          <w:rFonts w:ascii="Times New Roman" w:hAnsi="Times New Roman" w:cs="Times New Roman"/>
          <w:sz w:val="24"/>
          <w:szCs w:val="24"/>
          <w:lang w:val="de-DE"/>
        </w:rPr>
        <w:t>3.0 RECOMMENDATIONS</w:t>
      </w:r>
      <w:bookmarkEnd w:id="53"/>
    </w:p>
    <w:p w14:paraId="55D4B01E" w14:textId="77777777" w:rsidR="00940D9A" w:rsidRPr="002A0C01" w:rsidRDefault="00B2706C" w:rsidP="002A0C01">
      <w:pPr>
        <w:pStyle w:val="WordDefaultStyleA"/>
        <w:spacing w:line="360" w:lineRule="auto"/>
        <w:jc w:val="both"/>
        <w:rPr>
          <w:rStyle w:val="None"/>
          <w:rFonts w:cs="Times New Roman"/>
          <w:sz w:val="24"/>
          <w:szCs w:val="24"/>
        </w:rPr>
      </w:pPr>
      <w:r w:rsidRPr="002A0C01">
        <w:rPr>
          <w:rStyle w:val="None"/>
          <w:rFonts w:cs="Times New Roman"/>
          <w:sz w:val="24"/>
          <w:szCs w:val="24"/>
        </w:rPr>
        <w:t>Having established that African countries (based on Kenya and Sudan) fail to cooperate with the ICC due to security concerns and information variables, how then can the ICC combat this issue in order to ensure cooperation? The following recommendations are made to combat the issue above:</w:t>
      </w:r>
    </w:p>
    <w:p w14:paraId="5B756369" w14:textId="77777777" w:rsidR="001B7948" w:rsidRPr="002A0C01" w:rsidRDefault="00B2706C" w:rsidP="002A0C01">
      <w:pPr>
        <w:pStyle w:val="WordDefaultStyleA"/>
        <w:numPr>
          <w:ilvl w:val="1"/>
          <w:numId w:val="22"/>
        </w:numPr>
        <w:spacing w:line="360" w:lineRule="auto"/>
        <w:jc w:val="both"/>
        <w:rPr>
          <w:rStyle w:val="None"/>
          <w:rFonts w:cs="Times New Roman"/>
          <w:sz w:val="24"/>
          <w:szCs w:val="24"/>
        </w:rPr>
      </w:pPr>
      <w:r w:rsidRPr="002A0C01">
        <w:rPr>
          <w:rStyle w:val="None"/>
          <w:rFonts w:cs="Times New Roman"/>
          <w:sz w:val="24"/>
          <w:szCs w:val="24"/>
        </w:rPr>
        <w:lastRenderedPageBreak/>
        <w:t>In order to fight against the accusation of perceived bias against Africa (information variables), the ICC should concentrate its works on other parts of the worlds. Information regarding alleged abuses all over the world for example, in Iraq, Venezuela, Palestine, Colombia, and Afghanistan, have been relayed to the Office of the Prosecutor.</w:t>
      </w:r>
      <w:r w:rsidRPr="002A0C01">
        <w:rPr>
          <w:rStyle w:val="None"/>
          <w:rFonts w:cs="Times New Roman"/>
          <w:sz w:val="24"/>
          <w:szCs w:val="24"/>
          <w:vertAlign w:val="superscript"/>
        </w:rPr>
        <w:footnoteReference w:id="243"/>
      </w:r>
      <w:r w:rsidRPr="002A0C01">
        <w:rPr>
          <w:rStyle w:val="None"/>
          <w:rFonts w:cs="Times New Roman"/>
          <w:sz w:val="24"/>
          <w:szCs w:val="24"/>
        </w:rPr>
        <w:t xml:space="preserve"> Despite this, the Prosecutor has chosen either to not open any investigations into these situations or to keep the situations under preliminary examination in order to make a determination on whether to proceed with an investigation.</w:t>
      </w:r>
      <w:r w:rsidRPr="002A0C01">
        <w:rPr>
          <w:rStyle w:val="None"/>
          <w:rFonts w:cs="Times New Roman"/>
          <w:sz w:val="24"/>
          <w:szCs w:val="24"/>
          <w:vertAlign w:val="superscript"/>
        </w:rPr>
        <w:footnoteReference w:id="244"/>
      </w:r>
      <w:r w:rsidRPr="002A0C01">
        <w:rPr>
          <w:rStyle w:val="None"/>
          <w:rFonts w:cs="Times New Roman"/>
          <w:sz w:val="24"/>
          <w:szCs w:val="24"/>
        </w:rPr>
        <w:t xml:space="preserve"> Thus, to oppose the contention that the ICC is biased against Africa, the ICC should also look into these other situations around the world.</w:t>
      </w:r>
    </w:p>
    <w:p w14:paraId="29663B8A" w14:textId="4B611BEA" w:rsidR="00E24D3E" w:rsidRPr="002A0C01" w:rsidRDefault="00E24D3E" w:rsidP="002A0C01">
      <w:pPr>
        <w:pStyle w:val="ListParagraph"/>
        <w:numPr>
          <w:ilvl w:val="1"/>
          <w:numId w:val="22"/>
        </w:numPr>
        <w:spacing w:line="360" w:lineRule="auto"/>
        <w:jc w:val="both"/>
        <w:rPr>
          <w:rStyle w:val="None"/>
          <w:color w:val="000000"/>
          <w:u w:color="000000"/>
        </w:rPr>
      </w:pPr>
      <w:r w:rsidRPr="002A0C01">
        <w:rPr>
          <w:rStyle w:val="None"/>
          <w:color w:val="000000"/>
          <w:u w:color="000000"/>
        </w:rPr>
        <w:t xml:space="preserve">Strengthening of judicial systems in African countries in order to put a stop to the intervention of the ICC. </w:t>
      </w:r>
      <w:r w:rsidR="0064665A" w:rsidRPr="002A0C01">
        <w:rPr>
          <w:rStyle w:val="None"/>
          <w:color w:val="000000"/>
          <w:u w:color="000000"/>
        </w:rPr>
        <w:t>Seeing as the jurisdiction of the ICC is complementary to that of the State, in situations where a State is willing and able to investigate into a matter, the ICC shall not intervene. African countries should thus improve their judicial systems in order to ensure that they are capable of dealing with instances of impunity, which averts the ICC’s intervention. Furthermore, African countries should take a stand against impunity.</w:t>
      </w:r>
      <w:r w:rsidRPr="002A0C01">
        <w:rPr>
          <w:rStyle w:val="None"/>
          <w:color w:val="000000"/>
          <w:u w:color="000000"/>
        </w:rPr>
        <w:t xml:space="preserve"> </w:t>
      </w:r>
    </w:p>
    <w:p w14:paraId="08240335" w14:textId="7C6AC66A" w:rsidR="0064665A" w:rsidRPr="002A0C01" w:rsidRDefault="00B2706C" w:rsidP="002A0C01">
      <w:pPr>
        <w:pStyle w:val="WordDefaultStyleA"/>
        <w:numPr>
          <w:ilvl w:val="1"/>
          <w:numId w:val="22"/>
        </w:numPr>
        <w:spacing w:line="360" w:lineRule="auto"/>
        <w:jc w:val="both"/>
        <w:rPr>
          <w:rStyle w:val="None"/>
          <w:rFonts w:cs="Times New Roman"/>
          <w:sz w:val="24"/>
          <w:szCs w:val="24"/>
        </w:rPr>
      </w:pPr>
      <w:r w:rsidRPr="002A0C01">
        <w:rPr>
          <w:rStyle w:val="None"/>
          <w:rFonts w:cs="Times New Roman"/>
          <w:sz w:val="24"/>
          <w:szCs w:val="24"/>
        </w:rPr>
        <w:t>To combat with security concerns, the ICC should encourage reforms in the concerned countries, instead of launching prosecutions. Although outside of the ICC’s mandate, s</w:t>
      </w:r>
      <w:r w:rsidR="0064665A" w:rsidRPr="002A0C01">
        <w:rPr>
          <w:rStyle w:val="None"/>
          <w:rFonts w:cs="Times New Roman"/>
          <w:sz w:val="24"/>
          <w:szCs w:val="24"/>
        </w:rPr>
        <w:t>eeking reforms can be more instrumental in the prosecution of the individuals in question, especially in</w:t>
      </w:r>
      <w:r w:rsidRPr="002A0C01">
        <w:rPr>
          <w:rStyle w:val="None"/>
          <w:rFonts w:cs="Times New Roman"/>
          <w:sz w:val="24"/>
          <w:szCs w:val="24"/>
        </w:rPr>
        <w:t xml:space="preserve"> case</w:t>
      </w:r>
      <w:r w:rsidR="0064665A" w:rsidRPr="002A0C01">
        <w:rPr>
          <w:rStyle w:val="None"/>
          <w:rFonts w:cs="Times New Roman"/>
          <w:sz w:val="24"/>
          <w:szCs w:val="24"/>
        </w:rPr>
        <w:t>s where it is clear that the State is reluctant to cooperate with the ICC. Thus seeing as the end goal of the ICC is to fight against impunity, in cases where advocating for reforms could make a difference as opposed to launching investigations, the ICC should take this step.</w:t>
      </w:r>
    </w:p>
    <w:p w14:paraId="2D4D6A11" w14:textId="77777777" w:rsidR="0064665A" w:rsidRPr="002A0C01" w:rsidRDefault="0064665A" w:rsidP="002A0C01">
      <w:pPr>
        <w:pStyle w:val="BodyBA"/>
        <w:spacing w:after="200" w:line="360" w:lineRule="auto"/>
        <w:jc w:val="both"/>
        <w:rPr>
          <w:rStyle w:val="NoneA"/>
        </w:rPr>
      </w:pPr>
    </w:p>
    <w:p w14:paraId="2631D77A" w14:textId="77777777" w:rsidR="001B7948" w:rsidRPr="002A0C01" w:rsidRDefault="00B2706C" w:rsidP="002A0C01">
      <w:pPr>
        <w:pStyle w:val="BodyBA"/>
        <w:spacing w:after="200" w:line="360" w:lineRule="auto"/>
        <w:jc w:val="both"/>
        <w:rPr>
          <w:rStyle w:val="NoneA"/>
        </w:rPr>
      </w:pPr>
      <w:r w:rsidRPr="002A0C01">
        <w:rPr>
          <w:rStyle w:val="NoneA"/>
        </w:rPr>
        <w:t xml:space="preserve">Through the application of the recommendations above, the ICC’s current system can be upgraded into a well-oiled machinery capable of fighting against impunity. </w:t>
      </w:r>
    </w:p>
    <w:p w14:paraId="414DB576" w14:textId="77777777" w:rsidR="00E24D3E" w:rsidRPr="002A0C01" w:rsidRDefault="00E24D3E" w:rsidP="002A0C01">
      <w:pPr>
        <w:pStyle w:val="Heading2"/>
        <w:spacing w:line="360" w:lineRule="auto"/>
        <w:jc w:val="both"/>
        <w:rPr>
          <w:rStyle w:val="None"/>
          <w:rFonts w:ascii="Times New Roman" w:hAnsi="Times New Roman" w:cs="Times New Roman"/>
          <w:b/>
          <w:bCs/>
          <w:color w:val="000000"/>
          <w:u w:color="000000"/>
        </w:rPr>
      </w:pPr>
      <w:bookmarkStart w:id="54" w:name="_Toc48"/>
    </w:p>
    <w:p w14:paraId="73897D81" w14:textId="77777777" w:rsidR="0064665A" w:rsidRPr="002A0C01" w:rsidRDefault="0064665A" w:rsidP="002A0C01">
      <w:pPr>
        <w:pStyle w:val="BodyA"/>
        <w:spacing w:line="360" w:lineRule="auto"/>
        <w:jc w:val="both"/>
        <w:rPr>
          <w:rFonts w:ascii="Times New Roman" w:hAnsi="Times New Roman" w:cs="Times New Roman"/>
        </w:rPr>
      </w:pPr>
    </w:p>
    <w:p w14:paraId="1E885579" w14:textId="77777777" w:rsidR="0064665A" w:rsidRPr="002A0C01" w:rsidRDefault="0064665A" w:rsidP="002A0C01">
      <w:pPr>
        <w:pStyle w:val="BodyA"/>
        <w:spacing w:line="360" w:lineRule="auto"/>
        <w:jc w:val="both"/>
        <w:rPr>
          <w:rFonts w:ascii="Times New Roman" w:hAnsi="Times New Roman" w:cs="Times New Roman"/>
        </w:rPr>
      </w:pPr>
    </w:p>
    <w:p w14:paraId="61243B5C" w14:textId="77777777" w:rsidR="001B7948" w:rsidRPr="002A0C01" w:rsidRDefault="00B2706C" w:rsidP="002A0C01">
      <w:pPr>
        <w:pStyle w:val="Heading2"/>
        <w:spacing w:line="360" w:lineRule="auto"/>
        <w:jc w:val="both"/>
        <w:rPr>
          <w:rStyle w:val="None"/>
          <w:rFonts w:ascii="Times New Roman" w:eastAsia="Times New Roman" w:hAnsi="Times New Roman" w:cs="Times New Roman"/>
          <w:color w:val="000000"/>
          <w:u w:color="000000"/>
        </w:rPr>
      </w:pPr>
      <w:r w:rsidRPr="002A0C01">
        <w:rPr>
          <w:rStyle w:val="None"/>
          <w:rFonts w:ascii="Times New Roman" w:hAnsi="Times New Roman" w:cs="Times New Roman"/>
          <w:b/>
          <w:bCs/>
          <w:color w:val="000000"/>
          <w:u w:color="000000"/>
        </w:rPr>
        <w:lastRenderedPageBreak/>
        <w:t>BIBLIOGRAPHY</w:t>
      </w:r>
      <w:bookmarkEnd w:id="54"/>
    </w:p>
    <w:p w14:paraId="460622AC"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55" w:name="_Toc49"/>
      <w:r w:rsidRPr="002A0C01">
        <w:rPr>
          <w:rStyle w:val="None"/>
          <w:rFonts w:ascii="Times New Roman" w:hAnsi="Times New Roman" w:cs="Times New Roman"/>
          <w:color w:val="000000"/>
          <w:u w:val="single" w:color="000000"/>
        </w:rPr>
        <w:t>Books</w:t>
      </w:r>
      <w:bookmarkEnd w:id="55"/>
    </w:p>
    <w:p w14:paraId="746CE9B0"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Charlotte Ku and Paul F. Diehl (eds.), </w:t>
      </w:r>
      <w:r w:rsidRPr="002A0C01">
        <w:rPr>
          <w:rStyle w:val="None"/>
          <w:rFonts w:ascii="Times New Roman" w:hAnsi="Times New Roman" w:cs="Times New Roman"/>
          <w:i/>
          <w:iCs/>
          <w:sz w:val="24"/>
          <w:szCs w:val="24"/>
        </w:rPr>
        <w:t>International Law:</w:t>
      </w:r>
      <w:r w:rsidRPr="002A0C01">
        <w:rPr>
          <w:rStyle w:val="NoneA"/>
          <w:rFonts w:ascii="Times New Roman" w:hAnsi="Times New Roman" w:cs="Times New Roman"/>
          <w:sz w:val="24"/>
          <w:szCs w:val="24"/>
        </w:rPr>
        <w:t xml:space="preserve"> </w:t>
      </w:r>
      <w:r w:rsidRPr="002A0C01">
        <w:rPr>
          <w:rStyle w:val="None"/>
          <w:rFonts w:ascii="Times New Roman" w:hAnsi="Times New Roman" w:cs="Times New Roman"/>
          <w:i/>
          <w:iCs/>
          <w:sz w:val="24"/>
          <w:szCs w:val="24"/>
        </w:rPr>
        <w:t>Classic and Contemporary Readings</w:t>
      </w:r>
      <w:r w:rsidRPr="002A0C01">
        <w:rPr>
          <w:rStyle w:val="NoneA"/>
          <w:rFonts w:ascii="Times New Roman" w:hAnsi="Times New Roman" w:cs="Times New Roman"/>
          <w:sz w:val="24"/>
          <w:szCs w:val="24"/>
        </w:rPr>
        <w:t>, Boulder, CO: Lynne Rienner, 1998.</w:t>
      </w:r>
    </w:p>
    <w:p w14:paraId="114DF08A"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Glaser C, </w:t>
      </w:r>
      <w:r w:rsidRPr="002A0C01">
        <w:rPr>
          <w:rStyle w:val="None"/>
          <w:rFonts w:ascii="Times New Roman" w:hAnsi="Times New Roman" w:cs="Times New Roman"/>
          <w:i/>
          <w:iCs/>
          <w:sz w:val="24"/>
          <w:szCs w:val="24"/>
        </w:rPr>
        <w:t>Rational Theory of International Politics: The Logic of Competition and Cooperation</w:t>
      </w:r>
      <w:r w:rsidRPr="002A0C01">
        <w:rPr>
          <w:rStyle w:val="NoneA"/>
          <w:rFonts w:ascii="Times New Roman" w:hAnsi="Times New Roman" w:cs="Times New Roman"/>
          <w:sz w:val="24"/>
          <w:szCs w:val="24"/>
        </w:rPr>
        <w:t>, Princeton University Press, Princeton, 2011.</w:t>
      </w:r>
    </w:p>
    <w:p w14:paraId="76118B50"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Grunfeld F, Vermeulen W &amp; Krommendijk J, </w:t>
      </w:r>
      <w:r w:rsidRPr="002A0C01">
        <w:rPr>
          <w:rStyle w:val="None"/>
          <w:rFonts w:ascii="Times New Roman" w:hAnsi="Times New Roman" w:cs="Times New Roman"/>
          <w:i/>
          <w:iCs/>
          <w:sz w:val="24"/>
          <w:szCs w:val="24"/>
        </w:rPr>
        <w:t>Failure to Prevent Gross Human Rights Violations in Darfur (Warnings to and Responses by International Decision Makers)</w:t>
      </w:r>
      <w:r w:rsidRPr="002A0C01">
        <w:rPr>
          <w:rStyle w:val="NoneA"/>
          <w:rFonts w:ascii="Times New Roman" w:hAnsi="Times New Roman" w:cs="Times New Roman"/>
          <w:sz w:val="24"/>
          <w:szCs w:val="24"/>
        </w:rPr>
        <w:t>, Brill | Nijhoff Publishers, Leiden-Boston, 2014.</w:t>
      </w:r>
    </w:p>
    <w:p w14:paraId="1A1A6A36"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Fake S &amp; Funk K, </w:t>
      </w:r>
      <w:r w:rsidRPr="002A0C01">
        <w:rPr>
          <w:rStyle w:val="None"/>
          <w:rFonts w:ascii="Times New Roman" w:hAnsi="Times New Roman" w:cs="Times New Roman"/>
          <w:i/>
          <w:iCs/>
          <w:sz w:val="24"/>
          <w:szCs w:val="24"/>
        </w:rPr>
        <w:t>The Scramble for Africa: Darfur-Intervention and the USA</w:t>
      </w:r>
      <w:r w:rsidRPr="002A0C01">
        <w:rPr>
          <w:rStyle w:val="NoneA"/>
          <w:rFonts w:ascii="Times New Roman" w:hAnsi="Times New Roman" w:cs="Times New Roman"/>
          <w:sz w:val="24"/>
          <w:szCs w:val="24"/>
        </w:rPr>
        <w:t>, Black Rose Books, Canada, 2008.</w:t>
      </w:r>
    </w:p>
    <w:p w14:paraId="02694DB2"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Flint J &amp; Waal A, </w:t>
      </w:r>
      <w:r w:rsidRPr="002A0C01">
        <w:rPr>
          <w:rStyle w:val="None"/>
          <w:rFonts w:ascii="Times New Roman" w:hAnsi="Times New Roman" w:cs="Times New Roman"/>
          <w:i/>
          <w:iCs/>
          <w:sz w:val="24"/>
          <w:szCs w:val="24"/>
        </w:rPr>
        <w:t>Darfur: A New History of a Long War</w:t>
      </w:r>
      <w:r w:rsidRPr="002A0C01">
        <w:rPr>
          <w:rStyle w:val="NoneA"/>
          <w:rFonts w:ascii="Times New Roman" w:hAnsi="Times New Roman" w:cs="Times New Roman"/>
          <w:sz w:val="24"/>
          <w:szCs w:val="24"/>
        </w:rPr>
        <w:t>, 2 ed, Zed Books, London, 2008.</w:t>
      </w:r>
    </w:p>
    <w:p w14:paraId="1CD6625C"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Hagan J &amp; Wenona R, </w:t>
      </w:r>
      <w:r w:rsidRPr="002A0C01">
        <w:rPr>
          <w:rStyle w:val="None"/>
          <w:rFonts w:ascii="Times New Roman" w:hAnsi="Times New Roman" w:cs="Times New Roman"/>
          <w:i/>
          <w:iCs/>
          <w:sz w:val="24"/>
          <w:szCs w:val="24"/>
        </w:rPr>
        <w:t>Darfur and the Crime of Genocide</w:t>
      </w:r>
      <w:r w:rsidRPr="002A0C01">
        <w:rPr>
          <w:rStyle w:val="NoneA"/>
          <w:rFonts w:ascii="Times New Roman" w:hAnsi="Times New Roman" w:cs="Times New Roman"/>
          <w:sz w:val="24"/>
          <w:szCs w:val="24"/>
        </w:rPr>
        <w:t>, Cambridge University Press, Cambridge, 2008.</w:t>
      </w:r>
    </w:p>
    <w:p w14:paraId="67881BD8"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Kastner P, </w:t>
      </w:r>
      <w:r w:rsidRPr="002A0C01">
        <w:rPr>
          <w:rStyle w:val="None"/>
          <w:rFonts w:ascii="Times New Roman" w:hAnsi="Times New Roman" w:cs="Times New Roman"/>
          <w:i/>
          <w:iCs/>
          <w:sz w:val="24"/>
          <w:szCs w:val="24"/>
        </w:rPr>
        <w:t>International Criminal Justice in bello? / The ICC between Law and Politics in Darfur and Northern Uganda</w:t>
      </w:r>
      <w:r w:rsidRPr="002A0C01">
        <w:rPr>
          <w:rStyle w:val="NoneA"/>
          <w:rFonts w:ascii="Times New Roman" w:hAnsi="Times New Roman" w:cs="Times New Roman"/>
          <w:sz w:val="24"/>
          <w:szCs w:val="24"/>
        </w:rPr>
        <w:t>, Brill | Nijhoff Publishers, Leiden-Boston, 2012.</w:t>
      </w:r>
    </w:p>
    <w:p w14:paraId="6BA115B1"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Keohane O, </w:t>
      </w:r>
      <w:r w:rsidRPr="002A0C01">
        <w:rPr>
          <w:rStyle w:val="None"/>
          <w:rFonts w:ascii="Times New Roman" w:hAnsi="Times New Roman" w:cs="Times New Roman"/>
          <w:i/>
          <w:iCs/>
          <w:sz w:val="24"/>
          <w:szCs w:val="24"/>
        </w:rPr>
        <w:t>After Hegemony: Cooperation and Discord in the World Political Economy</w:t>
      </w:r>
      <w:r w:rsidRPr="002A0C01">
        <w:rPr>
          <w:rStyle w:val="NoneA"/>
          <w:rFonts w:ascii="Times New Roman" w:hAnsi="Times New Roman" w:cs="Times New Roman"/>
          <w:sz w:val="24"/>
          <w:szCs w:val="24"/>
        </w:rPr>
        <w:t>, Princeton University Press, Princeton, 1984.</w:t>
      </w:r>
    </w:p>
    <w:p w14:paraId="1DCA1A8B" w14:textId="77777777" w:rsidR="001B7948" w:rsidRPr="002A0C01" w:rsidRDefault="00B2706C" w:rsidP="002A0C01">
      <w:pPr>
        <w:pStyle w:val="Default"/>
        <w:spacing w:after="240" w:line="360" w:lineRule="auto"/>
        <w:jc w:val="both"/>
        <w:rPr>
          <w:rFonts w:ascii="Times New Roman" w:hAnsi="Times New Roman" w:cs="Times New Roman"/>
          <w:sz w:val="24"/>
          <w:szCs w:val="24"/>
        </w:rPr>
      </w:pPr>
      <w:r w:rsidRPr="002A0C01">
        <w:rPr>
          <w:rStyle w:val="None"/>
          <w:rFonts w:ascii="Times New Roman" w:hAnsi="Times New Roman" w:cs="Times New Roman"/>
          <w:sz w:val="24"/>
          <w:szCs w:val="24"/>
          <w:shd w:val="clear" w:color="auto" w:fill="FFFFFF"/>
        </w:rPr>
        <w:t xml:space="preserve">Klamberg M, </w:t>
      </w:r>
      <w:r w:rsidRPr="002A0C01">
        <w:rPr>
          <w:rStyle w:val="None"/>
          <w:rFonts w:ascii="Times New Roman" w:hAnsi="Times New Roman" w:cs="Times New Roman"/>
          <w:i/>
          <w:iCs/>
          <w:sz w:val="24"/>
          <w:szCs w:val="24"/>
          <w:shd w:val="clear" w:color="auto" w:fill="FFFFFF"/>
        </w:rPr>
        <w:t>Evidence in International Criminal Trials</w:t>
      </w:r>
      <w:r w:rsidRPr="002A0C01">
        <w:rPr>
          <w:rStyle w:val="None"/>
          <w:rFonts w:ascii="Times New Roman" w:hAnsi="Times New Roman" w:cs="Times New Roman"/>
          <w:sz w:val="24"/>
          <w:szCs w:val="24"/>
          <w:shd w:val="clear" w:color="auto" w:fill="FFFFFF"/>
          <w:lang w:val="nl-NL"/>
        </w:rPr>
        <w:t>, Martinus Nijhoff Publishers, Leiden, 2013</w:t>
      </w:r>
      <w:r w:rsidRPr="002A0C01">
        <w:rPr>
          <w:rStyle w:val="None"/>
          <w:rFonts w:ascii="Times New Roman" w:hAnsi="Times New Roman" w:cs="Times New Roman"/>
          <w:sz w:val="24"/>
          <w:szCs w:val="24"/>
          <w:shd w:val="clear" w:color="auto" w:fill="FFFFFF"/>
        </w:rPr>
        <w:t>.</w:t>
      </w:r>
    </w:p>
    <w:p w14:paraId="6D69080E" w14:textId="77777777" w:rsidR="001B7948" w:rsidRPr="002A0C01" w:rsidRDefault="00B2706C" w:rsidP="002A0C01">
      <w:pPr>
        <w:pStyle w:val="Default"/>
        <w:spacing w:after="240"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Krassel P, </w:t>
      </w:r>
      <w:r w:rsidRPr="002A0C01">
        <w:rPr>
          <w:rStyle w:val="None"/>
          <w:rFonts w:ascii="Times New Roman" w:hAnsi="Times New Roman" w:cs="Times New Roman"/>
          <w:i/>
          <w:iCs/>
          <w:sz w:val="24"/>
          <w:szCs w:val="24"/>
        </w:rPr>
        <w:t>Custom Maid Knowledge For New World Disorder</w:t>
      </w:r>
      <w:r w:rsidRPr="002A0C01">
        <w:rPr>
          <w:rStyle w:val="NoneA"/>
          <w:rFonts w:ascii="Times New Roman" w:hAnsi="Times New Roman" w:cs="Times New Roman"/>
          <w:sz w:val="24"/>
          <w:szCs w:val="24"/>
        </w:rPr>
        <w:t>, CAL Books, 2008.</w:t>
      </w:r>
    </w:p>
    <w:p w14:paraId="7166FED0" w14:textId="77777777" w:rsidR="001B7948" w:rsidRPr="002A0C01" w:rsidRDefault="00B2706C" w:rsidP="002A0C01">
      <w:pPr>
        <w:pStyle w:val="BodyA"/>
        <w:spacing w:line="360" w:lineRule="auto"/>
        <w:jc w:val="both"/>
        <w:rPr>
          <w:rFonts w:ascii="Times New Roman" w:hAnsi="Times New Roman" w:cs="Times New Roman"/>
          <w:sz w:val="24"/>
          <w:szCs w:val="24"/>
          <w:lang w:val="da-DK"/>
        </w:rPr>
      </w:pPr>
      <w:r w:rsidRPr="002A0C01">
        <w:rPr>
          <w:rStyle w:val="None"/>
          <w:rFonts w:ascii="Times New Roman" w:hAnsi="Times New Roman" w:cs="Times New Roman"/>
          <w:sz w:val="24"/>
          <w:szCs w:val="24"/>
          <w:lang w:val="da-DK"/>
        </w:rPr>
        <w:t xml:space="preserve">Lindblom C, </w:t>
      </w:r>
      <w:r w:rsidRPr="002A0C01">
        <w:rPr>
          <w:rStyle w:val="None"/>
          <w:rFonts w:ascii="Times New Roman" w:hAnsi="Times New Roman" w:cs="Times New Roman"/>
          <w:i/>
          <w:iCs/>
          <w:sz w:val="24"/>
          <w:szCs w:val="24"/>
        </w:rPr>
        <w:t>The Intelligence of Democracy</w:t>
      </w:r>
      <w:r w:rsidRPr="002A0C01">
        <w:rPr>
          <w:rStyle w:val="None"/>
          <w:rFonts w:ascii="Times New Roman" w:hAnsi="Times New Roman" w:cs="Times New Roman"/>
          <w:sz w:val="24"/>
          <w:szCs w:val="24"/>
        </w:rPr>
        <w:t>, Free Press, New York, 1965.</w:t>
      </w:r>
    </w:p>
    <w:p w14:paraId="174A69FA" w14:textId="77777777" w:rsidR="001B7948" w:rsidRPr="002A0C01" w:rsidRDefault="00B2706C" w:rsidP="002A0C01">
      <w:pPr>
        <w:pStyle w:val="BodyA"/>
        <w:spacing w:line="360" w:lineRule="auto"/>
        <w:jc w:val="both"/>
        <w:rPr>
          <w:rFonts w:ascii="Times New Roman" w:hAnsi="Times New Roman" w:cs="Times New Roman"/>
          <w:sz w:val="24"/>
          <w:szCs w:val="24"/>
          <w:lang w:val="de-DE"/>
        </w:rPr>
      </w:pPr>
      <w:r w:rsidRPr="002A0C01">
        <w:rPr>
          <w:rStyle w:val="None"/>
          <w:rFonts w:ascii="Times New Roman" w:hAnsi="Times New Roman" w:cs="Times New Roman"/>
          <w:sz w:val="24"/>
          <w:szCs w:val="24"/>
          <w:lang w:val="de-DE"/>
        </w:rPr>
        <w:t xml:space="preserve">Nichols L, </w:t>
      </w:r>
      <w:r w:rsidRPr="002A0C01">
        <w:rPr>
          <w:rStyle w:val="None"/>
          <w:rFonts w:ascii="Times New Roman" w:hAnsi="Times New Roman" w:cs="Times New Roman"/>
          <w:i/>
          <w:iCs/>
          <w:sz w:val="24"/>
          <w:szCs w:val="24"/>
        </w:rPr>
        <w:t>The International Criminal Court and the End of Impunity in Kenya</w:t>
      </w:r>
      <w:r w:rsidRPr="002A0C01">
        <w:rPr>
          <w:rStyle w:val="None"/>
          <w:rFonts w:ascii="Times New Roman" w:hAnsi="Times New Roman" w:cs="Times New Roman"/>
          <w:sz w:val="24"/>
          <w:szCs w:val="24"/>
        </w:rPr>
        <w:t>, Springer International Publishing, Switzerland, 2015.</w:t>
      </w:r>
    </w:p>
    <w:p w14:paraId="1CD04B67"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Nouwen S, </w:t>
      </w:r>
      <w:r w:rsidRPr="002A0C01">
        <w:rPr>
          <w:rStyle w:val="None"/>
          <w:rFonts w:ascii="Times New Roman" w:hAnsi="Times New Roman" w:cs="Times New Roman"/>
          <w:i/>
          <w:iCs/>
          <w:sz w:val="24"/>
          <w:szCs w:val="24"/>
        </w:rPr>
        <w:t>Complementarity in the Line of Fire: The Catalysing Effect of the International Criminal Court in Uganda and Sudan</w:t>
      </w:r>
      <w:r w:rsidRPr="002A0C01">
        <w:rPr>
          <w:rStyle w:val="NoneA"/>
          <w:rFonts w:ascii="Times New Roman" w:hAnsi="Times New Roman" w:cs="Times New Roman"/>
          <w:sz w:val="24"/>
          <w:szCs w:val="24"/>
        </w:rPr>
        <w:t>, Cambridge University Press, New York, 2013.</w:t>
      </w:r>
    </w:p>
    <w:p w14:paraId="7DE96F01"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Schabas W, </w:t>
      </w:r>
      <w:r w:rsidRPr="002A0C01">
        <w:rPr>
          <w:rStyle w:val="None"/>
          <w:rFonts w:ascii="Times New Roman" w:hAnsi="Times New Roman" w:cs="Times New Roman"/>
          <w:i/>
          <w:iCs/>
          <w:sz w:val="24"/>
          <w:szCs w:val="24"/>
        </w:rPr>
        <w:t>An Introduction to the International Criminal Court</w:t>
      </w:r>
      <w:r w:rsidRPr="002A0C01">
        <w:rPr>
          <w:rStyle w:val="NoneA"/>
          <w:rFonts w:ascii="Times New Roman" w:hAnsi="Times New Roman" w:cs="Times New Roman"/>
          <w:sz w:val="24"/>
          <w:szCs w:val="24"/>
        </w:rPr>
        <w:t>, 4 ed, Cambridge University Press, New York, 2014.</w:t>
      </w:r>
    </w:p>
    <w:p w14:paraId="7F54693A"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56" w:name="_Toc50"/>
      <w:r w:rsidRPr="002A0C01">
        <w:rPr>
          <w:rStyle w:val="None"/>
          <w:rFonts w:ascii="Times New Roman" w:hAnsi="Times New Roman" w:cs="Times New Roman"/>
          <w:color w:val="000000"/>
          <w:u w:val="single" w:color="000000"/>
        </w:rPr>
        <w:lastRenderedPageBreak/>
        <w:t>Chapters in Books</w:t>
      </w:r>
      <w:bookmarkEnd w:id="56"/>
    </w:p>
    <w:p w14:paraId="6455DD9D"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Arieff A, Margesson R and Browne M, ‘International Criminal Court Cases in Africa: Status and Policy Issues’ in Milton P (ed), </w:t>
      </w:r>
      <w:r w:rsidRPr="002A0C01">
        <w:rPr>
          <w:rStyle w:val="None"/>
          <w:rFonts w:ascii="Times New Roman" w:hAnsi="Times New Roman" w:cs="Times New Roman"/>
          <w:i/>
          <w:iCs/>
          <w:sz w:val="24"/>
          <w:szCs w:val="24"/>
        </w:rPr>
        <w:t>International Criminal Court: Policy, Status and Overview</w:t>
      </w:r>
      <w:r w:rsidRPr="002A0C01">
        <w:rPr>
          <w:rStyle w:val="NoneA"/>
          <w:rFonts w:ascii="Times New Roman" w:hAnsi="Times New Roman" w:cs="Times New Roman"/>
          <w:sz w:val="24"/>
          <w:szCs w:val="24"/>
        </w:rPr>
        <w:t>, Nova Science Publishers Inc, New York, 2009</w:t>
      </w:r>
    </w:p>
    <w:p w14:paraId="4D23C081"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Brady H, ‘Protective and Special Measures for Victims and Witnesses’ in Lee R (ed), Elements of Crimes and Rules of Procedure and Evidence, Transnational Publishers, Ardsley, 2001.</w:t>
      </w:r>
    </w:p>
    <w:p w14:paraId="6F9CE0FD"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Brown S, ‘Lessons Learned and Forgotten: The International Community and Electoral Conflict Management in Kenya’ in Gillies D (ed), </w:t>
      </w:r>
      <w:r w:rsidRPr="002A0C01">
        <w:rPr>
          <w:rStyle w:val="None"/>
          <w:rFonts w:ascii="Times New Roman" w:hAnsi="Times New Roman" w:cs="Times New Roman"/>
          <w:i/>
          <w:iCs/>
          <w:sz w:val="24"/>
          <w:szCs w:val="24"/>
        </w:rPr>
        <w:t xml:space="preserve">Elections in Dangerous Places: Democracy and the paradoxes of peacebuilding, </w:t>
      </w:r>
      <w:r w:rsidRPr="002A0C01">
        <w:rPr>
          <w:rStyle w:val="NoneA"/>
          <w:rFonts w:ascii="Times New Roman" w:hAnsi="Times New Roman" w:cs="Times New Roman"/>
          <w:sz w:val="24"/>
          <w:szCs w:val="24"/>
        </w:rPr>
        <w:t>McGill-Queen’s University Press, Montreal, 2011.</w:t>
      </w:r>
    </w:p>
    <w:p w14:paraId="707038BA"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Goy B, ‘Article 7(2)’ in Klamberg E (ed), </w:t>
      </w:r>
      <w:r w:rsidRPr="002A0C01">
        <w:rPr>
          <w:rStyle w:val="None"/>
          <w:rFonts w:ascii="Times New Roman" w:hAnsi="Times New Roman" w:cs="Times New Roman"/>
          <w:i/>
          <w:iCs/>
          <w:sz w:val="24"/>
          <w:szCs w:val="24"/>
        </w:rPr>
        <w:t>Commentary on the Law of the International Criminal Court</w:t>
      </w:r>
      <w:r w:rsidRPr="002A0C01">
        <w:rPr>
          <w:rStyle w:val="NoneA"/>
          <w:rFonts w:ascii="Times New Roman" w:hAnsi="Times New Roman" w:cs="Times New Roman"/>
          <w:sz w:val="24"/>
          <w:szCs w:val="24"/>
        </w:rPr>
        <w:t>, Torkel Opsahl Academic EPublisher, Brussels, 2017.</w:t>
      </w:r>
    </w:p>
    <w:p w14:paraId="1C3D2A4A"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Maupeu H, ‘Kenyan Elections: The ICC, God and the 2013 Kenyan General Elections’ in Thibon C, Ndeda M, Mwangi S and Fouere M (eds) </w:t>
      </w:r>
      <w:r w:rsidRPr="002A0C01">
        <w:rPr>
          <w:rStyle w:val="None"/>
          <w:rFonts w:ascii="Times New Roman" w:hAnsi="Times New Roman" w:cs="Times New Roman"/>
          <w:i/>
          <w:iCs/>
          <w:sz w:val="24"/>
          <w:szCs w:val="24"/>
        </w:rPr>
        <w:t>Kenya’s Past as Prologue: Voters, Violence and the 2013 General Election</w:t>
      </w:r>
      <w:r w:rsidRPr="002A0C01">
        <w:rPr>
          <w:rStyle w:val="NoneA"/>
          <w:rFonts w:ascii="Times New Roman" w:hAnsi="Times New Roman" w:cs="Times New Roman"/>
          <w:sz w:val="24"/>
          <w:szCs w:val="24"/>
        </w:rPr>
        <w:t>, Twaweza Communications, Nairobi, 2014.</w:t>
      </w:r>
    </w:p>
    <w:p w14:paraId="718C0FF4"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Merwe H, ‘Annual Report 2016’ in Merwe H and Kemp G (eds) </w:t>
      </w:r>
      <w:r w:rsidRPr="002A0C01">
        <w:rPr>
          <w:rStyle w:val="None"/>
          <w:rFonts w:ascii="Times New Roman" w:hAnsi="Times New Roman" w:cs="Times New Roman"/>
          <w:i/>
          <w:iCs/>
          <w:sz w:val="24"/>
          <w:szCs w:val="24"/>
        </w:rPr>
        <w:t xml:space="preserve">International criminal justice in Africa: Issues, challenges and prospects, </w:t>
      </w:r>
      <w:r w:rsidRPr="002A0C01">
        <w:rPr>
          <w:rStyle w:val="NoneA"/>
          <w:rFonts w:ascii="Times New Roman" w:hAnsi="Times New Roman" w:cs="Times New Roman"/>
          <w:sz w:val="24"/>
          <w:szCs w:val="24"/>
        </w:rPr>
        <w:t>Strathmore University Press, Nairobi, 2016.</w:t>
      </w:r>
    </w:p>
    <w:p w14:paraId="254CF0E3"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Kreß C, ‘The International Criminal Court and Immunities under International Law for States Not Party to the Court’s Statute’ in Bergsmo M and Yan L (eds), </w:t>
      </w:r>
      <w:r w:rsidRPr="002A0C01">
        <w:rPr>
          <w:rStyle w:val="None"/>
          <w:rFonts w:ascii="Times New Roman" w:hAnsi="Times New Roman" w:cs="Times New Roman"/>
          <w:i/>
          <w:iCs/>
          <w:sz w:val="24"/>
          <w:szCs w:val="24"/>
        </w:rPr>
        <w:t>State Sovereignty and International Criminal Law</w:t>
      </w:r>
      <w:r w:rsidRPr="002A0C01">
        <w:rPr>
          <w:rStyle w:val="NoneA"/>
          <w:rFonts w:ascii="Times New Roman" w:hAnsi="Times New Roman" w:cs="Times New Roman"/>
          <w:sz w:val="24"/>
          <w:szCs w:val="24"/>
        </w:rPr>
        <w:t>, Torkel Opsahl Academic EPublisher, Beijing, 2012.</w:t>
      </w:r>
    </w:p>
    <w:p w14:paraId="13C20803"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Rojo E, ‘Article 69(1)’ in Klamberg E (ed), </w:t>
      </w:r>
      <w:r w:rsidRPr="002A0C01">
        <w:rPr>
          <w:rStyle w:val="None"/>
          <w:rFonts w:ascii="Times New Roman" w:hAnsi="Times New Roman" w:cs="Times New Roman"/>
          <w:i/>
          <w:iCs/>
          <w:sz w:val="24"/>
          <w:szCs w:val="24"/>
        </w:rPr>
        <w:t>Commentary on the Law of the International Criminal Court</w:t>
      </w:r>
      <w:r w:rsidRPr="002A0C01">
        <w:rPr>
          <w:rStyle w:val="NoneA"/>
          <w:rFonts w:ascii="Times New Roman" w:hAnsi="Times New Roman" w:cs="Times New Roman"/>
          <w:sz w:val="24"/>
          <w:szCs w:val="24"/>
        </w:rPr>
        <w:t>, Torkel Opsahl Academic EPublisher, Brussels, 2017</w:t>
      </w:r>
    </w:p>
    <w:p w14:paraId="15BA22E0"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Tar U, ‘Counter-Insurgents or Ethnic Vanguards? Civil Militia and State Violence in the Darfur Region, Western Sudan’ in Francis D (ed) </w:t>
      </w:r>
      <w:r w:rsidRPr="002A0C01">
        <w:rPr>
          <w:rStyle w:val="None"/>
          <w:rFonts w:ascii="Times New Roman" w:hAnsi="Times New Roman" w:cs="Times New Roman"/>
          <w:i/>
          <w:iCs/>
          <w:sz w:val="24"/>
          <w:szCs w:val="24"/>
        </w:rPr>
        <w:t xml:space="preserve">Civil Milia, Africa’s Intractable Security Menace? </w:t>
      </w:r>
      <w:r w:rsidRPr="002A0C01">
        <w:rPr>
          <w:rStyle w:val="NoneA"/>
          <w:rFonts w:ascii="Times New Roman" w:hAnsi="Times New Roman" w:cs="Times New Roman"/>
          <w:sz w:val="24"/>
          <w:szCs w:val="24"/>
        </w:rPr>
        <w:t>Routledge, London, 2005.</w:t>
      </w:r>
    </w:p>
    <w:p w14:paraId="20D89F4D"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57" w:name="_Toc51"/>
      <w:r w:rsidRPr="002A0C01">
        <w:rPr>
          <w:rStyle w:val="None"/>
          <w:rFonts w:ascii="Times New Roman" w:hAnsi="Times New Roman" w:cs="Times New Roman"/>
          <w:color w:val="000000"/>
          <w:u w:val="single" w:color="000000"/>
          <w:lang w:val="fr-FR"/>
        </w:rPr>
        <w:t>Journals</w:t>
      </w:r>
      <w:bookmarkEnd w:id="57"/>
    </w:p>
    <w:p w14:paraId="31642218"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Abbott, Kenneth W and Duncan S, ‘Why States Act through Formal International Organisations’ 42 </w:t>
      </w:r>
      <w:r w:rsidRPr="002A0C01">
        <w:rPr>
          <w:rStyle w:val="None"/>
          <w:rFonts w:ascii="Times New Roman" w:hAnsi="Times New Roman" w:cs="Times New Roman"/>
          <w:i/>
          <w:iCs/>
          <w:sz w:val="24"/>
          <w:szCs w:val="24"/>
        </w:rPr>
        <w:t xml:space="preserve">Journal of Conflict Resolution </w:t>
      </w:r>
      <w:r w:rsidRPr="002A0C01">
        <w:rPr>
          <w:rStyle w:val="NoneA"/>
          <w:rFonts w:ascii="Times New Roman" w:hAnsi="Times New Roman" w:cs="Times New Roman"/>
          <w:sz w:val="24"/>
          <w:szCs w:val="24"/>
        </w:rPr>
        <w:t>1, 1998.</w:t>
      </w:r>
    </w:p>
    <w:p w14:paraId="697CB361"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lastRenderedPageBreak/>
        <w:t xml:space="preserve">Barnes G, ‘The International Criminal Court’s Ineffective Enforcement Mechanisms: The Indictment of President Omar Al Bashir’ 34 </w:t>
      </w:r>
      <w:r w:rsidRPr="002A0C01">
        <w:rPr>
          <w:rStyle w:val="None"/>
          <w:rFonts w:ascii="Times New Roman" w:hAnsi="Times New Roman" w:cs="Times New Roman"/>
          <w:i/>
          <w:iCs/>
          <w:sz w:val="24"/>
          <w:szCs w:val="24"/>
        </w:rPr>
        <w:t>Fordham International Law Journal</w:t>
      </w:r>
      <w:r w:rsidRPr="002A0C01">
        <w:rPr>
          <w:rStyle w:val="NoneA"/>
          <w:rFonts w:ascii="Times New Roman" w:hAnsi="Times New Roman" w:cs="Times New Roman"/>
          <w:sz w:val="24"/>
          <w:szCs w:val="24"/>
        </w:rPr>
        <w:t xml:space="preserve"> 6, 2011.</w:t>
      </w:r>
    </w:p>
    <w:p w14:paraId="6FFA8712"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Brown C, ‘Realism: rational or reasonable?’ 88 </w:t>
      </w:r>
      <w:r w:rsidRPr="002A0C01">
        <w:rPr>
          <w:rStyle w:val="None"/>
          <w:rFonts w:ascii="Times New Roman" w:hAnsi="Times New Roman" w:cs="Times New Roman"/>
          <w:i/>
          <w:iCs/>
          <w:sz w:val="24"/>
          <w:szCs w:val="24"/>
        </w:rPr>
        <w:t>International Affairs (Royal Institute of International Affairs</w:t>
      </w:r>
      <w:r w:rsidRPr="002A0C01">
        <w:rPr>
          <w:rStyle w:val="NoneA"/>
          <w:rFonts w:ascii="Times New Roman" w:hAnsi="Times New Roman" w:cs="Times New Roman"/>
          <w:sz w:val="24"/>
          <w:szCs w:val="24"/>
        </w:rPr>
        <w:t xml:space="preserve">) 4, 2012. </w:t>
      </w:r>
    </w:p>
    <w:p w14:paraId="791CC0E3" w14:textId="77777777" w:rsidR="001B7948" w:rsidRPr="002A0C01" w:rsidRDefault="00B2706C" w:rsidP="002A0C01">
      <w:pPr>
        <w:pStyle w:val="BodyA"/>
        <w:spacing w:line="360" w:lineRule="auto"/>
        <w:jc w:val="both"/>
        <w:rPr>
          <w:rFonts w:ascii="Times New Roman" w:hAnsi="Times New Roman" w:cs="Times New Roman"/>
          <w:sz w:val="24"/>
          <w:szCs w:val="24"/>
          <w:lang w:val="de-DE"/>
        </w:rPr>
      </w:pPr>
      <w:r w:rsidRPr="002A0C01">
        <w:rPr>
          <w:rStyle w:val="None"/>
          <w:rFonts w:ascii="Times New Roman" w:hAnsi="Times New Roman" w:cs="Times New Roman"/>
          <w:sz w:val="24"/>
          <w:szCs w:val="24"/>
          <w:lang w:val="de-DE"/>
        </w:rPr>
        <w:t xml:space="preserve">Burke W, </w:t>
      </w:r>
      <w:r w:rsidRPr="002A0C01">
        <w:rPr>
          <w:rStyle w:val="None"/>
          <w:rFonts w:ascii="Times New Roman" w:hAnsi="Times New Roman" w:cs="Times New Roman"/>
          <w:sz w:val="24"/>
          <w:szCs w:val="24"/>
        </w:rPr>
        <w:t xml:space="preserve">‘Proactive Complementarity: The International Criminal Court and National Courts in the Rome System of International Justice’ 49 </w:t>
      </w:r>
      <w:r w:rsidRPr="002A0C01">
        <w:rPr>
          <w:rStyle w:val="None"/>
          <w:rFonts w:ascii="Times New Roman" w:hAnsi="Times New Roman" w:cs="Times New Roman"/>
          <w:i/>
          <w:iCs/>
          <w:sz w:val="24"/>
          <w:szCs w:val="24"/>
        </w:rPr>
        <w:t>Harvard International Law Journal</w:t>
      </w:r>
      <w:r w:rsidRPr="002A0C01">
        <w:rPr>
          <w:rStyle w:val="None"/>
          <w:rFonts w:ascii="Times New Roman" w:hAnsi="Times New Roman" w:cs="Times New Roman"/>
          <w:sz w:val="24"/>
          <w:szCs w:val="24"/>
        </w:rPr>
        <w:t xml:space="preserve"> 1, 2008.</w:t>
      </w:r>
    </w:p>
    <w:p w14:paraId="5F20AE56" w14:textId="77777777" w:rsidR="001B7948" w:rsidRPr="002A0C01" w:rsidRDefault="00B2706C" w:rsidP="002A0C01">
      <w:pPr>
        <w:pStyle w:val="BodyA"/>
        <w:spacing w:line="360" w:lineRule="auto"/>
        <w:jc w:val="both"/>
        <w:rPr>
          <w:rFonts w:ascii="Times New Roman" w:hAnsi="Times New Roman" w:cs="Times New Roman"/>
          <w:sz w:val="24"/>
          <w:szCs w:val="24"/>
          <w:lang w:val="pt-PT"/>
        </w:rPr>
      </w:pPr>
      <w:r w:rsidRPr="002A0C01">
        <w:rPr>
          <w:rStyle w:val="None"/>
          <w:rFonts w:ascii="Times New Roman" w:hAnsi="Times New Roman" w:cs="Times New Roman"/>
          <w:sz w:val="24"/>
          <w:szCs w:val="24"/>
          <w:lang w:val="pt-PT"/>
        </w:rPr>
        <w:t xml:space="preserve">Cassesse A, </w:t>
      </w:r>
      <w:r w:rsidRPr="002A0C01">
        <w:rPr>
          <w:rStyle w:val="None"/>
          <w:rFonts w:ascii="Times New Roman" w:hAnsi="Times New Roman" w:cs="Times New Roman"/>
          <w:sz w:val="24"/>
          <w:szCs w:val="24"/>
        </w:rPr>
        <w:t xml:space="preserve">‘The Statute of the International Criminal Court: Some Preliminary Reflections’ 10 </w:t>
      </w:r>
      <w:r w:rsidRPr="002A0C01">
        <w:rPr>
          <w:rStyle w:val="None"/>
          <w:rFonts w:ascii="Times New Roman" w:hAnsi="Times New Roman" w:cs="Times New Roman"/>
          <w:i/>
          <w:iCs/>
          <w:sz w:val="24"/>
          <w:szCs w:val="24"/>
        </w:rPr>
        <w:t>European Journal of International Law</w:t>
      </w:r>
      <w:r w:rsidRPr="002A0C01">
        <w:rPr>
          <w:rStyle w:val="None"/>
          <w:rFonts w:ascii="Times New Roman" w:hAnsi="Times New Roman" w:cs="Times New Roman"/>
          <w:sz w:val="24"/>
          <w:szCs w:val="24"/>
        </w:rPr>
        <w:t xml:space="preserve"> 1, 1999.</w:t>
      </w:r>
    </w:p>
    <w:p w14:paraId="03CD0C69"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Clark J, ‘Peace, Justice and the International Criminal Court: Limitations and Possibilities’ 9 </w:t>
      </w:r>
      <w:r w:rsidRPr="002A0C01">
        <w:rPr>
          <w:rStyle w:val="None"/>
          <w:rFonts w:ascii="Times New Roman" w:hAnsi="Times New Roman" w:cs="Times New Roman"/>
          <w:i/>
          <w:iCs/>
          <w:sz w:val="24"/>
          <w:szCs w:val="24"/>
        </w:rPr>
        <w:t>Journal of International Criminal Justice</w:t>
      </w:r>
      <w:r w:rsidRPr="002A0C01">
        <w:rPr>
          <w:rStyle w:val="NoneA"/>
          <w:rFonts w:ascii="Times New Roman" w:hAnsi="Times New Roman" w:cs="Times New Roman"/>
          <w:sz w:val="24"/>
          <w:szCs w:val="24"/>
        </w:rPr>
        <w:t xml:space="preserve"> 3, 2011.</w:t>
      </w:r>
    </w:p>
    <w:p w14:paraId="6C61D296"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Copeland D, ‘Rationalist Theories of International Politics and the Problem of the Future’ 20 </w:t>
      </w:r>
      <w:r w:rsidRPr="002A0C01">
        <w:rPr>
          <w:rStyle w:val="None"/>
          <w:rFonts w:ascii="Times New Roman" w:hAnsi="Times New Roman" w:cs="Times New Roman"/>
          <w:i/>
          <w:iCs/>
          <w:sz w:val="24"/>
          <w:szCs w:val="24"/>
        </w:rPr>
        <w:t xml:space="preserve">Security Studies </w:t>
      </w:r>
      <w:r w:rsidRPr="002A0C01">
        <w:rPr>
          <w:rStyle w:val="NoneA"/>
          <w:rFonts w:ascii="Times New Roman" w:hAnsi="Times New Roman" w:cs="Times New Roman"/>
          <w:sz w:val="24"/>
          <w:szCs w:val="24"/>
        </w:rPr>
        <w:t>3, 2011.</w:t>
      </w:r>
    </w:p>
    <w:p w14:paraId="7FD8B867"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Dingli S, ‘Book Review: Charles L. Glaser, Rational Theory of International Politics: The Logic of Competition and Cooperation’ 40 </w:t>
      </w:r>
      <w:r w:rsidRPr="002A0C01">
        <w:rPr>
          <w:rStyle w:val="None"/>
          <w:rFonts w:ascii="Times New Roman" w:hAnsi="Times New Roman" w:cs="Times New Roman"/>
          <w:i/>
          <w:iCs/>
          <w:sz w:val="24"/>
          <w:szCs w:val="24"/>
        </w:rPr>
        <w:t xml:space="preserve">Millenium: Journal of International Studies </w:t>
      </w:r>
      <w:r w:rsidRPr="002A0C01">
        <w:rPr>
          <w:rStyle w:val="NoneA"/>
          <w:rFonts w:ascii="Times New Roman" w:hAnsi="Times New Roman" w:cs="Times New Roman"/>
          <w:sz w:val="24"/>
          <w:szCs w:val="24"/>
        </w:rPr>
        <w:t>3.</w:t>
      </w:r>
    </w:p>
    <w:p w14:paraId="3827479F"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El-Masri S, ‘The legality of the International Criminal Court's decision against Omar Al-Bashir of Sudan, 66 </w:t>
      </w:r>
      <w:r w:rsidRPr="002A0C01">
        <w:rPr>
          <w:rStyle w:val="None"/>
          <w:rFonts w:ascii="Times New Roman" w:hAnsi="Times New Roman" w:cs="Times New Roman"/>
          <w:i/>
          <w:iCs/>
          <w:sz w:val="24"/>
          <w:szCs w:val="24"/>
        </w:rPr>
        <w:t>International Journal</w:t>
      </w:r>
      <w:r w:rsidRPr="002A0C01">
        <w:rPr>
          <w:rStyle w:val="NoneA"/>
          <w:rFonts w:ascii="Times New Roman" w:hAnsi="Times New Roman" w:cs="Times New Roman"/>
          <w:sz w:val="24"/>
          <w:szCs w:val="24"/>
        </w:rPr>
        <w:t xml:space="preserve"> 2, 2011.</w:t>
      </w:r>
    </w:p>
    <w:p w14:paraId="55F37082"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Elagab O, ‘The Darfur Situation and the ICC: An Appraisal’ 1 </w:t>
      </w:r>
      <w:r w:rsidRPr="002A0C01">
        <w:rPr>
          <w:rStyle w:val="None"/>
          <w:rFonts w:ascii="Times New Roman" w:hAnsi="Times New Roman" w:cs="Times New Roman"/>
          <w:i/>
          <w:iCs/>
          <w:sz w:val="24"/>
          <w:szCs w:val="24"/>
        </w:rPr>
        <w:t xml:space="preserve">Journal of Politics and </w:t>
      </w:r>
      <w:r w:rsidRPr="002A0C01">
        <w:rPr>
          <w:rStyle w:val="NoneA"/>
          <w:rFonts w:ascii="Times New Roman" w:hAnsi="Times New Roman" w:cs="Times New Roman"/>
          <w:sz w:val="24"/>
          <w:szCs w:val="24"/>
        </w:rPr>
        <w:t>Law 3, 2008.</w:t>
      </w:r>
    </w:p>
    <w:p w14:paraId="77300B95" w14:textId="77777777" w:rsidR="001B7948" w:rsidRPr="002A0C01" w:rsidRDefault="00B2706C" w:rsidP="002A0C01">
      <w:pPr>
        <w:pStyle w:val="BodyA"/>
        <w:spacing w:line="360" w:lineRule="auto"/>
        <w:jc w:val="both"/>
        <w:rPr>
          <w:rFonts w:ascii="Times New Roman" w:hAnsi="Times New Roman" w:cs="Times New Roman"/>
          <w:sz w:val="24"/>
          <w:szCs w:val="24"/>
          <w:lang w:val="pt-PT"/>
        </w:rPr>
      </w:pPr>
      <w:r w:rsidRPr="002A0C01">
        <w:rPr>
          <w:rStyle w:val="None"/>
          <w:rFonts w:ascii="Times New Roman" w:hAnsi="Times New Roman" w:cs="Times New Roman"/>
          <w:sz w:val="24"/>
          <w:szCs w:val="24"/>
          <w:lang w:val="pt-PT"/>
        </w:rPr>
        <w:t xml:space="preserve">Gegout C, </w:t>
      </w:r>
      <w:r w:rsidRPr="002A0C01">
        <w:rPr>
          <w:rStyle w:val="None"/>
          <w:rFonts w:ascii="Times New Roman" w:hAnsi="Times New Roman" w:cs="Times New Roman"/>
          <w:sz w:val="24"/>
          <w:szCs w:val="24"/>
        </w:rPr>
        <w:t xml:space="preserve">‘The International Criminal Court: limits, potential and conditions for the promotion of justice and peace’ </w:t>
      </w:r>
      <w:r w:rsidRPr="002A0C01">
        <w:rPr>
          <w:rStyle w:val="None"/>
          <w:rFonts w:ascii="Times New Roman" w:hAnsi="Times New Roman" w:cs="Times New Roman"/>
          <w:sz w:val="24"/>
          <w:szCs w:val="24"/>
          <w:lang w:val="ru-RU"/>
        </w:rPr>
        <w:t xml:space="preserve">34 </w:t>
      </w:r>
      <w:r w:rsidRPr="002A0C01">
        <w:rPr>
          <w:rStyle w:val="None"/>
          <w:rFonts w:ascii="Times New Roman" w:hAnsi="Times New Roman" w:cs="Times New Roman"/>
          <w:i/>
          <w:iCs/>
          <w:sz w:val="24"/>
          <w:szCs w:val="24"/>
        </w:rPr>
        <w:t>Third World Quarterly</w:t>
      </w:r>
      <w:r w:rsidRPr="002A0C01">
        <w:rPr>
          <w:rStyle w:val="None"/>
          <w:rFonts w:ascii="Times New Roman" w:hAnsi="Times New Roman" w:cs="Times New Roman"/>
          <w:sz w:val="24"/>
          <w:szCs w:val="24"/>
        </w:rPr>
        <w:t xml:space="preserve"> 5, 2013.</w:t>
      </w:r>
    </w:p>
    <w:p w14:paraId="0939439A"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Gurmendi S, ‘The Rules of Procedure and Evidence of the International Criminal Court’ 3 </w:t>
      </w:r>
      <w:r w:rsidRPr="002A0C01">
        <w:rPr>
          <w:rStyle w:val="None"/>
          <w:rFonts w:ascii="Times New Roman" w:hAnsi="Times New Roman" w:cs="Times New Roman"/>
          <w:i/>
          <w:iCs/>
          <w:sz w:val="24"/>
          <w:szCs w:val="24"/>
        </w:rPr>
        <w:t xml:space="preserve">Yearbook of International Humanitarian Law, </w:t>
      </w:r>
      <w:r w:rsidRPr="002A0C01">
        <w:rPr>
          <w:rStyle w:val="NoneA"/>
          <w:rFonts w:ascii="Times New Roman" w:hAnsi="Times New Roman" w:cs="Times New Roman"/>
          <w:sz w:val="24"/>
          <w:szCs w:val="24"/>
        </w:rPr>
        <w:t>2000.</w:t>
      </w:r>
    </w:p>
    <w:p w14:paraId="74E310C8"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Jalloh C, ‘Situation in the Republic of Kenya’ 105 </w:t>
      </w:r>
      <w:r w:rsidRPr="002A0C01">
        <w:rPr>
          <w:rStyle w:val="None"/>
          <w:rFonts w:ascii="Times New Roman" w:hAnsi="Times New Roman" w:cs="Times New Roman"/>
          <w:i/>
          <w:iCs/>
          <w:sz w:val="24"/>
          <w:szCs w:val="24"/>
        </w:rPr>
        <w:t xml:space="preserve">The American Journal of International Law </w:t>
      </w:r>
      <w:r w:rsidRPr="002A0C01">
        <w:rPr>
          <w:rStyle w:val="NoneA"/>
          <w:rFonts w:ascii="Times New Roman" w:hAnsi="Times New Roman" w:cs="Times New Roman"/>
          <w:sz w:val="24"/>
          <w:szCs w:val="24"/>
        </w:rPr>
        <w:t>3, 2011.</w:t>
      </w:r>
    </w:p>
    <w:p w14:paraId="4607BE72"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Kendall S,’ UhuRuto’ and Other Leviathans: The International Criminal Court and the Kenyan Political Order’ 7 </w:t>
      </w:r>
      <w:r w:rsidRPr="002A0C01">
        <w:rPr>
          <w:rStyle w:val="None"/>
          <w:rFonts w:ascii="Times New Roman" w:hAnsi="Times New Roman" w:cs="Times New Roman"/>
          <w:i/>
          <w:iCs/>
          <w:sz w:val="24"/>
          <w:szCs w:val="24"/>
        </w:rPr>
        <w:t xml:space="preserve">African Journal of Legal Studies </w:t>
      </w:r>
      <w:r w:rsidRPr="002A0C01">
        <w:rPr>
          <w:rStyle w:val="NoneA"/>
          <w:rFonts w:ascii="Times New Roman" w:hAnsi="Times New Roman" w:cs="Times New Roman"/>
          <w:sz w:val="24"/>
          <w:szCs w:val="24"/>
        </w:rPr>
        <w:t>3, 2014.</w:t>
      </w:r>
    </w:p>
    <w:p w14:paraId="3221E392"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
          <w:rFonts w:ascii="Times New Roman" w:hAnsi="Times New Roman" w:cs="Times New Roman"/>
          <w:sz w:val="24"/>
          <w:szCs w:val="24"/>
        </w:rPr>
        <w:lastRenderedPageBreak/>
        <w:t xml:space="preserve">Kissane D, ‘The Rational Approach’ 14 </w:t>
      </w:r>
      <w:r w:rsidRPr="002A0C01">
        <w:rPr>
          <w:rStyle w:val="None"/>
          <w:rFonts w:ascii="Times New Roman" w:hAnsi="Times New Roman" w:cs="Times New Roman"/>
          <w:i/>
          <w:iCs/>
          <w:sz w:val="24"/>
          <w:szCs w:val="24"/>
          <w:lang w:val="de-DE"/>
        </w:rPr>
        <w:t>International Studies Review</w:t>
      </w:r>
      <w:r w:rsidRPr="002A0C01">
        <w:rPr>
          <w:rStyle w:val="None"/>
          <w:rFonts w:ascii="Times New Roman" w:hAnsi="Times New Roman" w:cs="Times New Roman"/>
          <w:i/>
          <w:iCs/>
          <w:sz w:val="24"/>
          <w:szCs w:val="24"/>
        </w:rPr>
        <w:t xml:space="preserve"> </w:t>
      </w:r>
      <w:r w:rsidRPr="002A0C01">
        <w:rPr>
          <w:rStyle w:val="None"/>
          <w:rFonts w:ascii="Times New Roman" w:hAnsi="Times New Roman" w:cs="Times New Roman"/>
          <w:sz w:val="24"/>
          <w:szCs w:val="24"/>
        </w:rPr>
        <w:t>2, 2012.</w:t>
      </w:r>
    </w:p>
    <w:p w14:paraId="59242ECE"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Mangu A, ‘The International Criminal Court, Justice, Peace and the Fight against Impunity in Africa: An Overview’ 40 </w:t>
      </w:r>
      <w:r w:rsidRPr="002A0C01">
        <w:rPr>
          <w:rStyle w:val="None"/>
          <w:rFonts w:ascii="Times New Roman" w:hAnsi="Times New Roman" w:cs="Times New Roman"/>
          <w:i/>
          <w:iCs/>
          <w:sz w:val="24"/>
          <w:szCs w:val="24"/>
        </w:rPr>
        <w:t xml:space="preserve">Africa Development / Afrique et Développement </w:t>
      </w:r>
      <w:r w:rsidRPr="002A0C01">
        <w:rPr>
          <w:rStyle w:val="NoneA"/>
          <w:rFonts w:ascii="Times New Roman" w:hAnsi="Times New Roman" w:cs="Times New Roman"/>
          <w:sz w:val="24"/>
          <w:szCs w:val="24"/>
        </w:rPr>
        <w:t>2, 2015.</w:t>
      </w:r>
    </w:p>
    <w:p w14:paraId="5C247BB6"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Mitchell, Sara M and Paul R, ‘International Institutions and Compliance with Agreements’ 51 </w:t>
      </w:r>
      <w:r w:rsidRPr="002A0C01">
        <w:rPr>
          <w:rStyle w:val="None"/>
          <w:rFonts w:ascii="Times New Roman" w:hAnsi="Times New Roman" w:cs="Times New Roman"/>
          <w:i/>
          <w:iCs/>
          <w:sz w:val="24"/>
          <w:szCs w:val="24"/>
        </w:rPr>
        <w:t>American Journal of Political Science</w:t>
      </w:r>
      <w:r w:rsidRPr="002A0C01">
        <w:rPr>
          <w:rStyle w:val="NoneA"/>
          <w:rFonts w:ascii="Times New Roman" w:hAnsi="Times New Roman" w:cs="Times New Roman"/>
          <w:sz w:val="24"/>
          <w:szCs w:val="24"/>
        </w:rPr>
        <w:t xml:space="preserve"> 4, 2007.</w:t>
      </w:r>
    </w:p>
    <w:p w14:paraId="7EAADE03"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
          <w:rFonts w:ascii="Times New Roman" w:hAnsi="Times New Roman" w:cs="Times New Roman"/>
          <w:sz w:val="24"/>
          <w:szCs w:val="24"/>
        </w:rPr>
        <w:t xml:space="preserve">Murithi T, ‘Ensuring Peace and Reconciliation while Holding Leaders Accountable: The Politics of ICC Cases in Kenya and Sudan’ 40 </w:t>
      </w:r>
      <w:r w:rsidRPr="002A0C01">
        <w:rPr>
          <w:rStyle w:val="None"/>
          <w:rFonts w:ascii="Times New Roman" w:hAnsi="Times New Roman" w:cs="Times New Roman"/>
          <w:i/>
          <w:iCs/>
          <w:sz w:val="24"/>
          <w:szCs w:val="24"/>
          <w:lang w:val="fr-FR"/>
        </w:rPr>
        <w:t>Africa Development / Afrique et Développement</w:t>
      </w:r>
      <w:r w:rsidRPr="002A0C01">
        <w:rPr>
          <w:rStyle w:val="None"/>
          <w:rFonts w:ascii="Times New Roman" w:hAnsi="Times New Roman" w:cs="Times New Roman"/>
          <w:i/>
          <w:iCs/>
          <w:sz w:val="24"/>
          <w:szCs w:val="24"/>
        </w:rPr>
        <w:t xml:space="preserve"> </w:t>
      </w:r>
      <w:r w:rsidRPr="002A0C01">
        <w:rPr>
          <w:rStyle w:val="None"/>
          <w:rFonts w:ascii="Times New Roman" w:hAnsi="Times New Roman" w:cs="Times New Roman"/>
          <w:sz w:val="24"/>
          <w:szCs w:val="24"/>
        </w:rPr>
        <w:t>2, 2015.</w:t>
      </w:r>
    </w:p>
    <w:p w14:paraId="7C1424AE"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Ntoubandi F, ‘Towards ending Impunity in Darfur: The ICC arrest warrant of 27 April 2007’ Max-Planck-Institut für ausländisches öffentliches Recht und Völkerrecht, 2009-</w:t>
      </w:r>
      <w:hyperlink r:id="rId25" w:history="1">
        <w:r w:rsidRPr="002A0C01">
          <w:rPr>
            <w:rStyle w:val="Hyperlink8"/>
            <w:rFonts w:ascii="Times New Roman" w:hAnsi="Times New Roman" w:cs="Times New Roman"/>
            <w:sz w:val="24"/>
            <w:szCs w:val="24"/>
          </w:rPr>
          <w:t>http://www.zaoerv.de/69_2009/69_2009_1_b_123_154.pdf</w:t>
        </w:r>
      </w:hyperlink>
      <w:r w:rsidRPr="002A0C01">
        <w:rPr>
          <w:rStyle w:val="NoneA"/>
          <w:rFonts w:ascii="Times New Roman" w:hAnsi="Times New Roman" w:cs="Times New Roman"/>
          <w:sz w:val="24"/>
          <w:szCs w:val="24"/>
        </w:rPr>
        <w:t>.</w:t>
      </w:r>
    </w:p>
    <w:p w14:paraId="2BD01056" w14:textId="77777777" w:rsidR="001B7948" w:rsidRPr="002A0C01" w:rsidRDefault="00B2706C" w:rsidP="002A0C01">
      <w:pPr>
        <w:pStyle w:val="BodyA"/>
        <w:spacing w:line="360" w:lineRule="auto"/>
        <w:jc w:val="both"/>
        <w:rPr>
          <w:rFonts w:ascii="Times New Roman" w:hAnsi="Times New Roman" w:cs="Times New Roman"/>
          <w:sz w:val="24"/>
          <w:szCs w:val="24"/>
          <w:lang w:val="nl-NL"/>
        </w:rPr>
      </w:pPr>
      <w:r w:rsidRPr="002A0C01">
        <w:rPr>
          <w:rStyle w:val="None"/>
          <w:rFonts w:ascii="Times New Roman" w:hAnsi="Times New Roman" w:cs="Times New Roman"/>
          <w:sz w:val="24"/>
          <w:szCs w:val="24"/>
          <w:lang w:val="nl-NL"/>
        </w:rPr>
        <w:t xml:space="preserve">Oosterveld, Perry and McManus, </w:t>
      </w:r>
      <w:r w:rsidRPr="002A0C01">
        <w:rPr>
          <w:rStyle w:val="None"/>
          <w:rFonts w:ascii="Times New Roman" w:hAnsi="Times New Roman" w:cs="Times New Roman"/>
          <w:sz w:val="24"/>
          <w:szCs w:val="24"/>
        </w:rPr>
        <w:t xml:space="preserve">‘The Cooperation of States with the International Criminal Court’ 25 </w:t>
      </w:r>
      <w:r w:rsidRPr="002A0C01">
        <w:rPr>
          <w:rStyle w:val="None"/>
          <w:rFonts w:ascii="Times New Roman" w:hAnsi="Times New Roman" w:cs="Times New Roman"/>
          <w:i/>
          <w:iCs/>
          <w:sz w:val="24"/>
          <w:szCs w:val="24"/>
        </w:rPr>
        <w:t xml:space="preserve">Fordham International Law Journal </w:t>
      </w:r>
      <w:r w:rsidRPr="002A0C01">
        <w:rPr>
          <w:rStyle w:val="None"/>
          <w:rFonts w:ascii="Times New Roman" w:hAnsi="Times New Roman" w:cs="Times New Roman"/>
          <w:sz w:val="24"/>
          <w:szCs w:val="24"/>
        </w:rPr>
        <w:t>3, 2001.</w:t>
      </w:r>
    </w:p>
    <w:p w14:paraId="680F8716"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Peskin V, ‘Caution and Confrontation in the International Criminal Court's Pursuit of Accountability in Uganda and Sudan’ 31 </w:t>
      </w:r>
      <w:r w:rsidRPr="002A0C01">
        <w:rPr>
          <w:rStyle w:val="None"/>
          <w:rFonts w:ascii="Times New Roman" w:hAnsi="Times New Roman" w:cs="Times New Roman"/>
          <w:i/>
          <w:iCs/>
          <w:sz w:val="24"/>
          <w:szCs w:val="24"/>
        </w:rPr>
        <w:t>Human Rights Quarterly</w:t>
      </w:r>
      <w:r w:rsidRPr="002A0C01">
        <w:rPr>
          <w:rStyle w:val="NoneA"/>
          <w:rFonts w:ascii="Times New Roman" w:hAnsi="Times New Roman" w:cs="Times New Roman"/>
          <w:sz w:val="24"/>
          <w:szCs w:val="24"/>
        </w:rPr>
        <w:t xml:space="preserve"> 3, 2009.</w:t>
      </w:r>
    </w:p>
    <w:p w14:paraId="36BE3AA6"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Peskin V, ‘The International Criminal Court, the Security Council, and the Politics of Impunity in Darfur’ 4(3) </w:t>
      </w:r>
      <w:r w:rsidRPr="002A0C01">
        <w:rPr>
          <w:rStyle w:val="None"/>
          <w:rFonts w:ascii="Times New Roman" w:hAnsi="Times New Roman" w:cs="Times New Roman"/>
          <w:i/>
          <w:iCs/>
          <w:sz w:val="24"/>
          <w:szCs w:val="24"/>
        </w:rPr>
        <w:t>Genocide Studies and Prevention: An International Journal</w:t>
      </w:r>
      <w:r w:rsidRPr="002A0C01">
        <w:rPr>
          <w:rStyle w:val="NoneA"/>
          <w:rFonts w:ascii="Times New Roman" w:hAnsi="Times New Roman" w:cs="Times New Roman"/>
          <w:sz w:val="24"/>
          <w:szCs w:val="24"/>
        </w:rPr>
        <w:t>, 2009.</w:t>
      </w:r>
    </w:p>
    <w:p w14:paraId="3ADCBC1C"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
          <w:rFonts w:ascii="Times New Roman" w:hAnsi="Times New Roman" w:cs="Times New Roman"/>
          <w:sz w:val="24"/>
          <w:szCs w:val="24"/>
        </w:rPr>
        <w:t xml:space="preserve">Roach S, ‘How Political Is the ICC? Pressing Challenges and the Need for Diplomatic Efficacy’ 19 </w:t>
      </w:r>
      <w:r w:rsidRPr="002A0C01">
        <w:rPr>
          <w:rStyle w:val="None"/>
          <w:rFonts w:ascii="Times New Roman" w:hAnsi="Times New Roman" w:cs="Times New Roman"/>
          <w:i/>
          <w:iCs/>
          <w:sz w:val="24"/>
          <w:szCs w:val="24"/>
          <w:lang w:val="pt-PT"/>
        </w:rPr>
        <w:t>Global Governance</w:t>
      </w:r>
      <w:r w:rsidRPr="002A0C01">
        <w:rPr>
          <w:rStyle w:val="None"/>
          <w:rFonts w:ascii="Times New Roman" w:hAnsi="Times New Roman" w:cs="Times New Roman"/>
          <w:i/>
          <w:iCs/>
          <w:sz w:val="24"/>
          <w:szCs w:val="24"/>
        </w:rPr>
        <w:t xml:space="preserve"> </w:t>
      </w:r>
      <w:r w:rsidRPr="002A0C01">
        <w:rPr>
          <w:rStyle w:val="None"/>
          <w:rFonts w:ascii="Times New Roman" w:hAnsi="Times New Roman" w:cs="Times New Roman"/>
          <w:sz w:val="24"/>
          <w:szCs w:val="24"/>
        </w:rPr>
        <w:t xml:space="preserve">4, 2013. </w:t>
      </w:r>
    </w:p>
    <w:p w14:paraId="412954CA"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Savage P, ‘The crisis of governance and the challenge to peace in Sudan’ Christian Aid, April 2003- </w:t>
      </w:r>
      <w:hyperlink r:id="rId26" w:history="1">
        <w:r w:rsidRPr="002A0C01">
          <w:rPr>
            <w:rStyle w:val="Hyperlink8"/>
            <w:rFonts w:ascii="Times New Roman" w:hAnsi="Times New Roman" w:cs="Times New Roman"/>
            <w:sz w:val="24"/>
            <w:szCs w:val="24"/>
          </w:rPr>
          <w:t>https://reliefweb.int/sites/reilefweb.int/files/resources/8F6CFFA4B85256D2C0070B9AE-christianaid-sdn-30apr.p</w:t>
        </w:r>
      </w:hyperlink>
      <w:r w:rsidRPr="002A0C01">
        <w:rPr>
          <w:rStyle w:val="NoneA"/>
          <w:rFonts w:ascii="Times New Roman" w:hAnsi="Times New Roman" w:cs="Times New Roman"/>
          <w:sz w:val="24"/>
          <w:szCs w:val="24"/>
        </w:rPr>
        <w:t>.</w:t>
      </w:r>
    </w:p>
    <w:p w14:paraId="69A6A252"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
          <w:rFonts w:ascii="Times New Roman" w:hAnsi="Times New Roman" w:cs="Times New Roman"/>
          <w:sz w:val="24"/>
          <w:szCs w:val="24"/>
        </w:rPr>
        <w:t xml:space="preserve">Schemeil Y, ‘Review of Rational Theory of International Politics: The Logic of Competition and Cooperation by Charles Glaser’ I </w:t>
      </w:r>
      <w:r w:rsidRPr="002A0C01">
        <w:rPr>
          <w:rStyle w:val="None"/>
          <w:rFonts w:ascii="Times New Roman" w:hAnsi="Times New Roman" w:cs="Times New Roman"/>
          <w:i/>
          <w:iCs/>
          <w:sz w:val="24"/>
          <w:szCs w:val="24"/>
          <w:lang w:val="fr-FR"/>
        </w:rPr>
        <w:t xml:space="preserve">Critique </w:t>
      </w:r>
      <w:r w:rsidRPr="002A0C01">
        <w:rPr>
          <w:rStyle w:val="None"/>
          <w:rFonts w:ascii="Times New Roman" w:hAnsi="Times New Roman" w:cs="Times New Roman"/>
          <w:i/>
          <w:iCs/>
          <w:sz w:val="24"/>
          <w:szCs w:val="24"/>
        </w:rPr>
        <w:t>I</w:t>
      </w:r>
      <w:r w:rsidRPr="002A0C01">
        <w:rPr>
          <w:rStyle w:val="None"/>
          <w:rFonts w:ascii="Times New Roman" w:hAnsi="Times New Roman" w:cs="Times New Roman"/>
          <w:i/>
          <w:iCs/>
          <w:sz w:val="24"/>
          <w:szCs w:val="24"/>
          <w:lang w:val="fr-FR"/>
        </w:rPr>
        <w:t>nternationale</w:t>
      </w:r>
      <w:r w:rsidRPr="002A0C01">
        <w:rPr>
          <w:rStyle w:val="None"/>
          <w:rFonts w:ascii="Times New Roman" w:hAnsi="Times New Roman" w:cs="Times New Roman"/>
          <w:i/>
          <w:iCs/>
          <w:sz w:val="24"/>
          <w:szCs w:val="24"/>
        </w:rPr>
        <w:t xml:space="preserve"> </w:t>
      </w:r>
      <w:r w:rsidRPr="002A0C01">
        <w:rPr>
          <w:rStyle w:val="None"/>
          <w:rFonts w:ascii="Times New Roman" w:hAnsi="Times New Roman" w:cs="Times New Roman"/>
          <w:sz w:val="24"/>
          <w:szCs w:val="24"/>
          <w:lang w:val="ru-RU"/>
        </w:rPr>
        <w:t>58</w:t>
      </w:r>
      <w:r w:rsidRPr="002A0C01">
        <w:rPr>
          <w:rStyle w:val="None"/>
          <w:rFonts w:ascii="Times New Roman" w:hAnsi="Times New Roman" w:cs="Times New Roman"/>
          <w:sz w:val="24"/>
          <w:szCs w:val="24"/>
        </w:rPr>
        <w:t>, 2013.</w:t>
      </w:r>
    </w:p>
    <w:p w14:paraId="38AE14EE" w14:textId="77777777" w:rsidR="001B7948" w:rsidRPr="002A0C01" w:rsidRDefault="00B2706C" w:rsidP="002A0C01">
      <w:pPr>
        <w:pStyle w:val="BodyA"/>
        <w:spacing w:line="360" w:lineRule="auto"/>
        <w:jc w:val="both"/>
        <w:rPr>
          <w:rFonts w:ascii="Times New Roman" w:hAnsi="Times New Roman" w:cs="Times New Roman"/>
          <w:sz w:val="24"/>
          <w:szCs w:val="24"/>
          <w:lang w:val="fr-FR"/>
        </w:rPr>
      </w:pPr>
      <w:r w:rsidRPr="002A0C01">
        <w:rPr>
          <w:rStyle w:val="None"/>
          <w:rFonts w:ascii="Times New Roman" w:hAnsi="Times New Roman" w:cs="Times New Roman"/>
          <w:sz w:val="24"/>
          <w:szCs w:val="24"/>
          <w:lang w:val="fr-FR"/>
        </w:rPr>
        <w:t xml:space="preserve">Shatku PS, </w:t>
      </w:r>
      <w:r w:rsidRPr="002A0C01">
        <w:rPr>
          <w:rStyle w:val="None"/>
          <w:rFonts w:ascii="Times New Roman" w:hAnsi="Times New Roman" w:cs="Times New Roman"/>
          <w:sz w:val="24"/>
          <w:szCs w:val="24"/>
        </w:rPr>
        <w:t xml:space="preserve">‘Interpretation and Application of Article 98 of the Rome Statute’ 6 </w:t>
      </w:r>
      <w:r w:rsidRPr="002A0C01">
        <w:rPr>
          <w:rStyle w:val="None"/>
          <w:rFonts w:ascii="Times New Roman" w:hAnsi="Times New Roman" w:cs="Times New Roman"/>
          <w:i/>
          <w:iCs/>
          <w:sz w:val="24"/>
          <w:szCs w:val="24"/>
        </w:rPr>
        <w:t>Academic Journal of Interdisciplinary Studies</w:t>
      </w:r>
      <w:r w:rsidRPr="002A0C01">
        <w:rPr>
          <w:rStyle w:val="None"/>
          <w:rFonts w:ascii="Times New Roman" w:hAnsi="Times New Roman" w:cs="Times New Roman"/>
          <w:sz w:val="24"/>
          <w:szCs w:val="24"/>
        </w:rPr>
        <w:t xml:space="preserve"> 1, 2017.</w:t>
      </w:r>
    </w:p>
    <w:p w14:paraId="0965D2F2"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Senier M, ‘Introductory Note to the International Criminal Court: Situation in the Republic of Kenya (Int’l Crim. Ct.)’ 50 </w:t>
      </w:r>
      <w:r w:rsidRPr="002A0C01">
        <w:rPr>
          <w:rStyle w:val="None"/>
          <w:rFonts w:ascii="Times New Roman" w:hAnsi="Times New Roman" w:cs="Times New Roman"/>
          <w:i/>
          <w:iCs/>
          <w:sz w:val="24"/>
          <w:szCs w:val="24"/>
        </w:rPr>
        <w:t xml:space="preserve">International Legal Materials </w:t>
      </w:r>
      <w:r w:rsidRPr="002A0C01">
        <w:rPr>
          <w:rStyle w:val="NoneA"/>
          <w:rFonts w:ascii="Times New Roman" w:hAnsi="Times New Roman" w:cs="Times New Roman"/>
          <w:sz w:val="24"/>
          <w:szCs w:val="24"/>
        </w:rPr>
        <w:t>4, 2011.</w:t>
      </w:r>
    </w:p>
    <w:p w14:paraId="225A3148"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lastRenderedPageBreak/>
        <w:t xml:space="preserve">Sriram C and Brown S, ‘Kenya in the Shadow of the ICC: Complementarity, Gravity and Impact’ 12 </w:t>
      </w:r>
      <w:r w:rsidRPr="002A0C01">
        <w:rPr>
          <w:rStyle w:val="None"/>
          <w:rFonts w:ascii="Times New Roman" w:hAnsi="Times New Roman" w:cs="Times New Roman"/>
          <w:i/>
          <w:iCs/>
          <w:sz w:val="24"/>
          <w:szCs w:val="24"/>
        </w:rPr>
        <w:t>International Criminal Law Review</w:t>
      </w:r>
      <w:r w:rsidRPr="002A0C01">
        <w:rPr>
          <w:rStyle w:val="NoneA"/>
          <w:rFonts w:ascii="Times New Roman" w:hAnsi="Times New Roman" w:cs="Times New Roman"/>
          <w:sz w:val="24"/>
          <w:szCs w:val="24"/>
        </w:rPr>
        <w:t xml:space="preserve"> 2, 2012.</w:t>
      </w:r>
    </w:p>
    <w:p w14:paraId="792166CD"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Sriram C and Brown S, ‘The Big Fish Won’t Fry Themselves: Criminal Accountability for Post-Election Violence In Kenya’ 111 </w:t>
      </w:r>
      <w:r w:rsidRPr="002A0C01">
        <w:rPr>
          <w:rStyle w:val="None"/>
          <w:rFonts w:ascii="Times New Roman" w:hAnsi="Times New Roman" w:cs="Times New Roman"/>
          <w:i/>
          <w:iCs/>
          <w:sz w:val="24"/>
          <w:szCs w:val="24"/>
        </w:rPr>
        <w:t xml:space="preserve">African Affairs </w:t>
      </w:r>
      <w:r w:rsidRPr="002A0C01">
        <w:rPr>
          <w:rStyle w:val="NoneA"/>
          <w:rFonts w:ascii="Times New Roman" w:hAnsi="Times New Roman" w:cs="Times New Roman"/>
          <w:sz w:val="24"/>
          <w:szCs w:val="24"/>
        </w:rPr>
        <w:t xml:space="preserve">443, Vol. 111, 2012. </w:t>
      </w:r>
    </w:p>
    <w:p w14:paraId="1171C9E6"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Totten C and Tyler N, ‘Arguing for an Integrated Approach to Resolving the Crisis in Darfur: The Challenges of Complementarity, Enforcement, and Related Issues in the International Criminal Court’ 98</w:t>
      </w:r>
      <w:r w:rsidRPr="002A0C01">
        <w:rPr>
          <w:rStyle w:val="None"/>
          <w:rFonts w:ascii="Times New Roman" w:hAnsi="Times New Roman" w:cs="Times New Roman"/>
          <w:i/>
          <w:iCs/>
          <w:sz w:val="24"/>
          <w:szCs w:val="24"/>
        </w:rPr>
        <w:t xml:space="preserve"> Journal of Criminal Law and Criminology</w:t>
      </w:r>
      <w:r w:rsidRPr="002A0C01">
        <w:rPr>
          <w:rStyle w:val="NoneA"/>
          <w:rFonts w:ascii="Times New Roman" w:hAnsi="Times New Roman" w:cs="Times New Roman"/>
          <w:sz w:val="24"/>
          <w:szCs w:val="24"/>
        </w:rPr>
        <w:t xml:space="preserve"> 3, 2008.</w:t>
      </w:r>
    </w:p>
    <w:p w14:paraId="555B471B"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Vyver J, ‘Prosecuting the President of Sudan: A dispute between the African Union and the International Criminal Court’ 11 </w:t>
      </w:r>
      <w:r w:rsidRPr="002A0C01">
        <w:rPr>
          <w:rStyle w:val="None"/>
          <w:rFonts w:ascii="Times New Roman" w:hAnsi="Times New Roman" w:cs="Times New Roman"/>
          <w:i/>
          <w:iCs/>
          <w:sz w:val="24"/>
          <w:szCs w:val="24"/>
        </w:rPr>
        <w:t>African Human Rights Law Journal</w:t>
      </w:r>
      <w:r w:rsidRPr="002A0C01">
        <w:rPr>
          <w:rStyle w:val="NoneA"/>
          <w:rFonts w:ascii="Times New Roman" w:hAnsi="Times New Roman" w:cs="Times New Roman"/>
          <w:sz w:val="24"/>
          <w:szCs w:val="24"/>
        </w:rPr>
        <w:t>, 2011.</w:t>
      </w:r>
    </w:p>
    <w:p w14:paraId="29C3CCBF"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Zacher M, Brehm H and Savelsberg J, ‘NGOs, IOs, and the ICC: Diagnosing and Framing Darfur’ 29 </w:t>
      </w:r>
      <w:r w:rsidRPr="002A0C01">
        <w:rPr>
          <w:rStyle w:val="None"/>
          <w:rFonts w:ascii="Times New Roman" w:hAnsi="Times New Roman" w:cs="Times New Roman"/>
          <w:i/>
          <w:iCs/>
          <w:sz w:val="24"/>
          <w:szCs w:val="24"/>
        </w:rPr>
        <w:t>Sociological Forum</w:t>
      </w:r>
      <w:r w:rsidRPr="002A0C01">
        <w:rPr>
          <w:rStyle w:val="NoneA"/>
          <w:rFonts w:ascii="Times New Roman" w:hAnsi="Times New Roman" w:cs="Times New Roman"/>
          <w:sz w:val="24"/>
          <w:szCs w:val="24"/>
        </w:rPr>
        <w:t xml:space="preserve"> 1, 2014.</w:t>
      </w:r>
    </w:p>
    <w:p w14:paraId="5792917A" w14:textId="77777777" w:rsidR="001B7948" w:rsidRPr="002A0C01" w:rsidRDefault="00B2706C" w:rsidP="002A0C01">
      <w:pPr>
        <w:pStyle w:val="FootnoteText"/>
        <w:spacing w:line="360" w:lineRule="auto"/>
        <w:jc w:val="both"/>
        <w:rPr>
          <w:rStyle w:val="NoneA"/>
          <w:rFonts w:ascii="Times New Roman" w:hAnsi="Times New Roman" w:cs="Times New Roman"/>
          <w:sz w:val="24"/>
          <w:szCs w:val="24"/>
        </w:rPr>
      </w:pPr>
      <w:r w:rsidRPr="002A0C01">
        <w:rPr>
          <w:rStyle w:val="NoneA"/>
          <w:rFonts w:ascii="Times New Roman" w:hAnsi="Times New Roman" w:cs="Times New Roman"/>
          <w:sz w:val="24"/>
          <w:szCs w:val="24"/>
        </w:rPr>
        <w:t xml:space="preserve">Zimmerman A, ‘The Creation of a Permanent International Criminal Court’ 2 </w:t>
      </w:r>
      <w:r w:rsidRPr="002A0C01">
        <w:rPr>
          <w:rStyle w:val="None"/>
          <w:rFonts w:ascii="Times New Roman" w:hAnsi="Times New Roman" w:cs="Times New Roman"/>
          <w:i/>
          <w:iCs/>
          <w:sz w:val="24"/>
          <w:szCs w:val="24"/>
        </w:rPr>
        <w:t>Max Planck Yearbook of United Nations Law</w:t>
      </w:r>
      <w:r w:rsidRPr="002A0C01">
        <w:rPr>
          <w:rStyle w:val="NoneA"/>
          <w:rFonts w:ascii="Times New Roman" w:hAnsi="Times New Roman" w:cs="Times New Roman"/>
          <w:sz w:val="24"/>
          <w:szCs w:val="24"/>
        </w:rPr>
        <w:t>, 1998.</w:t>
      </w:r>
    </w:p>
    <w:p w14:paraId="2CE3EA36" w14:textId="77777777" w:rsidR="00940D9A" w:rsidRPr="002A0C01" w:rsidRDefault="00940D9A" w:rsidP="002A0C01">
      <w:pPr>
        <w:pStyle w:val="FootnoteText"/>
        <w:spacing w:line="360" w:lineRule="auto"/>
        <w:jc w:val="both"/>
        <w:rPr>
          <w:rFonts w:ascii="Times New Roman" w:hAnsi="Times New Roman" w:cs="Times New Roman"/>
          <w:sz w:val="24"/>
          <w:szCs w:val="24"/>
        </w:rPr>
      </w:pPr>
    </w:p>
    <w:p w14:paraId="3E9CDAE1"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58" w:name="_Toc52"/>
      <w:r w:rsidRPr="002A0C01">
        <w:rPr>
          <w:rStyle w:val="None"/>
          <w:rFonts w:ascii="Times New Roman" w:hAnsi="Times New Roman" w:cs="Times New Roman"/>
          <w:color w:val="000000"/>
          <w:u w:val="single" w:color="000000"/>
        </w:rPr>
        <w:t>Working Papers</w:t>
      </w:r>
      <w:bookmarkEnd w:id="58"/>
    </w:p>
    <w:p w14:paraId="2285CB99"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Mbaku J, ‘International Justice: The International Criminal Court and Africa’ Africa Growth Initiative, 2013 </w:t>
      </w:r>
      <w:hyperlink r:id="rId27" w:history="1">
        <w:r w:rsidRPr="002A0C01">
          <w:rPr>
            <w:rStyle w:val="Hyperlink8"/>
            <w:rFonts w:ascii="Times New Roman" w:hAnsi="Times New Roman" w:cs="Times New Roman"/>
            <w:sz w:val="24"/>
            <w:szCs w:val="24"/>
          </w:rPr>
          <w:t>https://www.brookings.edu/wp-content/uploads/2016/07/03-foresight-international-criminal-court-africa-mbaku-1.pdf</w:t>
        </w:r>
      </w:hyperlink>
      <w:r w:rsidRPr="002A0C01">
        <w:rPr>
          <w:rStyle w:val="None"/>
          <w:rFonts w:ascii="Times New Roman" w:hAnsi="Times New Roman" w:cs="Times New Roman"/>
          <w:sz w:val="24"/>
          <w:szCs w:val="24"/>
          <w:u w:val="single"/>
        </w:rPr>
        <w:t>.</w:t>
      </w:r>
    </w:p>
    <w:p w14:paraId="01E0689B"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Wouters J and Verhoeven S, ‘Justice for Africa: The cases of the Democratic Republic of the Congo, Uganda and Darfur before the International Criminal Court’ Institute for International Law, Working Paper 81, July 2005, 12 </w:t>
      </w:r>
      <w:hyperlink r:id="rId28" w:history="1">
        <w:r w:rsidRPr="002A0C01">
          <w:rPr>
            <w:rStyle w:val="Hyperlink8"/>
            <w:rFonts w:ascii="Times New Roman" w:hAnsi="Times New Roman" w:cs="Times New Roman"/>
            <w:sz w:val="24"/>
            <w:szCs w:val="24"/>
          </w:rPr>
          <w:t>https://www.law.kuleuven.be/iir/nl/onderzoek/working-papers/WP81e.pdf</w:t>
        </w:r>
      </w:hyperlink>
      <w:r w:rsidRPr="002A0C01">
        <w:rPr>
          <w:rStyle w:val="NoneA"/>
          <w:rFonts w:ascii="Times New Roman" w:hAnsi="Times New Roman" w:cs="Times New Roman"/>
          <w:sz w:val="24"/>
          <w:szCs w:val="24"/>
        </w:rPr>
        <w:t>.</w:t>
      </w:r>
    </w:p>
    <w:p w14:paraId="1919A261" w14:textId="77777777" w:rsidR="001B7948" w:rsidRPr="002A0C01" w:rsidRDefault="00B2706C" w:rsidP="002A0C01">
      <w:pPr>
        <w:pStyle w:val="FootnoteTex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Wanyeki M, ‘The International Criminal Court’s cases in Kenya: Origin and Impact’ </w:t>
      </w:r>
      <w:bookmarkStart w:id="59" w:name="_Hlk19293960"/>
      <w:r w:rsidRPr="002A0C01">
        <w:rPr>
          <w:rStyle w:val="NoneA"/>
          <w:rFonts w:ascii="Times New Roman" w:hAnsi="Times New Roman" w:cs="Times New Roman"/>
          <w:sz w:val="24"/>
          <w:szCs w:val="24"/>
        </w:rPr>
        <w:t>Institute for Security Studies</w:t>
      </w:r>
      <w:bookmarkEnd w:id="59"/>
      <w:r w:rsidRPr="002A0C01">
        <w:rPr>
          <w:rStyle w:val="NoneA"/>
          <w:rFonts w:ascii="Times New Roman" w:hAnsi="Times New Roman" w:cs="Times New Roman"/>
          <w:sz w:val="24"/>
          <w:szCs w:val="24"/>
        </w:rPr>
        <w:t>, Institute for Security Studies Paper No 237, 201.</w:t>
      </w:r>
    </w:p>
    <w:p w14:paraId="07773331"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60" w:name="_Toc53"/>
      <w:r w:rsidRPr="002A0C01">
        <w:rPr>
          <w:rStyle w:val="None"/>
          <w:rFonts w:ascii="Times New Roman" w:hAnsi="Times New Roman" w:cs="Times New Roman"/>
          <w:color w:val="000000"/>
          <w:u w:val="single" w:color="000000"/>
        </w:rPr>
        <w:t>Newspapers/Magazines</w:t>
      </w:r>
      <w:bookmarkEnd w:id="60"/>
    </w:p>
    <w:p w14:paraId="02F3A204" w14:textId="77777777" w:rsidR="001B7948" w:rsidRPr="002A0C01" w:rsidRDefault="00B2706C" w:rsidP="002A0C01">
      <w:pPr>
        <w:pStyle w:val="BodyBAA"/>
        <w:spacing w:line="360" w:lineRule="auto"/>
        <w:jc w:val="both"/>
      </w:pPr>
      <w:r w:rsidRPr="002A0C01">
        <w:rPr>
          <w:rStyle w:val="NoneA"/>
        </w:rPr>
        <w:t xml:space="preserve">Alleblas T, Aloyo E, Dancy G and Dutton Y, ‘Is the International Criminal Court biased against Africans? Kenyan victims don’t think so’ The Washington Post, 6 March 2017 </w:t>
      </w:r>
      <w:hyperlink r:id="rId29" w:history="1">
        <w:r w:rsidRPr="002A0C01">
          <w:rPr>
            <w:rStyle w:val="Hyperlink8"/>
          </w:rPr>
          <w:t>https://www.washingtonpost.com/news/monkey-cage/wp/2017/03/06/is-the-international-criminal-court-biased-against-africans-kenyan-victims-dont-think-so/</w:t>
        </w:r>
      </w:hyperlink>
      <w:r w:rsidRPr="002A0C01">
        <w:rPr>
          <w:rStyle w:val="None"/>
          <w:u w:val="single"/>
        </w:rPr>
        <w:t>.</w:t>
      </w:r>
    </w:p>
    <w:p w14:paraId="579B244E" w14:textId="77777777" w:rsidR="001B7948" w:rsidRPr="002A0C01" w:rsidRDefault="00B2706C" w:rsidP="002A0C01">
      <w:pPr>
        <w:pStyle w:val="BodyBAA"/>
        <w:spacing w:line="360" w:lineRule="auto"/>
        <w:jc w:val="both"/>
      </w:pPr>
      <w:r w:rsidRPr="002A0C01">
        <w:rPr>
          <w:rStyle w:val="NoneA"/>
        </w:rPr>
        <w:lastRenderedPageBreak/>
        <w:t xml:space="preserve">Bengali S, ‘Kenyan Rivals Agree to Share Power After Disputed Election’ McClatchy Newspapers, 28 February 2008 </w:t>
      </w:r>
      <w:hyperlink r:id="rId30" w:history="1">
        <w:r w:rsidRPr="002A0C01">
          <w:rPr>
            <w:rStyle w:val="Hyperlink8"/>
          </w:rPr>
          <w:t>https://www.mcclatchydc.com/news/nation-world/world/article24477214.html</w:t>
        </w:r>
      </w:hyperlink>
      <w:r w:rsidRPr="002A0C01">
        <w:rPr>
          <w:rStyle w:val="NoneA"/>
        </w:rPr>
        <w:t>.</w:t>
      </w:r>
    </w:p>
    <w:p w14:paraId="75CCAEA9" w14:textId="77777777" w:rsidR="001B7948" w:rsidRPr="002A0C01" w:rsidRDefault="00B2706C" w:rsidP="002A0C01">
      <w:pPr>
        <w:pStyle w:val="Defaul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Charbonneau L, ‘Sudan's UN envoy invokes Macbeth to condemn ICC’ Reuters, 4 March 2009 </w:t>
      </w:r>
      <w:hyperlink r:id="rId31" w:history="1">
        <w:r w:rsidRPr="002A0C01">
          <w:rPr>
            <w:rStyle w:val="Hyperlink8"/>
            <w:rFonts w:ascii="Times New Roman" w:hAnsi="Times New Roman" w:cs="Times New Roman"/>
            <w:sz w:val="24"/>
            <w:szCs w:val="24"/>
          </w:rPr>
          <w:t>https://www.reuters.com/article/us-warcrimes-sudan-macbeth-sb/sudans-un-envoy-invokes-macbeth-to-condemn-icc-idUSTRE5236DU20090304</w:t>
        </w:r>
      </w:hyperlink>
      <w:r w:rsidRPr="002A0C01">
        <w:rPr>
          <w:rStyle w:val="NoneA"/>
          <w:rFonts w:ascii="Times New Roman" w:hAnsi="Times New Roman" w:cs="Times New Roman"/>
          <w:sz w:val="24"/>
          <w:szCs w:val="24"/>
        </w:rPr>
        <w:t xml:space="preserve">. </w:t>
      </w:r>
    </w:p>
    <w:p w14:paraId="48557092" w14:textId="77777777" w:rsidR="001B7948" w:rsidRPr="002A0C01" w:rsidRDefault="00B2706C" w:rsidP="002A0C01">
      <w:pPr>
        <w:pStyle w:val="Default"/>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Coalition for the International Criminal Court, ‘ASP 2017: State cooperation crucial for an effective ICC’ Coalition for the International Criminal Court, 7 November 2017 </w:t>
      </w:r>
      <w:hyperlink r:id="rId32" w:history="1">
        <w:r w:rsidRPr="002A0C01">
          <w:rPr>
            <w:rStyle w:val="Hyperlink8"/>
            <w:rFonts w:ascii="Times New Roman" w:hAnsi="Times New Roman" w:cs="Times New Roman"/>
            <w:sz w:val="24"/>
            <w:szCs w:val="24"/>
          </w:rPr>
          <w:t>http://www.coalitionfortheicc.org/news/20171107/asp-2017-State-cooperation-crucial-effective-icc</w:t>
        </w:r>
      </w:hyperlink>
      <w:r w:rsidRPr="002A0C01">
        <w:rPr>
          <w:rStyle w:val="None"/>
          <w:rFonts w:ascii="Times New Roman" w:hAnsi="Times New Roman" w:cs="Times New Roman"/>
          <w:color w:val="0433FF"/>
          <w:sz w:val="24"/>
          <w:szCs w:val="24"/>
          <w:u w:val="single" w:color="0563C1"/>
        </w:rPr>
        <w:t>.</w:t>
      </w:r>
    </w:p>
    <w:p w14:paraId="10CC6F87" w14:textId="77777777" w:rsidR="001B7948" w:rsidRPr="002A0C01" w:rsidRDefault="00B2706C" w:rsidP="002A0C01">
      <w:pPr>
        <w:pStyle w:val="BodyBAA"/>
        <w:spacing w:line="360" w:lineRule="auto"/>
        <w:jc w:val="both"/>
      </w:pPr>
      <w:r w:rsidRPr="002A0C01">
        <w:rPr>
          <w:rStyle w:val="NoneA"/>
        </w:rPr>
        <w:t>‘ICC prosecutor says Kenyatta case will go to trial’ Reuters, 20 March 2013</w:t>
      </w:r>
      <w:r w:rsidRPr="002A0C01">
        <w:rPr>
          <w:rStyle w:val="None"/>
          <w:u w:val="single" w:color="0563C1"/>
        </w:rPr>
        <w:t xml:space="preserve"> </w:t>
      </w:r>
      <w:r w:rsidRPr="002A0C01">
        <w:rPr>
          <w:rStyle w:val="Hyperlink8"/>
        </w:rPr>
        <w:t>http://www.reuters.com/article/2013/03/20/us-kenya-icc-idUSBRE92J19G20130320&gt;.</w:t>
      </w:r>
    </w:p>
    <w:p w14:paraId="0DDF4365" w14:textId="77777777" w:rsidR="001B7948" w:rsidRPr="002A0C01" w:rsidRDefault="00B2706C" w:rsidP="002A0C01">
      <w:pPr>
        <w:pStyle w:val="BodyBAA"/>
        <w:spacing w:line="360" w:lineRule="auto"/>
        <w:jc w:val="both"/>
      </w:pPr>
      <w:r w:rsidRPr="002A0C01">
        <w:rPr>
          <w:rStyle w:val="NoneA"/>
        </w:rPr>
        <w:t xml:space="preserve">Gekara E, ‘Bitter-Sweet Victory for Uhuru and Ruto’ The Daily Nation, 10 March 2013 </w:t>
      </w:r>
      <w:r w:rsidRPr="002A0C01">
        <w:rPr>
          <w:rStyle w:val="Hyperlink8"/>
        </w:rPr>
        <w:t xml:space="preserve">http://www.nation.co.ke/News/politics/ICC-cases-an-obstacle--in-smooth-Jubilee-ride/-/1064/1715776/- /4qqxqk/-/index.html. </w:t>
      </w:r>
    </w:p>
    <w:p w14:paraId="492939C1" w14:textId="77777777" w:rsidR="001B7948" w:rsidRPr="002A0C01" w:rsidRDefault="00B2706C" w:rsidP="002A0C01">
      <w:pPr>
        <w:pStyle w:val="BodyBAA"/>
        <w:spacing w:line="360" w:lineRule="auto"/>
        <w:jc w:val="both"/>
      </w:pPr>
      <w:r w:rsidRPr="002A0C01">
        <w:rPr>
          <w:rStyle w:val="NoneA"/>
        </w:rPr>
        <w:t xml:space="preserve">Ikenberry J, ‘Review: Rational Theory of International Relations: The Logic of Competition and Cooperation’ Foreign Affairs, November/December 2019 </w:t>
      </w:r>
      <w:hyperlink r:id="rId33" w:history="1">
        <w:r w:rsidRPr="002A0C01">
          <w:rPr>
            <w:rStyle w:val="Hyperlink8"/>
          </w:rPr>
          <w:t>https://www.foreignaffairs.com/reviews/capsule-review/2010-11-01/rational-theory-international-relations-logic-competition-and</w:t>
        </w:r>
      </w:hyperlink>
      <w:r w:rsidRPr="002A0C01">
        <w:rPr>
          <w:rStyle w:val="Hyperlink8"/>
        </w:rPr>
        <w:t>.</w:t>
      </w:r>
    </w:p>
    <w:p w14:paraId="4D998691" w14:textId="77777777" w:rsidR="001B7948" w:rsidRPr="002A0C01" w:rsidRDefault="00B2706C" w:rsidP="002A0C01">
      <w:pPr>
        <w:pStyle w:val="BodyBAA"/>
        <w:spacing w:line="360" w:lineRule="auto"/>
        <w:jc w:val="both"/>
      </w:pPr>
      <w:r w:rsidRPr="002A0C01">
        <w:rPr>
          <w:rStyle w:val="NoneA"/>
        </w:rPr>
        <w:t xml:space="preserve">Inwood J, ‘Sudan crisis: Ex-President Omar al-Bashir moved to prison’ BBC News, 17 April 2019 </w:t>
      </w:r>
      <w:hyperlink r:id="rId34" w:history="1">
        <w:r w:rsidRPr="002A0C01">
          <w:rPr>
            <w:rStyle w:val="Hyperlink8"/>
          </w:rPr>
          <w:t>https://www.bbc.com/news/world-africa-47961424</w:t>
        </w:r>
      </w:hyperlink>
      <w:r w:rsidRPr="002A0C01">
        <w:rPr>
          <w:rStyle w:val="Hyperlink8"/>
        </w:rPr>
        <w:t>.</w:t>
      </w:r>
    </w:p>
    <w:p w14:paraId="15CC4045" w14:textId="77777777" w:rsidR="001B7948" w:rsidRPr="002A0C01" w:rsidRDefault="00B2706C" w:rsidP="002A0C01">
      <w:pPr>
        <w:pStyle w:val="BodyBAA"/>
        <w:spacing w:line="360" w:lineRule="auto"/>
        <w:jc w:val="both"/>
      </w:pPr>
      <w:r w:rsidRPr="002A0C01">
        <w:rPr>
          <w:rStyle w:val="NoneA"/>
        </w:rPr>
        <w:t xml:space="preserve">Kanyinga K, ‘Every election has consequences, but this time our choices are stark’ The Daily Nation, 23 February 2013 </w:t>
      </w:r>
      <w:r w:rsidRPr="002A0C01">
        <w:rPr>
          <w:rStyle w:val="Hyperlink8"/>
        </w:rPr>
        <w:t>http://elections.nation.co.ke/Blogs/-/1632026/1701738/-/1187g0l/- /index.html</w:t>
      </w:r>
      <w:r w:rsidRPr="002A0C01">
        <w:rPr>
          <w:rStyle w:val="NoneA"/>
        </w:rPr>
        <w:t>.</w:t>
      </w:r>
    </w:p>
    <w:p w14:paraId="57CA5781" w14:textId="77777777" w:rsidR="001B7948" w:rsidRPr="002A0C01" w:rsidRDefault="00B2706C" w:rsidP="002A0C01">
      <w:pPr>
        <w:pStyle w:val="BodyBAA"/>
        <w:spacing w:line="360" w:lineRule="auto"/>
        <w:jc w:val="both"/>
      </w:pPr>
      <w:r w:rsidRPr="002A0C01">
        <w:rPr>
          <w:rStyle w:val="NoneA"/>
        </w:rPr>
        <w:t>Namunane B, ‘AG wants Uhuru Muthaura case moved to Arusha’ Daily Nation, 1 December 2012.</w:t>
      </w:r>
    </w:p>
    <w:p w14:paraId="088BD1CC" w14:textId="77777777" w:rsidR="001B7948" w:rsidRPr="002A0C01" w:rsidRDefault="00B2706C" w:rsidP="002A0C01">
      <w:pPr>
        <w:pStyle w:val="BodyBAA"/>
        <w:spacing w:line="360" w:lineRule="auto"/>
        <w:jc w:val="both"/>
      </w:pPr>
      <w:r w:rsidRPr="002A0C01">
        <w:rPr>
          <w:rStyle w:val="NoneA"/>
        </w:rPr>
        <w:t xml:space="preserve">Nowrojee P, ‘The March 4 Polls and the ICC Cases’ The Star, 6 February 2013 </w:t>
      </w:r>
      <w:hyperlink r:id="rId35" w:history="1">
        <w:r w:rsidRPr="002A0C01">
          <w:rPr>
            <w:rStyle w:val="Hyperlink8"/>
          </w:rPr>
          <w:t>http://www.the-star.co.ke/news/article-106098/march-4-polls-and-icc-cases</w:t>
        </w:r>
      </w:hyperlink>
      <w:r w:rsidRPr="002A0C01">
        <w:rPr>
          <w:rStyle w:val="Hyperlink8"/>
        </w:rPr>
        <w:t>.</w:t>
      </w:r>
    </w:p>
    <w:p w14:paraId="76FC4218" w14:textId="77777777" w:rsidR="001B7948" w:rsidRPr="002A0C01" w:rsidRDefault="00B2706C" w:rsidP="002A0C01">
      <w:pPr>
        <w:pStyle w:val="BodyBAA"/>
        <w:spacing w:line="360" w:lineRule="auto"/>
        <w:jc w:val="both"/>
      </w:pPr>
      <w:r w:rsidRPr="002A0C01">
        <w:rPr>
          <w:rStyle w:val="NoneA"/>
        </w:rPr>
        <w:t xml:space="preserve">Opiyo P, ‘Why Kenya-Au plot against ICC may stall’ The Standard, 17 July 2012 </w:t>
      </w:r>
      <w:hyperlink r:id="rId36" w:history="1">
        <w:r w:rsidRPr="002A0C01">
          <w:rPr>
            <w:rStyle w:val="Hyperlink8"/>
          </w:rPr>
          <w:t>https://www.standardmedia.co.ke/article/2000062030/why-kenya-au-plot-against-icc-may-stall</w:t>
        </w:r>
      </w:hyperlink>
      <w:r w:rsidRPr="002A0C01">
        <w:rPr>
          <w:rStyle w:val="Hyperlink8"/>
        </w:rPr>
        <w:t>.</w:t>
      </w:r>
    </w:p>
    <w:p w14:paraId="46807B65" w14:textId="77777777" w:rsidR="001B7948" w:rsidRPr="002A0C01" w:rsidRDefault="00B2706C" w:rsidP="002A0C01">
      <w:pPr>
        <w:pStyle w:val="BodyBAA"/>
        <w:spacing w:line="360" w:lineRule="auto"/>
        <w:jc w:val="both"/>
      </w:pPr>
      <w:r w:rsidRPr="002A0C01">
        <w:rPr>
          <w:rStyle w:val="NoneA"/>
        </w:rPr>
        <w:t xml:space="preserve">Rice X, ‘130 killed in Kenyan election violence’ The Guardian, 31 December 2007 </w:t>
      </w:r>
      <w:hyperlink r:id="rId37" w:history="1">
        <w:r w:rsidRPr="002A0C01">
          <w:rPr>
            <w:rStyle w:val="Hyperlink8"/>
          </w:rPr>
          <w:t>https://www.theguardian.com/world/2007/dec/31/kenya.haroonsiddique</w:t>
        </w:r>
      </w:hyperlink>
      <w:r w:rsidRPr="002A0C01">
        <w:rPr>
          <w:rStyle w:val="NoneA"/>
        </w:rPr>
        <w:t>.</w:t>
      </w:r>
    </w:p>
    <w:p w14:paraId="4A0AA217" w14:textId="77777777" w:rsidR="001B7948" w:rsidRPr="002A0C01" w:rsidRDefault="00B2706C" w:rsidP="002A0C01">
      <w:pPr>
        <w:pStyle w:val="BodyBAA"/>
        <w:spacing w:line="360" w:lineRule="auto"/>
        <w:jc w:val="both"/>
      </w:pPr>
      <w:r w:rsidRPr="002A0C01">
        <w:rPr>
          <w:rStyle w:val="NoneA"/>
        </w:rPr>
        <w:lastRenderedPageBreak/>
        <w:t xml:space="preserve">Tisdall S, ‘Man blamed for Darfur says I am at peace with myself’ The Guardian 4 December 2008 </w:t>
      </w:r>
      <w:hyperlink r:id="rId38" w:history="1">
        <w:r w:rsidRPr="002A0C01">
          <w:rPr>
            <w:rStyle w:val="Hyperlink8"/>
          </w:rPr>
          <w:t>https://www.theguardian.com/world/2008/dec/04/sudan-darfur-human-rights-war-crimes</w:t>
        </w:r>
      </w:hyperlink>
      <w:r w:rsidRPr="002A0C01">
        <w:rPr>
          <w:rStyle w:val="NoneA"/>
        </w:rPr>
        <w:t xml:space="preserve"> on 14 November 2019.</w:t>
      </w:r>
    </w:p>
    <w:p w14:paraId="14F92260" w14:textId="77777777" w:rsidR="001B7948" w:rsidRPr="002A0C01" w:rsidRDefault="001B7948" w:rsidP="002A0C01">
      <w:pPr>
        <w:pStyle w:val="BodyBAA"/>
        <w:spacing w:line="360" w:lineRule="auto"/>
        <w:jc w:val="both"/>
      </w:pPr>
    </w:p>
    <w:p w14:paraId="34A8846F"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61" w:name="_Toc54"/>
      <w:r w:rsidRPr="002A0C01">
        <w:rPr>
          <w:rStyle w:val="None"/>
          <w:rFonts w:ascii="Times New Roman" w:hAnsi="Times New Roman" w:cs="Times New Roman"/>
          <w:color w:val="000000"/>
          <w:u w:val="single" w:color="000000"/>
          <w:lang w:val="fr-FR"/>
        </w:rPr>
        <w:t xml:space="preserve">Reports </w:t>
      </w:r>
      <w:bookmarkEnd w:id="61"/>
    </w:p>
    <w:p w14:paraId="3FED5BB5"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Government of Kenya, </w:t>
      </w:r>
      <w:r w:rsidRPr="002A0C01">
        <w:rPr>
          <w:rStyle w:val="None"/>
          <w:rFonts w:ascii="Times New Roman" w:hAnsi="Times New Roman" w:cs="Times New Roman"/>
          <w:i/>
          <w:iCs/>
          <w:sz w:val="24"/>
          <w:szCs w:val="24"/>
        </w:rPr>
        <w:t>Kenya: Commission of Inquiry into the Post-Election Violence (CIPEV) final report</w:t>
      </w:r>
      <w:r w:rsidRPr="002A0C01">
        <w:rPr>
          <w:rStyle w:val="NoneA"/>
          <w:rFonts w:ascii="Times New Roman" w:hAnsi="Times New Roman" w:cs="Times New Roman"/>
          <w:sz w:val="24"/>
          <w:szCs w:val="24"/>
        </w:rPr>
        <w:t>, 16 October 2008.</w:t>
      </w:r>
    </w:p>
    <w:p w14:paraId="0FE4103D"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United Nations Security Council, </w:t>
      </w:r>
      <w:r w:rsidRPr="002A0C01">
        <w:rPr>
          <w:rStyle w:val="None"/>
          <w:rFonts w:ascii="Times New Roman" w:hAnsi="Times New Roman" w:cs="Times New Roman"/>
          <w:i/>
          <w:iCs/>
          <w:sz w:val="24"/>
          <w:szCs w:val="24"/>
        </w:rPr>
        <w:t>Report of the International Commission of Inquiry on Darfur to the United Nations Secretary-General</w:t>
      </w:r>
      <w:r w:rsidRPr="002A0C01">
        <w:rPr>
          <w:rStyle w:val="NoneA"/>
          <w:rFonts w:ascii="Times New Roman" w:hAnsi="Times New Roman" w:cs="Times New Roman"/>
          <w:sz w:val="24"/>
          <w:szCs w:val="24"/>
        </w:rPr>
        <w:t>, 25 January 2005.</w:t>
      </w:r>
    </w:p>
    <w:p w14:paraId="3B4FB3B3"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62" w:name="_Toc55"/>
      <w:r w:rsidRPr="002A0C01">
        <w:rPr>
          <w:rStyle w:val="None"/>
          <w:rFonts w:ascii="Times New Roman" w:hAnsi="Times New Roman" w:cs="Times New Roman"/>
          <w:color w:val="000000"/>
          <w:u w:val="single" w:color="000000"/>
        </w:rPr>
        <w:t>Thesis</w:t>
      </w:r>
      <w:bookmarkEnd w:id="62"/>
    </w:p>
    <w:p w14:paraId="7BADB510" w14:textId="77777777" w:rsidR="001B7948" w:rsidRPr="002A0C01" w:rsidRDefault="00B2706C" w:rsidP="002A0C01">
      <w:pPr>
        <w:pStyle w:val="BodyA"/>
        <w:spacing w:line="360" w:lineRule="auto"/>
        <w:jc w:val="both"/>
        <w:rPr>
          <w:rFonts w:ascii="Times New Roman" w:hAnsi="Times New Roman" w:cs="Times New Roman"/>
          <w:sz w:val="24"/>
          <w:szCs w:val="24"/>
          <w:lang w:val="es-ES_tradnl"/>
        </w:rPr>
      </w:pPr>
      <w:r w:rsidRPr="002A0C01">
        <w:rPr>
          <w:rStyle w:val="None"/>
          <w:rFonts w:ascii="Times New Roman" w:hAnsi="Times New Roman" w:cs="Times New Roman"/>
          <w:sz w:val="24"/>
          <w:szCs w:val="24"/>
          <w:lang w:val="es-ES_tradnl"/>
        </w:rPr>
        <w:t xml:space="preserve">Cardona Y, </w:t>
      </w:r>
      <w:r w:rsidRPr="002A0C01">
        <w:rPr>
          <w:rStyle w:val="None"/>
          <w:rFonts w:ascii="Times New Roman" w:hAnsi="Times New Roman" w:cs="Times New Roman"/>
          <w:sz w:val="24"/>
          <w:szCs w:val="24"/>
        </w:rPr>
        <w:t>‘A Critical Analysis of the Rome Statute of the International Criminal Court’ Unpublished LLM Thesis, University of Malta, Msida, 2013.</w:t>
      </w:r>
    </w:p>
    <w:p w14:paraId="52081B40" w14:textId="77777777" w:rsidR="001B7948" w:rsidRPr="002A0C01" w:rsidRDefault="00B2706C" w:rsidP="002A0C01">
      <w:pPr>
        <w:pStyle w:val="Heading3"/>
        <w:spacing w:line="360" w:lineRule="auto"/>
        <w:jc w:val="both"/>
        <w:rPr>
          <w:rStyle w:val="None"/>
          <w:rFonts w:ascii="Times New Roman" w:eastAsia="Times New Roman" w:hAnsi="Times New Roman" w:cs="Times New Roman"/>
          <w:color w:val="000000"/>
          <w:u w:val="single" w:color="000000"/>
        </w:rPr>
      </w:pPr>
      <w:bookmarkStart w:id="63" w:name="_Toc56"/>
      <w:r w:rsidRPr="002A0C01">
        <w:rPr>
          <w:rStyle w:val="None"/>
          <w:rFonts w:ascii="Times New Roman" w:hAnsi="Times New Roman" w:cs="Times New Roman"/>
          <w:color w:val="000000"/>
          <w:u w:val="single" w:color="000000"/>
        </w:rPr>
        <w:t>Other Internet Resources</w:t>
      </w:r>
      <w:bookmarkEnd w:id="63"/>
    </w:p>
    <w:p w14:paraId="1C0A4A95" w14:textId="77777777" w:rsidR="001B7948" w:rsidRPr="002A0C01" w:rsidRDefault="00B2706C" w:rsidP="002A0C01">
      <w:pPr>
        <w:pStyle w:val="BodyA"/>
        <w:spacing w:after="200"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International Criminal Court, ‘Kenya’ (International Criminal Court, 16 March 2005) https://asp.icc-cpi.int/en_menus/asp/states%20parties/african%20states/Pages/kenya.aspx.</w:t>
      </w:r>
    </w:p>
    <w:p w14:paraId="51DBF1EC" w14:textId="77777777" w:rsidR="001B7948" w:rsidRPr="002A0C01" w:rsidRDefault="00B2706C" w:rsidP="002A0C01">
      <w:pPr>
        <w:pStyle w:val="BodyA"/>
        <w:spacing w:after="200"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International Center for Transitional Justice, </w:t>
      </w:r>
      <w:r w:rsidRPr="002A0C01">
        <w:rPr>
          <w:rStyle w:val="None"/>
          <w:rFonts w:ascii="Times New Roman" w:hAnsi="Times New Roman" w:cs="Times New Roman"/>
          <w:i/>
          <w:iCs/>
          <w:sz w:val="24"/>
          <w:szCs w:val="24"/>
        </w:rPr>
        <w:t>Handbook on Complementarity: An Introduction to the Role of National Courts and the ICC in Prosecuting International Crimes</w:t>
      </w:r>
      <w:r w:rsidRPr="002A0C01">
        <w:rPr>
          <w:rStyle w:val="NoneA"/>
          <w:rFonts w:ascii="Times New Roman" w:hAnsi="Times New Roman" w:cs="Times New Roman"/>
          <w:sz w:val="24"/>
          <w:szCs w:val="24"/>
        </w:rPr>
        <w:t>, 2016.</w:t>
      </w:r>
    </w:p>
    <w:p w14:paraId="7DDCC29F" w14:textId="77777777" w:rsidR="001B7948" w:rsidRPr="002A0C01" w:rsidRDefault="00B2706C" w:rsidP="002A0C01">
      <w:pPr>
        <w:pStyle w:val="BodyA"/>
        <w:spacing w:line="360" w:lineRule="auto"/>
        <w:jc w:val="both"/>
        <w:rPr>
          <w:rFonts w:ascii="Times New Roman" w:hAnsi="Times New Roman" w:cs="Times New Roman"/>
          <w:sz w:val="24"/>
          <w:szCs w:val="24"/>
        </w:rPr>
      </w:pPr>
      <w:r w:rsidRPr="002A0C01">
        <w:rPr>
          <w:rStyle w:val="NoneA"/>
          <w:rFonts w:ascii="Times New Roman" w:hAnsi="Times New Roman" w:cs="Times New Roman"/>
          <w:sz w:val="24"/>
          <w:szCs w:val="24"/>
        </w:rPr>
        <w:t xml:space="preserve">International Center for Transitional Justice, </w:t>
      </w:r>
      <w:r w:rsidRPr="002A0C01">
        <w:rPr>
          <w:rStyle w:val="None"/>
          <w:rFonts w:ascii="Times New Roman" w:hAnsi="Times New Roman" w:cs="Times New Roman"/>
          <w:i/>
          <w:iCs/>
          <w:sz w:val="24"/>
          <w:szCs w:val="24"/>
        </w:rPr>
        <w:t>What is Complementarity? National Courts, the ICC and the Struggle against Impunity</w:t>
      </w:r>
      <w:r w:rsidRPr="002A0C01">
        <w:rPr>
          <w:rStyle w:val="NoneA"/>
          <w:rFonts w:ascii="Times New Roman" w:hAnsi="Times New Roman" w:cs="Times New Roman"/>
          <w:sz w:val="24"/>
          <w:szCs w:val="24"/>
        </w:rPr>
        <w:t>, 2016.</w:t>
      </w:r>
    </w:p>
    <w:p w14:paraId="19235070" w14:textId="77777777" w:rsidR="001B7948" w:rsidRPr="002A0C01" w:rsidRDefault="00B2706C" w:rsidP="002A0C01">
      <w:pPr>
        <w:pStyle w:val="BodyA"/>
        <w:spacing w:line="360" w:lineRule="auto"/>
        <w:jc w:val="both"/>
        <w:rPr>
          <w:rFonts w:ascii="Times New Roman" w:eastAsia="Times New Roman" w:hAnsi="Times New Roman" w:cs="Times New Roman"/>
          <w:sz w:val="24"/>
          <w:szCs w:val="24"/>
        </w:rPr>
      </w:pPr>
      <w:hyperlink r:id="rId39" w:history="1">
        <w:r w:rsidRPr="002A0C01">
          <w:rPr>
            <w:rStyle w:val="Hyperlink8"/>
            <w:rFonts w:ascii="Times New Roman" w:hAnsi="Times New Roman" w:cs="Times New Roman"/>
            <w:sz w:val="24"/>
            <w:szCs w:val="24"/>
          </w:rPr>
          <w:t>https://iccforum.com/africa</w:t>
        </w:r>
      </w:hyperlink>
      <w:r w:rsidRPr="002A0C01">
        <w:rPr>
          <w:rStyle w:val="NoneA"/>
          <w:rFonts w:ascii="Times New Roman" w:hAnsi="Times New Roman" w:cs="Times New Roman"/>
          <w:sz w:val="24"/>
          <w:szCs w:val="24"/>
        </w:rPr>
        <w:t>.</w:t>
      </w:r>
    </w:p>
    <w:p w14:paraId="7AD1AA22" w14:textId="77777777" w:rsidR="001B7948" w:rsidRPr="002A0C01" w:rsidRDefault="00B2706C" w:rsidP="002A0C01">
      <w:pPr>
        <w:pStyle w:val="BodyA"/>
        <w:spacing w:line="360" w:lineRule="auto"/>
        <w:jc w:val="both"/>
        <w:rPr>
          <w:rFonts w:ascii="Times New Roman" w:eastAsia="Times New Roman" w:hAnsi="Times New Roman" w:cs="Times New Roman"/>
          <w:sz w:val="24"/>
          <w:szCs w:val="24"/>
        </w:rPr>
      </w:pPr>
      <w:hyperlink r:id="rId40" w:history="1">
        <w:r w:rsidRPr="002A0C01">
          <w:rPr>
            <w:rStyle w:val="Link"/>
            <w:rFonts w:ascii="Times New Roman" w:hAnsi="Times New Roman" w:cs="Times New Roman"/>
            <w:sz w:val="24"/>
            <w:szCs w:val="24"/>
          </w:rPr>
          <w:t>https://www.icc-cpi.int/pages/item.aspx?name=pr557</w:t>
        </w:r>
      </w:hyperlink>
      <w:r w:rsidRPr="002A0C01">
        <w:rPr>
          <w:rFonts w:ascii="Times New Roman" w:hAnsi="Times New Roman" w:cs="Times New Roman"/>
          <w:sz w:val="24"/>
          <w:szCs w:val="24"/>
        </w:rPr>
        <w:t>.</w:t>
      </w:r>
    </w:p>
    <w:sectPr w:rsidR="001B7948" w:rsidRPr="002A0C01" w:rsidSect="00241DA2">
      <w:pgSz w:w="12240" w:h="15840"/>
      <w:pgMar w:top="1440" w:right="1440" w:bottom="1440" w:left="1440" w:header="72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288FCE6E" w14:textId="77777777" w:rsidR="00512CBB" w:rsidRDefault="00512CBB">
      <w:r>
        <w:separator/>
      </w:r>
    </w:p>
  </w:endnote>
  <w:endnote w:type="continuationSeparator" w:id="0">
    <w:p w14:paraId="02AD08F6" w14:textId="77777777" w:rsidR="00512CBB" w:rsidRDefault="00512CB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ymbol">
    <w:panose1 w:val="05050102010706020507"/>
    <w:charset w:val="02"/>
    <w:family w:val="roman"/>
    <w:pitch w:val="variable"/>
    <w:sig w:usb0="00000000" w:usb1="10000000" w:usb2="00000000" w:usb3="00000000" w:csb0="80000000" w:csb1="00000000"/>
  </w:font>
  <w:font w:name="Calibri Light">
    <w:panose1 w:val="020F0302020204030204"/>
    <w:charset w:val="00"/>
    <w:family w:val="swiss"/>
    <w:pitch w:val="variable"/>
    <w:sig w:usb0="E0002AFF" w:usb1="C000247B" w:usb2="00000009" w:usb3="00000000" w:csb0="000001FF" w:csb1="00000000"/>
  </w:font>
  <w:font w:name="Helvetica Neue">
    <w:altName w:val="Times New Roman"/>
    <w:charset w:val="00"/>
    <w:family w:val="roman"/>
    <w:pitch w:val="default"/>
  </w:font>
  <w:font w:name="Calibri">
    <w:panose1 w:val="020F05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760439932"/>
      <w:docPartObj>
        <w:docPartGallery w:val="Page Numbers (Bottom of Page)"/>
        <w:docPartUnique/>
      </w:docPartObj>
    </w:sdtPr>
    <w:sdtEndPr>
      <w:rPr>
        <w:noProof/>
      </w:rPr>
    </w:sdtEndPr>
    <w:sdtContent>
      <w:p w14:paraId="59E8751B" w14:textId="76EEB4A6" w:rsidR="00241DA2" w:rsidRDefault="00241DA2">
        <w:pPr>
          <w:pStyle w:val="Footer"/>
          <w:jc w:val="center"/>
        </w:pPr>
        <w:r>
          <w:fldChar w:fldCharType="begin"/>
        </w:r>
        <w:r>
          <w:instrText xml:space="preserve"> PAGE   \* MERGEFORMAT </w:instrText>
        </w:r>
        <w:r>
          <w:fldChar w:fldCharType="separate"/>
        </w:r>
        <w:r w:rsidR="00C61A2E">
          <w:rPr>
            <w:noProof/>
          </w:rPr>
          <w:t>11</w:t>
        </w:r>
        <w:r>
          <w:rPr>
            <w:noProof/>
          </w:rPr>
          <w:fldChar w:fldCharType="end"/>
        </w:r>
      </w:p>
    </w:sdtContent>
  </w:sdt>
  <w:p w14:paraId="6F6CD0E3" w14:textId="3CB72A8F" w:rsidR="00B2706C" w:rsidRDefault="00B2706C">
    <w:pPr>
      <w:pStyle w:val="Footer"/>
      <w:tabs>
        <w:tab w:val="clear" w:pos="9360"/>
        <w:tab w:val="right" w:pos="9340"/>
      </w:tabs>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3D04D683" w14:textId="77777777" w:rsidR="00512CBB" w:rsidRDefault="00512CBB">
      <w:r>
        <w:separator/>
      </w:r>
    </w:p>
  </w:footnote>
  <w:footnote w:type="continuationSeparator" w:id="0">
    <w:p w14:paraId="69586C46" w14:textId="77777777" w:rsidR="00512CBB" w:rsidRDefault="00512CBB">
      <w:r>
        <w:continuationSeparator/>
      </w:r>
    </w:p>
  </w:footnote>
  <w:footnote w:type="continuationNotice" w:id="1">
    <w:p w14:paraId="7EF76974" w14:textId="77777777" w:rsidR="00512CBB" w:rsidRDefault="00512CBB"/>
  </w:footnote>
  <w:footnote w:id="2">
    <w:p w14:paraId="160EA5A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1, </w:t>
      </w:r>
      <w:r w:rsidRPr="0094199B">
        <w:rPr>
          <w:rStyle w:val="None"/>
          <w:rFonts w:ascii="Times New Roman" w:hAnsi="Times New Roman" w:cs="Times New Roman"/>
          <w:i/>
          <w:iCs/>
          <w:color w:val="auto"/>
        </w:rPr>
        <w:t>Rome Statute of the International Criminal Court</w:t>
      </w:r>
      <w:r w:rsidRPr="0094199B">
        <w:rPr>
          <w:rStyle w:val="None"/>
          <w:rFonts w:ascii="Times New Roman" w:hAnsi="Times New Roman" w:cs="Times New Roman"/>
          <w:color w:val="auto"/>
        </w:rPr>
        <w:t>, 17 July 1998, 2187 UNTS.</w:t>
      </w:r>
    </w:p>
  </w:footnote>
  <w:footnote w:id="3">
    <w:p w14:paraId="4AF5458A"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Zimmerman A, ‘The Creation of a Permanent International Criminal Court’ 2 </w:t>
      </w:r>
      <w:r w:rsidRPr="0094199B">
        <w:rPr>
          <w:rStyle w:val="None"/>
          <w:rFonts w:ascii="Times New Roman" w:hAnsi="Times New Roman" w:cs="Times New Roman"/>
          <w:i/>
          <w:iCs/>
          <w:color w:val="auto"/>
        </w:rPr>
        <w:t>Max Planck Yearbook of United Nations Law</w:t>
      </w:r>
      <w:r w:rsidRPr="0094199B">
        <w:rPr>
          <w:rStyle w:val="None"/>
          <w:rFonts w:ascii="Times New Roman" w:hAnsi="Times New Roman" w:cs="Times New Roman"/>
          <w:color w:val="auto"/>
        </w:rPr>
        <w:t xml:space="preserve">, 1998, 222. </w:t>
      </w:r>
    </w:p>
  </w:footnote>
  <w:footnote w:id="4">
    <w:p w14:paraId="3E79AB7B"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Preamble, </w:t>
      </w:r>
      <w:r w:rsidRPr="0094199B">
        <w:rPr>
          <w:rStyle w:val="None"/>
          <w:rFonts w:ascii="Times New Roman" w:hAnsi="Times New Roman" w:cs="Times New Roman"/>
          <w:i/>
          <w:iCs/>
          <w:color w:val="auto"/>
        </w:rPr>
        <w:t>Rome Statute of the International Criminal Court.</w:t>
      </w:r>
    </w:p>
  </w:footnote>
  <w:footnote w:id="5">
    <w:p w14:paraId="5CB45A2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Cassesse A, ‘The Statute of the International Criminal Court: Some Preliminary Reflections’ 10 </w:t>
      </w:r>
      <w:r w:rsidRPr="0094199B">
        <w:rPr>
          <w:rStyle w:val="None"/>
          <w:rFonts w:ascii="Times New Roman" w:hAnsi="Times New Roman" w:cs="Times New Roman"/>
          <w:i/>
          <w:iCs/>
          <w:color w:val="auto"/>
        </w:rPr>
        <w:t>European Journal of International Law</w:t>
      </w:r>
      <w:r w:rsidRPr="0094199B">
        <w:rPr>
          <w:rStyle w:val="None"/>
          <w:rFonts w:ascii="Times New Roman" w:hAnsi="Times New Roman" w:cs="Times New Roman"/>
          <w:color w:val="auto"/>
        </w:rPr>
        <w:t xml:space="preserve"> 1, 1999, 164.</w:t>
      </w:r>
    </w:p>
  </w:footnote>
  <w:footnote w:id="6">
    <w:p w14:paraId="0DF4A860"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Cassesse A, ‘The Statute of the International Criminal Court: Some Preliminary Reflections,’ 164.</w:t>
      </w:r>
    </w:p>
  </w:footnote>
  <w:footnote w:id="7">
    <w:p w14:paraId="7DEC228B"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Gegout C, ‘The International Criminal Court: limits, potential and conditions for the promotion of justice and peace’ 34 </w:t>
      </w:r>
      <w:r w:rsidRPr="0094199B">
        <w:rPr>
          <w:rStyle w:val="None"/>
          <w:rFonts w:ascii="Times New Roman" w:hAnsi="Times New Roman" w:cs="Times New Roman"/>
          <w:i/>
          <w:iCs/>
          <w:color w:val="auto"/>
        </w:rPr>
        <w:t>Third World Quarterly</w:t>
      </w:r>
      <w:r w:rsidRPr="0094199B">
        <w:rPr>
          <w:rStyle w:val="None"/>
          <w:rFonts w:ascii="Times New Roman" w:hAnsi="Times New Roman" w:cs="Times New Roman"/>
          <w:color w:val="auto"/>
        </w:rPr>
        <w:t xml:space="preserve"> 5, 2013, 805.</w:t>
      </w:r>
    </w:p>
  </w:footnote>
  <w:footnote w:id="8">
    <w:p w14:paraId="66F62D1F" w14:textId="77777777" w:rsidR="00B2706C" w:rsidRPr="0094199B" w:rsidRDefault="00B2706C" w:rsidP="0094199B">
      <w:pPr>
        <w:pStyle w:val="FootnoteText"/>
        <w:jc w:val="both"/>
        <w:rPr>
          <w:rStyle w:val="None"/>
          <w:rFonts w:ascii="Times New Roman" w:eastAsia="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‘ICC prosecutor says Kenyatta case will go to trial’ Reuters, 20 March 2013 -&lt;http://www.reuters.com/</w:t>
      </w:r>
    </w:p>
    <w:p w14:paraId="0D2DFD91"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hAnsi="Times New Roman" w:cs="Times New Roman"/>
          <w:color w:val="auto"/>
        </w:rPr>
        <w:t>article/2013/03/20/us-kenya-icc-idUSBRE92J19G20130320&gt; on 1 March 2019.</w:t>
      </w:r>
    </w:p>
  </w:footnote>
  <w:footnote w:id="9">
    <w:p w14:paraId="38656E7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Clark J, ‘Peace, Justice and the International Criminal Court: Limitations and Possibilities’ 9 </w:t>
      </w:r>
      <w:r w:rsidRPr="0094199B">
        <w:rPr>
          <w:rStyle w:val="None"/>
          <w:rFonts w:ascii="Times New Roman" w:hAnsi="Times New Roman" w:cs="Times New Roman"/>
          <w:i/>
          <w:iCs/>
          <w:color w:val="auto"/>
        </w:rPr>
        <w:t>Journal of International Criminal Justice</w:t>
      </w:r>
      <w:r w:rsidRPr="0094199B">
        <w:rPr>
          <w:rStyle w:val="None"/>
          <w:rFonts w:ascii="Times New Roman" w:hAnsi="Times New Roman" w:cs="Times New Roman"/>
          <w:color w:val="auto"/>
        </w:rPr>
        <w:t xml:space="preserve"> 3, 2011, 527.</w:t>
      </w:r>
    </w:p>
  </w:footnote>
  <w:footnote w:id="10">
    <w:p w14:paraId="264B3C9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International Center for Transitional Justice, </w:t>
      </w:r>
      <w:r w:rsidRPr="0094199B">
        <w:rPr>
          <w:rStyle w:val="None"/>
          <w:rFonts w:ascii="Times New Roman" w:hAnsi="Times New Roman" w:cs="Times New Roman"/>
          <w:i/>
          <w:iCs/>
          <w:color w:val="auto"/>
        </w:rPr>
        <w:t>Handbook on Complementarity: An Introduction to the Role of National Courts and the ICC in Prosecuting International Crimes</w:t>
      </w:r>
      <w:r w:rsidRPr="0094199B">
        <w:rPr>
          <w:rStyle w:val="None"/>
          <w:rFonts w:ascii="Times New Roman" w:hAnsi="Times New Roman" w:cs="Times New Roman"/>
          <w:color w:val="auto"/>
        </w:rPr>
        <w:t xml:space="preserve">, 2016, 2. </w:t>
      </w:r>
    </w:p>
  </w:footnote>
  <w:footnote w:id="11">
    <w:p w14:paraId="2F61697E"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International Center for Transitional Justice, </w:t>
      </w:r>
      <w:r w:rsidRPr="0094199B">
        <w:rPr>
          <w:rStyle w:val="None"/>
          <w:rFonts w:ascii="Times New Roman" w:hAnsi="Times New Roman" w:cs="Times New Roman"/>
          <w:i/>
          <w:iCs/>
          <w:color w:val="auto"/>
        </w:rPr>
        <w:t>Handbook on Complementarity: An Introduction to the Role of National Courts and the ICC in Prosecuting International Crimes</w:t>
      </w:r>
      <w:r w:rsidRPr="0094199B">
        <w:rPr>
          <w:rStyle w:val="None"/>
          <w:rFonts w:ascii="Times New Roman" w:hAnsi="Times New Roman" w:cs="Times New Roman"/>
          <w:color w:val="auto"/>
        </w:rPr>
        <w:t xml:space="preserve">, 2016, 2. </w:t>
      </w:r>
    </w:p>
  </w:footnote>
  <w:footnote w:id="12">
    <w:p w14:paraId="4718D66C"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International Center for Transitional Justice, </w:t>
      </w:r>
      <w:r w:rsidRPr="0094199B">
        <w:rPr>
          <w:rStyle w:val="None"/>
          <w:rFonts w:ascii="Times New Roman" w:hAnsi="Times New Roman" w:cs="Times New Roman"/>
          <w:i/>
          <w:iCs/>
          <w:color w:val="auto"/>
        </w:rPr>
        <w:t>What is Complementarity? National Courts, the ICC and the Struggle against Impunity</w:t>
      </w:r>
      <w:r w:rsidRPr="0094199B">
        <w:rPr>
          <w:rStyle w:val="None"/>
          <w:rFonts w:ascii="Times New Roman" w:hAnsi="Times New Roman" w:cs="Times New Roman"/>
          <w:color w:val="auto"/>
        </w:rPr>
        <w:t>, 2016, 1.</w:t>
      </w:r>
    </w:p>
  </w:footnote>
  <w:footnote w:id="13">
    <w:p w14:paraId="1EE6CA4C"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International Center for Transitional Justice, </w:t>
      </w:r>
      <w:r w:rsidRPr="0094199B">
        <w:rPr>
          <w:rStyle w:val="None"/>
          <w:rFonts w:ascii="Times New Roman" w:hAnsi="Times New Roman" w:cs="Times New Roman"/>
          <w:i/>
          <w:iCs/>
          <w:color w:val="auto"/>
        </w:rPr>
        <w:t>What is Complementarity? National Courts, the ICC and the Struggle against Impunity</w:t>
      </w:r>
      <w:r w:rsidRPr="0094199B">
        <w:rPr>
          <w:rStyle w:val="None"/>
          <w:rFonts w:ascii="Times New Roman" w:hAnsi="Times New Roman" w:cs="Times New Roman"/>
          <w:color w:val="auto"/>
        </w:rPr>
        <w:t>, 2016, 1.</w:t>
      </w:r>
    </w:p>
  </w:footnote>
  <w:footnote w:id="14">
    <w:p w14:paraId="16EB900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1, </w:t>
      </w:r>
      <w:r w:rsidRPr="0094199B">
        <w:rPr>
          <w:rStyle w:val="None"/>
          <w:rFonts w:ascii="Times New Roman" w:hAnsi="Times New Roman" w:cs="Times New Roman"/>
          <w:i/>
          <w:iCs/>
          <w:color w:val="auto"/>
        </w:rPr>
        <w:t>Rome Statute of the International Criminal Court.</w:t>
      </w:r>
    </w:p>
  </w:footnote>
  <w:footnote w:id="15">
    <w:p w14:paraId="6600AB17"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1, </w:t>
      </w:r>
      <w:r w:rsidRPr="0094199B">
        <w:rPr>
          <w:rStyle w:val="None"/>
          <w:rFonts w:ascii="Times New Roman" w:hAnsi="Times New Roman" w:cs="Times New Roman"/>
          <w:i/>
          <w:iCs/>
          <w:color w:val="auto"/>
        </w:rPr>
        <w:t>Rome Statute of the International Criminal Court</w:t>
      </w:r>
      <w:r w:rsidRPr="0094199B">
        <w:rPr>
          <w:rStyle w:val="None"/>
          <w:rFonts w:ascii="Times New Roman" w:hAnsi="Times New Roman" w:cs="Times New Roman"/>
          <w:color w:val="auto"/>
        </w:rPr>
        <w:t>.</w:t>
      </w:r>
    </w:p>
  </w:footnote>
  <w:footnote w:id="16">
    <w:p w14:paraId="42B06FB1"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Burke W, ‘Proactive Complementarity: The International Criminal Court and National Courts in the Rome System of International Justice’ 49 </w:t>
      </w:r>
      <w:r w:rsidRPr="0094199B">
        <w:rPr>
          <w:rStyle w:val="None"/>
          <w:rFonts w:ascii="Times New Roman" w:hAnsi="Times New Roman" w:cs="Times New Roman"/>
          <w:i/>
          <w:iCs/>
          <w:color w:val="auto"/>
        </w:rPr>
        <w:t>Harvard International Law Journal</w:t>
      </w:r>
      <w:r w:rsidRPr="0094199B">
        <w:rPr>
          <w:rStyle w:val="None"/>
          <w:rFonts w:ascii="Times New Roman" w:hAnsi="Times New Roman" w:cs="Times New Roman"/>
          <w:color w:val="auto"/>
        </w:rPr>
        <w:t xml:space="preserve"> 1, 2008, 54. </w:t>
      </w:r>
    </w:p>
  </w:footnote>
  <w:footnote w:id="17">
    <w:p w14:paraId="05B9A715" w14:textId="77777777" w:rsidR="00B2706C" w:rsidRPr="0094199B" w:rsidRDefault="00B2706C" w:rsidP="0094199B">
      <w:pPr>
        <w:pStyle w:val="FootnoteText"/>
        <w:jc w:val="both"/>
        <w:rPr>
          <w:rStyle w:val="None"/>
          <w:rFonts w:ascii="Times New Roman" w:eastAsia="Times New Roman" w:hAnsi="Times New Roman" w:cs="Times New Roman"/>
          <w:i/>
          <w:iCs/>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Shatku PS, ‘Interpretation and Application of Article 98 of the Rome Statute’ 6 </w:t>
      </w:r>
      <w:r w:rsidRPr="0094199B">
        <w:rPr>
          <w:rStyle w:val="None"/>
          <w:rFonts w:ascii="Times New Roman" w:hAnsi="Times New Roman" w:cs="Times New Roman"/>
          <w:i/>
          <w:iCs/>
          <w:color w:val="auto"/>
        </w:rPr>
        <w:t>Academic Journal of</w:t>
      </w:r>
    </w:p>
    <w:p w14:paraId="3E4B7292"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hAnsi="Times New Roman" w:cs="Times New Roman"/>
          <w:i/>
          <w:iCs/>
          <w:color w:val="auto"/>
        </w:rPr>
        <w:t>Interdisciplinary Studies</w:t>
      </w:r>
      <w:r w:rsidRPr="0094199B">
        <w:rPr>
          <w:rStyle w:val="None"/>
          <w:rFonts w:ascii="Times New Roman" w:hAnsi="Times New Roman" w:cs="Times New Roman"/>
          <w:color w:val="auto"/>
        </w:rPr>
        <w:t xml:space="preserve"> 1, 2017, 144.</w:t>
      </w:r>
    </w:p>
  </w:footnote>
  <w:footnote w:id="18">
    <w:p w14:paraId="6F772FBD"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Shatku PS, ‘Interpretation and Application of Article 98 of the Rome Statute,’ 144.</w:t>
      </w:r>
    </w:p>
  </w:footnote>
  <w:footnote w:id="19">
    <w:p w14:paraId="4A6F6AA8"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Preamble, </w:t>
      </w:r>
      <w:r w:rsidRPr="0094199B">
        <w:rPr>
          <w:rStyle w:val="None"/>
          <w:rFonts w:ascii="Times New Roman" w:hAnsi="Times New Roman" w:cs="Times New Roman"/>
          <w:i/>
          <w:iCs/>
          <w:color w:val="auto"/>
        </w:rPr>
        <w:t>Rome Statute of the International Criminal Court</w:t>
      </w:r>
      <w:r w:rsidRPr="0094199B">
        <w:rPr>
          <w:rStyle w:val="None"/>
          <w:rFonts w:ascii="Times New Roman" w:hAnsi="Times New Roman" w:cs="Times New Roman"/>
          <w:color w:val="auto"/>
        </w:rPr>
        <w:t>.</w:t>
      </w:r>
    </w:p>
  </w:footnote>
  <w:footnote w:id="20">
    <w:p w14:paraId="2F5B98C2"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86, </w:t>
      </w:r>
      <w:r w:rsidRPr="0094199B">
        <w:rPr>
          <w:rStyle w:val="None"/>
          <w:rFonts w:ascii="Times New Roman" w:hAnsi="Times New Roman" w:cs="Times New Roman"/>
          <w:i/>
          <w:iCs/>
          <w:color w:val="auto"/>
        </w:rPr>
        <w:t>Rome Statute of the International Criminal Court.</w:t>
      </w:r>
    </w:p>
  </w:footnote>
  <w:footnote w:id="21">
    <w:p w14:paraId="6800094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87(1), </w:t>
      </w:r>
      <w:r w:rsidRPr="0094199B">
        <w:rPr>
          <w:rStyle w:val="None"/>
          <w:rFonts w:ascii="Times New Roman" w:hAnsi="Times New Roman" w:cs="Times New Roman"/>
          <w:i/>
          <w:iCs/>
          <w:color w:val="auto"/>
        </w:rPr>
        <w:t>Rome Statute of the International Criminal Court.</w:t>
      </w:r>
    </w:p>
  </w:footnote>
  <w:footnote w:id="22">
    <w:p w14:paraId="647057C8"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90, </w:t>
      </w:r>
      <w:r w:rsidRPr="0094199B">
        <w:rPr>
          <w:rStyle w:val="None"/>
          <w:rFonts w:ascii="Times New Roman" w:hAnsi="Times New Roman" w:cs="Times New Roman"/>
          <w:i/>
          <w:iCs/>
          <w:color w:val="auto"/>
        </w:rPr>
        <w:t>Rome Statute of the International Criminal Court.</w:t>
      </w:r>
    </w:p>
  </w:footnote>
  <w:footnote w:id="23">
    <w:p w14:paraId="44E48AF1"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91, </w:t>
      </w:r>
      <w:r w:rsidRPr="0094199B">
        <w:rPr>
          <w:rStyle w:val="None"/>
          <w:rFonts w:ascii="Times New Roman" w:hAnsi="Times New Roman" w:cs="Times New Roman"/>
          <w:i/>
          <w:iCs/>
          <w:color w:val="auto"/>
        </w:rPr>
        <w:t>Rome Statute of the International Criminal Court.</w:t>
      </w:r>
    </w:p>
  </w:footnote>
  <w:footnote w:id="24">
    <w:p w14:paraId="0EB31FFD"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93, </w:t>
      </w:r>
      <w:r w:rsidRPr="0094199B">
        <w:rPr>
          <w:rStyle w:val="None"/>
          <w:rFonts w:ascii="Times New Roman" w:hAnsi="Times New Roman" w:cs="Times New Roman"/>
          <w:i/>
          <w:iCs/>
          <w:color w:val="auto"/>
        </w:rPr>
        <w:t>Rome Statute of the International Criminal Court.</w:t>
      </w:r>
    </w:p>
  </w:footnote>
  <w:footnote w:id="25">
    <w:p w14:paraId="08DED79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Keohane O, </w:t>
      </w:r>
      <w:r w:rsidRPr="0094199B">
        <w:rPr>
          <w:rStyle w:val="None"/>
          <w:rFonts w:ascii="Times New Roman" w:hAnsi="Times New Roman" w:cs="Times New Roman"/>
          <w:i/>
          <w:iCs/>
          <w:color w:val="auto"/>
        </w:rPr>
        <w:t>After Hegemony: Cooperation and Discord in the World Political Economy</w:t>
      </w:r>
      <w:r w:rsidRPr="0094199B">
        <w:rPr>
          <w:rStyle w:val="None"/>
          <w:rFonts w:ascii="Times New Roman" w:hAnsi="Times New Roman" w:cs="Times New Roman"/>
          <w:color w:val="auto"/>
        </w:rPr>
        <w:t xml:space="preserve">, Princeton University Press, Princeton, 1984, 51-52. </w:t>
      </w:r>
    </w:p>
  </w:footnote>
  <w:footnote w:id="26">
    <w:p w14:paraId="6802B6C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Lindblom C, </w:t>
      </w:r>
      <w:r w:rsidRPr="0094199B">
        <w:rPr>
          <w:rStyle w:val="None"/>
          <w:rFonts w:ascii="Times New Roman" w:hAnsi="Times New Roman" w:cs="Times New Roman"/>
          <w:i/>
          <w:iCs/>
          <w:color w:val="auto"/>
        </w:rPr>
        <w:t>The Intelligence of Democracy</w:t>
      </w:r>
      <w:r w:rsidRPr="0094199B">
        <w:rPr>
          <w:rStyle w:val="None"/>
          <w:rFonts w:ascii="Times New Roman" w:hAnsi="Times New Roman" w:cs="Times New Roman"/>
          <w:color w:val="auto"/>
        </w:rPr>
        <w:t>, Free Press, New York, 1965, 227.</w:t>
      </w:r>
    </w:p>
  </w:footnote>
  <w:footnote w:id="27">
    <w:p w14:paraId="4B2A6C65"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Shatku PS, ‘Interpretation and Application of Article 98 of the Rome Statute,’ 144.</w:t>
      </w:r>
    </w:p>
  </w:footnote>
  <w:footnote w:id="28">
    <w:p w14:paraId="358D4DD0"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Prosecutor v William Samoei Ruto and Joshua Arap Sang, Case No. ICC-01/09-01/11, Case Information Sheet, April 2016, </w:t>
      </w:r>
      <w:hyperlink r:id="rId1" w:history="1">
        <w:r w:rsidRPr="0094199B">
          <w:rPr>
            <w:rStyle w:val="Hyperlink0"/>
            <w:rFonts w:eastAsia="Calibri"/>
            <w:color w:val="auto"/>
          </w:rPr>
          <w:t>https://www.icc-cpi.int/CaseInformationSheets/RutoSangEng.pdf</w:t>
        </w:r>
      </w:hyperlink>
      <w:r w:rsidRPr="0094199B">
        <w:rPr>
          <w:rStyle w:val="None"/>
          <w:rFonts w:ascii="Times New Roman" w:hAnsi="Times New Roman" w:cs="Times New Roman"/>
          <w:color w:val="auto"/>
        </w:rPr>
        <w:t xml:space="preserve">; and Prosecutor v Uhuru Muigai Kenyatta, Case No. ICC-01/09-02/11, Case Information Sheet, 13 March 2015, </w:t>
      </w:r>
      <w:hyperlink r:id="rId2" w:history="1">
        <w:r w:rsidRPr="0094199B">
          <w:rPr>
            <w:rStyle w:val="Hyperlink0"/>
            <w:rFonts w:eastAsia="Calibri"/>
            <w:color w:val="auto"/>
          </w:rPr>
          <w:t>https://www.icc-cpi.int/CaseInformationSheets/kenyattaEng.pdf</w:t>
        </w:r>
      </w:hyperlink>
      <w:r w:rsidRPr="0094199B">
        <w:rPr>
          <w:rStyle w:val="None"/>
          <w:rFonts w:ascii="Times New Roman" w:hAnsi="Times New Roman" w:cs="Times New Roman"/>
          <w:color w:val="auto"/>
        </w:rPr>
        <w:t>.</w:t>
      </w:r>
    </w:p>
  </w:footnote>
  <w:footnote w:id="29">
    <w:p w14:paraId="08EEE65A"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Nichols L, </w:t>
      </w:r>
      <w:r w:rsidRPr="0094199B">
        <w:rPr>
          <w:rStyle w:val="None"/>
          <w:rFonts w:ascii="Times New Roman" w:hAnsi="Times New Roman" w:cs="Times New Roman"/>
          <w:i/>
          <w:iCs/>
          <w:color w:val="auto"/>
        </w:rPr>
        <w:t>The International Criminal Court and the End of Impunity in Kenya</w:t>
      </w:r>
      <w:r w:rsidRPr="0094199B">
        <w:rPr>
          <w:rStyle w:val="None"/>
          <w:rFonts w:ascii="Times New Roman" w:hAnsi="Times New Roman" w:cs="Times New Roman"/>
          <w:color w:val="auto"/>
        </w:rPr>
        <w:t>, Springer International Publishing, Switzerland, 2015.</w:t>
      </w:r>
    </w:p>
  </w:footnote>
  <w:footnote w:id="30">
    <w:p w14:paraId="5007D09A"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sz w:val="24"/>
          <w:szCs w:val="24"/>
        </w:rPr>
        <w:t xml:space="preserve"> </w:t>
      </w:r>
      <w:r w:rsidRPr="0094199B">
        <w:rPr>
          <w:rStyle w:val="None"/>
          <w:rFonts w:ascii="Times New Roman" w:hAnsi="Times New Roman" w:cs="Times New Roman"/>
          <w:color w:val="auto"/>
        </w:rPr>
        <w:t xml:space="preserve">Prosecutor v Omar Hassan Ahmad Al Bashir, Case No. ICC-02/05-01/09, Warrant of Arrest for Omar Hassan Ahmad Al Bashir, 4 March 2009, </w:t>
      </w:r>
      <w:hyperlink r:id="rId3" w:history="1">
        <w:r w:rsidRPr="0094199B">
          <w:rPr>
            <w:rStyle w:val="Hyperlink0"/>
            <w:rFonts w:eastAsia="Calibri"/>
            <w:color w:val="auto"/>
          </w:rPr>
          <w:t>https://www.icc-cpi.int/CourtRecords/CR2009_01514.PDF</w:t>
        </w:r>
      </w:hyperlink>
      <w:r w:rsidRPr="0094199B">
        <w:rPr>
          <w:rStyle w:val="None"/>
          <w:rFonts w:ascii="Times New Roman" w:hAnsi="Times New Roman" w:cs="Times New Roman"/>
          <w:color w:val="auto"/>
        </w:rPr>
        <w:t>.</w:t>
      </w:r>
    </w:p>
  </w:footnote>
  <w:footnote w:id="31">
    <w:p w14:paraId="56DA8FD7"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86, </w:t>
      </w:r>
      <w:r w:rsidRPr="0094199B">
        <w:rPr>
          <w:rStyle w:val="None"/>
          <w:rFonts w:ascii="Times New Roman" w:hAnsi="Times New Roman" w:cs="Times New Roman"/>
          <w:i/>
          <w:iCs/>
          <w:color w:val="auto"/>
        </w:rPr>
        <w:t>Rome Statute of the International Criminal Court.</w:t>
      </w:r>
    </w:p>
  </w:footnote>
  <w:footnote w:id="32">
    <w:p w14:paraId="19CD1A87"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Cardona Y, ‘A Critical Analysis of the Rome Statute of the International Criminal Court’ Unpublished LLM Thesis, University of Malta, Msida, 2013, 3.</w:t>
      </w:r>
    </w:p>
  </w:footnote>
  <w:footnote w:id="33">
    <w:p w14:paraId="6C7F6456"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Coalition for the International Criminal Court, ‘ASP 2017: State cooperation crucial for an effective ICC’ Coalition for the International Criminal Court, 7 November 2017 </w:t>
      </w:r>
      <w:hyperlink r:id="rId4" w:history="1">
        <w:r w:rsidRPr="0094199B">
          <w:rPr>
            <w:rStyle w:val="Hyperlink4"/>
            <w:rFonts w:eastAsia="Calibri"/>
            <w:color w:val="auto"/>
          </w:rPr>
          <w:t>http://www.coalitionfortheicc.org/news/20171107/asp-2017-State-cooperation-crucial-effective-icc</w:t>
        </w:r>
      </w:hyperlink>
      <w:r w:rsidRPr="0094199B">
        <w:rPr>
          <w:rStyle w:val="None"/>
          <w:rFonts w:ascii="Times New Roman" w:hAnsi="Times New Roman" w:cs="Times New Roman"/>
          <w:color w:val="auto"/>
        </w:rPr>
        <w:t xml:space="preserve"> on 13 December 2018.</w:t>
      </w:r>
    </w:p>
  </w:footnote>
  <w:footnote w:id="34">
    <w:p w14:paraId="6E393964"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Article 97, </w:t>
      </w:r>
      <w:r w:rsidRPr="0094199B">
        <w:rPr>
          <w:rStyle w:val="None"/>
          <w:rFonts w:ascii="Times New Roman" w:hAnsi="Times New Roman" w:cs="Times New Roman"/>
          <w:i/>
          <w:iCs/>
          <w:color w:val="auto"/>
        </w:rPr>
        <w:t>Rome Statute of the International Criminal Court.</w:t>
      </w:r>
    </w:p>
  </w:footnote>
  <w:footnote w:id="35">
    <w:p w14:paraId="245B9ECD"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Keohane, </w:t>
      </w:r>
      <w:r w:rsidRPr="0094199B">
        <w:rPr>
          <w:rStyle w:val="None"/>
          <w:rFonts w:ascii="Times New Roman" w:hAnsi="Times New Roman" w:cs="Times New Roman"/>
          <w:i/>
          <w:iCs/>
          <w:color w:val="auto"/>
        </w:rPr>
        <w:t>After Hegemony: Cooperation and Discord in the World Political Economy</w:t>
      </w:r>
      <w:r w:rsidRPr="0094199B">
        <w:rPr>
          <w:rStyle w:val="None"/>
          <w:rFonts w:ascii="Times New Roman" w:hAnsi="Times New Roman" w:cs="Times New Roman"/>
          <w:color w:val="auto"/>
        </w:rPr>
        <w:t>, 51-53.</w:t>
      </w:r>
    </w:p>
  </w:footnote>
  <w:footnote w:id="36">
    <w:p w14:paraId="69E7E07B"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Abbott, Kenneth W, and Duncan S, ‘Why States Act through Formal International Organisations’ 42 </w:t>
      </w:r>
      <w:r w:rsidRPr="0094199B">
        <w:rPr>
          <w:rStyle w:val="None"/>
          <w:rFonts w:ascii="Times New Roman" w:hAnsi="Times New Roman" w:cs="Times New Roman"/>
          <w:i/>
          <w:iCs/>
          <w:color w:val="auto"/>
        </w:rPr>
        <w:t xml:space="preserve">Journal of Conflict Resolution </w:t>
      </w:r>
      <w:r w:rsidRPr="0094199B">
        <w:rPr>
          <w:rStyle w:val="None"/>
          <w:rFonts w:ascii="Times New Roman" w:hAnsi="Times New Roman" w:cs="Times New Roman"/>
          <w:color w:val="auto"/>
        </w:rPr>
        <w:t>1, 1998, 3-32.</w:t>
      </w:r>
    </w:p>
  </w:footnote>
  <w:footnote w:id="37">
    <w:p w14:paraId="7F9BCFDB"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Mitchell, Sara M and Paul R, ‘International Institutions and Compliance with Agreements’ 51 </w:t>
      </w:r>
      <w:r w:rsidRPr="0094199B">
        <w:rPr>
          <w:rStyle w:val="None"/>
          <w:rFonts w:ascii="Times New Roman" w:hAnsi="Times New Roman" w:cs="Times New Roman"/>
          <w:i/>
          <w:iCs/>
          <w:color w:val="auto"/>
        </w:rPr>
        <w:t>American Journal of Political Science</w:t>
      </w:r>
      <w:r w:rsidRPr="0094199B">
        <w:rPr>
          <w:rStyle w:val="None"/>
          <w:rFonts w:ascii="Times New Roman" w:hAnsi="Times New Roman" w:cs="Times New Roman"/>
          <w:color w:val="auto"/>
        </w:rPr>
        <w:t xml:space="preserve"> 4, 2007, 721-737.</w:t>
      </w:r>
    </w:p>
  </w:footnote>
  <w:footnote w:id="38">
    <w:p w14:paraId="17820A75"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Bilder and Richard B, ‘International Dispute Settlement and the Role of International Adjudication’ in Charlotte Ku and Paul F. Diehl (eds.), </w:t>
      </w:r>
      <w:r w:rsidRPr="0094199B">
        <w:rPr>
          <w:rStyle w:val="None"/>
          <w:rFonts w:ascii="Times New Roman" w:hAnsi="Times New Roman" w:cs="Times New Roman"/>
          <w:i/>
          <w:iCs/>
          <w:color w:val="auto"/>
        </w:rPr>
        <w:t>International Law:</w:t>
      </w:r>
      <w:r w:rsidRPr="0094199B">
        <w:rPr>
          <w:rStyle w:val="None"/>
          <w:rFonts w:ascii="Times New Roman" w:hAnsi="Times New Roman" w:cs="Times New Roman"/>
          <w:color w:val="auto"/>
        </w:rPr>
        <w:t xml:space="preserve"> </w:t>
      </w:r>
      <w:r w:rsidRPr="0094199B">
        <w:rPr>
          <w:rStyle w:val="None"/>
          <w:rFonts w:ascii="Times New Roman" w:hAnsi="Times New Roman" w:cs="Times New Roman"/>
          <w:i/>
          <w:iCs/>
          <w:color w:val="auto"/>
        </w:rPr>
        <w:t>Classic and Contemporary Readings</w:t>
      </w:r>
      <w:r w:rsidRPr="0094199B">
        <w:rPr>
          <w:rStyle w:val="None"/>
          <w:rFonts w:ascii="Times New Roman" w:hAnsi="Times New Roman" w:cs="Times New Roman"/>
          <w:color w:val="auto"/>
        </w:rPr>
        <w:t>, Boulder, CO: Lynne Rienner, 1998, 233-256</w:t>
      </w:r>
    </w:p>
  </w:footnote>
  <w:footnote w:id="39">
    <w:p w14:paraId="72D7F4C1"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Keohane, </w:t>
      </w:r>
      <w:r w:rsidRPr="0094199B">
        <w:rPr>
          <w:rStyle w:val="None"/>
          <w:rFonts w:ascii="Times New Roman" w:hAnsi="Times New Roman" w:cs="Times New Roman"/>
          <w:i/>
          <w:iCs/>
          <w:color w:val="auto"/>
        </w:rPr>
        <w:t>After Hegemony: Cooperation and Discord in the World Political Economy</w:t>
      </w:r>
      <w:r w:rsidRPr="0094199B">
        <w:rPr>
          <w:rStyle w:val="None"/>
          <w:rFonts w:ascii="Times New Roman" w:hAnsi="Times New Roman" w:cs="Times New Roman"/>
          <w:color w:val="auto"/>
        </w:rPr>
        <w:t>, 51-53.</w:t>
      </w:r>
    </w:p>
  </w:footnote>
  <w:footnote w:id="40">
    <w:p w14:paraId="61D5908A"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Cardona, ‘A Critical Analysis of the Rome Statute of the International Criminal Court.’</w:t>
      </w:r>
    </w:p>
  </w:footnote>
  <w:footnote w:id="41">
    <w:p w14:paraId="5916E4DC"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w:t>
      </w:r>
      <w:r w:rsidRPr="0094199B">
        <w:rPr>
          <w:rFonts w:ascii="Times New Roman" w:hAnsi="Times New Roman" w:cs="Times New Roman"/>
          <w:color w:val="auto"/>
        </w:rPr>
        <w:t xml:space="preserve">Prosecutor v Omar Hassan Ahmad Al Bashir, Case No. ICC-02/05-01/09, Decision on the Prosecutor’s Request for a Finding of Non-Compliance Against the Republic of the Sudan, 9 March 2015, </w:t>
      </w:r>
      <w:hyperlink r:id="rId5" w:history="1">
        <w:r w:rsidRPr="0094199B">
          <w:rPr>
            <w:rStyle w:val="Hyperlink"/>
            <w:rFonts w:ascii="Times New Roman" w:hAnsi="Times New Roman" w:cs="Times New Roman"/>
            <w:color w:val="auto"/>
          </w:rPr>
          <w:t>https://www.icc-cpi.int/CourtRecords/CR2015_02745.PDF</w:t>
        </w:r>
      </w:hyperlink>
      <w:r w:rsidRPr="0094199B">
        <w:rPr>
          <w:rFonts w:ascii="Times New Roman" w:hAnsi="Times New Roman" w:cs="Times New Roman"/>
          <w:color w:val="auto"/>
        </w:rPr>
        <w:t xml:space="preserve">. </w:t>
      </w:r>
    </w:p>
  </w:footnote>
  <w:footnote w:id="42">
    <w:p w14:paraId="5E56A6E2"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w:t>
      </w:r>
      <w:r w:rsidR="00100B06" w:rsidRPr="0094199B">
        <w:rPr>
          <w:rFonts w:ascii="Times New Roman" w:hAnsi="Times New Roman" w:cs="Times New Roman"/>
          <w:color w:val="auto"/>
        </w:rPr>
        <w:t xml:space="preserve">Prosecutor v Uhuru Muigai Kenyatta, Case No. ICC-01/09-02/11, Second decision on Prosecution’s application for a finding of non-compliance, 19 September 2016, </w:t>
      </w:r>
      <w:hyperlink r:id="rId6" w:history="1">
        <w:r w:rsidR="00100B06" w:rsidRPr="0094199B">
          <w:rPr>
            <w:rStyle w:val="Hyperlink"/>
            <w:rFonts w:ascii="Times New Roman" w:hAnsi="Times New Roman" w:cs="Times New Roman"/>
            <w:color w:val="auto"/>
          </w:rPr>
          <w:t>https://www.icc-cpi.int/CourtRecords/CR2016_06654.PDF</w:t>
        </w:r>
      </w:hyperlink>
      <w:r w:rsidR="00100B06" w:rsidRPr="0094199B">
        <w:rPr>
          <w:rFonts w:ascii="Times New Roman" w:hAnsi="Times New Roman" w:cs="Times New Roman"/>
          <w:color w:val="auto"/>
        </w:rPr>
        <w:t>.</w:t>
      </w:r>
    </w:p>
  </w:footnote>
  <w:footnote w:id="43">
    <w:p w14:paraId="3D4D1993"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00100B06" w:rsidRPr="0094199B">
        <w:rPr>
          <w:rFonts w:ascii="Times New Roman" w:hAnsi="Times New Roman" w:cs="Times New Roman"/>
          <w:color w:val="auto"/>
        </w:rPr>
        <w:t xml:space="preserve">Prosecutor v Uhuru Muigai Kenyatta, Case No. ICC-01/09-02/11, Second decision on Prosecution’s application for a finding of non-compliance, 19 September 2016, </w:t>
      </w:r>
      <w:hyperlink r:id="rId7" w:history="1">
        <w:r w:rsidR="00100B06" w:rsidRPr="0094199B">
          <w:rPr>
            <w:rStyle w:val="Hyperlink"/>
            <w:rFonts w:ascii="Times New Roman" w:hAnsi="Times New Roman" w:cs="Times New Roman"/>
            <w:color w:val="auto"/>
          </w:rPr>
          <w:t>https://www.icc-cpi.int/CourtRecords/CR2016_06654.PDF</w:t>
        </w:r>
      </w:hyperlink>
      <w:r w:rsidRPr="0094199B">
        <w:rPr>
          <w:rStyle w:val="None"/>
          <w:rFonts w:ascii="Times New Roman" w:hAnsi="Times New Roman" w:cs="Times New Roman"/>
          <w:color w:val="auto"/>
        </w:rPr>
        <w:t>; and</w:t>
      </w:r>
      <w:r w:rsidR="00940D9A" w:rsidRPr="0094199B">
        <w:rPr>
          <w:rStyle w:val="None"/>
          <w:rFonts w:ascii="Times New Roman" w:hAnsi="Times New Roman" w:cs="Times New Roman"/>
          <w:color w:val="auto"/>
        </w:rPr>
        <w:t xml:space="preserve"> </w:t>
      </w:r>
      <w:r w:rsidR="00940D9A" w:rsidRPr="0094199B">
        <w:rPr>
          <w:rFonts w:ascii="Times New Roman" w:hAnsi="Times New Roman" w:cs="Times New Roman"/>
          <w:color w:val="auto"/>
        </w:rPr>
        <w:t xml:space="preserve">Prosecutor v Omar Hassan Ahmad Al Bashir, Case No. ICC-02/05-01/09, Decision on the Prosecutor’s Request for a Finding of Non-Compliance Against the Republic of the Sudan, 9 March 2015, </w:t>
      </w:r>
      <w:hyperlink r:id="rId8" w:history="1">
        <w:r w:rsidR="00940D9A" w:rsidRPr="0094199B">
          <w:rPr>
            <w:rStyle w:val="Hyperlink"/>
            <w:rFonts w:ascii="Times New Roman" w:hAnsi="Times New Roman" w:cs="Times New Roman"/>
            <w:color w:val="auto"/>
          </w:rPr>
          <w:t>https://www.icc-cpi.int/CourtRecords/CR2015_02745.PDF</w:t>
        </w:r>
      </w:hyperlink>
      <w:r w:rsidR="00940D9A" w:rsidRPr="0094199B">
        <w:rPr>
          <w:rFonts w:ascii="Times New Roman" w:hAnsi="Times New Roman" w:cs="Times New Roman"/>
          <w:color w:val="auto"/>
        </w:rPr>
        <w:t xml:space="preserve">. </w:t>
      </w:r>
    </w:p>
  </w:footnote>
  <w:footnote w:id="44">
    <w:p w14:paraId="51DADE57"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Oosterveld, Perry and McManus, ‘The Cooperation of States with the International Criminal Court’ 25 </w:t>
      </w:r>
      <w:r w:rsidRPr="0094199B">
        <w:rPr>
          <w:rStyle w:val="None"/>
          <w:rFonts w:ascii="Times New Roman" w:hAnsi="Times New Roman" w:cs="Times New Roman"/>
          <w:i/>
          <w:iCs/>
          <w:color w:val="auto"/>
        </w:rPr>
        <w:t xml:space="preserve">Fordham International Law Journal </w:t>
      </w:r>
      <w:r w:rsidRPr="0094199B">
        <w:rPr>
          <w:rStyle w:val="None"/>
          <w:rFonts w:ascii="Times New Roman" w:hAnsi="Times New Roman" w:cs="Times New Roman"/>
          <w:color w:val="auto"/>
        </w:rPr>
        <w:t>3, 2001, 766.</w:t>
      </w:r>
    </w:p>
  </w:footnote>
  <w:footnote w:id="45">
    <w:p w14:paraId="54908373"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Schabas W, </w:t>
      </w:r>
      <w:r w:rsidRPr="0094199B">
        <w:rPr>
          <w:rStyle w:val="None"/>
          <w:rFonts w:ascii="Times New Roman" w:hAnsi="Times New Roman" w:cs="Times New Roman"/>
          <w:i/>
          <w:iCs/>
          <w:color w:val="auto"/>
        </w:rPr>
        <w:t>An Introduction to the International Criminal Court</w:t>
      </w:r>
      <w:r w:rsidRPr="0094199B">
        <w:rPr>
          <w:rStyle w:val="None"/>
          <w:rFonts w:ascii="Times New Roman" w:hAnsi="Times New Roman" w:cs="Times New Roman"/>
          <w:color w:val="auto"/>
        </w:rPr>
        <w:t>, 4 ed, Cambridge University Press, New York, 2014, 49-56.</w:t>
      </w:r>
    </w:p>
  </w:footnote>
  <w:footnote w:id="46">
    <w:p w14:paraId="470FB66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Schabas, </w:t>
      </w:r>
      <w:r w:rsidRPr="0094199B">
        <w:rPr>
          <w:rStyle w:val="None"/>
          <w:rFonts w:ascii="Times New Roman" w:hAnsi="Times New Roman" w:cs="Times New Roman"/>
          <w:i/>
          <w:iCs/>
          <w:color w:val="auto"/>
        </w:rPr>
        <w:t>An Introduction to the International Criminal Court</w:t>
      </w:r>
      <w:r w:rsidRPr="0094199B">
        <w:rPr>
          <w:rStyle w:val="None"/>
          <w:rFonts w:ascii="Times New Roman" w:hAnsi="Times New Roman" w:cs="Times New Roman"/>
          <w:color w:val="auto"/>
        </w:rPr>
        <w:t>, 49-56.</w:t>
      </w:r>
    </w:p>
  </w:footnote>
  <w:footnote w:id="47">
    <w:p w14:paraId="40D68A21"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Government of Kenya, </w:t>
      </w:r>
      <w:r w:rsidRPr="0094199B">
        <w:rPr>
          <w:rStyle w:val="None"/>
          <w:rFonts w:ascii="Times New Roman" w:hAnsi="Times New Roman" w:cs="Times New Roman"/>
          <w:i/>
          <w:iCs/>
          <w:color w:val="auto"/>
        </w:rPr>
        <w:t>Kenya: Commission of Inquiry into the Post-Election Violence (CIPEV) final report</w:t>
      </w:r>
      <w:r w:rsidRPr="0094199B">
        <w:rPr>
          <w:rStyle w:val="None"/>
          <w:rFonts w:ascii="Times New Roman" w:hAnsi="Times New Roman" w:cs="Times New Roman"/>
          <w:color w:val="auto"/>
        </w:rPr>
        <w:t>, 16 Oct 2008, 27-35.</w:t>
      </w:r>
    </w:p>
  </w:footnote>
  <w:footnote w:id="48">
    <w:p w14:paraId="017DEA9C"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Wouters J and Verhoeven S, ‘Justice for Africa: The cases of the Democratic Republic of the Congo, Uganda and Darfur before the International Criminal Court’ Institute for International Law, Working Paper 81, July 2005, 12-</w:t>
      </w:r>
      <w:hyperlink r:id="rId9" w:history="1">
        <w:r w:rsidRPr="0094199B">
          <w:rPr>
            <w:rStyle w:val="Hyperlink5"/>
            <w:rFonts w:eastAsia="Calibri"/>
            <w:color w:val="auto"/>
          </w:rPr>
          <w:t>https://www.law.kuleuven.be/iir/nl/onderzoek/working-papers/WP81e.pdf</w:t>
        </w:r>
      </w:hyperlink>
      <w:r w:rsidRPr="0094199B">
        <w:rPr>
          <w:rStyle w:val="None"/>
          <w:rFonts w:ascii="Times New Roman" w:hAnsi="Times New Roman" w:cs="Times New Roman"/>
          <w:color w:val="auto"/>
        </w:rPr>
        <w:t xml:space="preserve"> on 24 January 2018.</w:t>
      </w:r>
    </w:p>
  </w:footnote>
  <w:footnote w:id="49">
    <w:p w14:paraId="569E153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Merwe H, ‘Annual Report 2016’ in Merwe H and Kemp G (eds) </w:t>
      </w:r>
      <w:r w:rsidRPr="0094199B">
        <w:rPr>
          <w:rStyle w:val="None"/>
          <w:rFonts w:ascii="Times New Roman" w:hAnsi="Times New Roman" w:cs="Times New Roman"/>
          <w:i/>
          <w:iCs/>
          <w:color w:val="auto"/>
        </w:rPr>
        <w:t xml:space="preserve">International criminal justice in Africa: Issues, challenges and prospects, </w:t>
      </w:r>
      <w:r w:rsidRPr="0094199B">
        <w:rPr>
          <w:rStyle w:val="None"/>
          <w:rFonts w:ascii="Times New Roman" w:hAnsi="Times New Roman" w:cs="Times New Roman"/>
          <w:color w:val="auto"/>
        </w:rPr>
        <w:t xml:space="preserve">Strathmore University Press, Nairobi, 2016, xiii. </w:t>
      </w:r>
    </w:p>
  </w:footnote>
  <w:footnote w:id="50">
    <w:p w14:paraId="09A20309"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Nichols L, </w:t>
      </w:r>
      <w:r w:rsidRPr="0094199B">
        <w:rPr>
          <w:rStyle w:val="None"/>
          <w:rFonts w:ascii="Times New Roman" w:hAnsi="Times New Roman" w:cs="Times New Roman"/>
          <w:i/>
          <w:iCs/>
          <w:color w:val="auto"/>
        </w:rPr>
        <w:t>The International Criminal Court and the End of Impunity in Kenya.</w:t>
      </w:r>
    </w:p>
  </w:footnote>
  <w:footnote w:id="51">
    <w:p w14:paraId="275B137D"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Shatku PS, ‘Interpretation and Application of Article 98 of the Rome Statute,’ 144.</w:t>
      </w:r>
    </w:p>
  </w:footnote>
  <w:footnote w:id="52">
    <w:p w14:paraId="6C07641F"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vertAlign w:val="superscript"/>
        </w:rPr>
        <w:footnoteRef/>
      </w:r>
      <w:r w:rsidRPr="0094199B">
        <w:rPr>
          <w:rStyle w:val="None"/>
          <w:rFonts w:ascii="Times New Roman" w:hAnsi="Times New Roman" w:cs="Times New Roman"/>
          <w:color w:val="auto"/>
        </w:rPr>
        <w:t xml:space="preserve"> Cardona, ‘A Critical Analysis of the Rome Statute of the International Criminal Court’ 99.</w:t>
      </w:r>
    </w:p>
  </w:footnote>
  <w:footnote w:id="53">
    <w:p w14:paraId="7298DE90" w14:textId="77777777" w:rsidR="00B2706C" w:rsidRPr="0094199B" w:rsidRDefault="00B2706C" w:rsidP="0094199B">
      <w:pPr>
        <w:pStyle w:val="FootnoteText"/>
        <w:jc w:val="both"/>
        <w:rPr>
          <w:rFonts w:ascii="Times New Roman" w:hAnsi="Times New Roman" w:cs="Times New Roman"/>
          <w:color w:val="auto"/>
        </w:rPr>
      </w:pPr>
      <w:r w:rsidRPr="0094199B">
        <w:rPr>
          <w:rStyle w:val="None"/>
          <w:rFonts w:ascii="Times New Roman" w:eastAsia="Times New Roman" w:hAnsi="Times New Roman" w:cs="Times New Roman"/>
          <w:color w:val="auto"/>
          <w:sz w:val="24"/>
          <w:szCs w:val="24"/>
          <w:u w:color="FF0000"/>
          <w:vertAlign w:val="superscript"/>
        </w:rPr>
        <w:footnoteRef/>
      </w:r>
      <w:r w:rsidRPr="0094199B">
        <w:rPr>
          <w:rStyle w:val="None"/>
          <w:rFonts w:ascii="Times New Roman" w:hAnsi="Times New Roman" w:cs="Times New Roman"/>
          <w:color w:val="auto"/>
        </w:rPr>
        <w:t xml:space="preserve"> Glaser C, </w:t>
      </w:r>
      <w:r w:rsidRPr="0094199B">
        <w:rPr>
          <w:rStyle w:val="None"/>
          <w:rFonts w:ascii="Times New Roman" w:hAnsi="Times New Roman" w:cs="Times New Roman"/>
          <w:i/>
          <w:iCs/>
          <w:color w:val="auto"/>
        </w:rPr>
        <w:t>Rational Theory of International Politics: The Logic of Competition and Cooperation</w:t>
      </w:r>
      <w:r w:rsidRPr="0094199B">
        <w:rPr>
          <w:rStyle w:val="None"/>
          <w:rFonts w:ascii="Times New Roman" w:hAnsi="Times New Roman" w:cs="Times New Roman"/>
          <w:color w:val="auto"/>
        </w:rPr>
        <w:t>, Princeton University Press, Princeton, 2011.</w:t>
      </w:r>
    </w:p>
  </w:footnote>
  <w:footnote w:id="54">
    <w:p w14:paraId="6D9F2A5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color w:val="auto"/>
          <w:u w:color="FF0000"/>
          <w:vertAlign w:val="superscript"/>
        </w:rPr>
        <w:footnoteRef/>
      </w:r>
      <w:r w:rsidRPr="0094199B">
        <w:rPr>
          <w:rStyle w:val="None"/>
          <w:rFonts w:ascii="Times New Roman" w:hAnsi="Times New Roman" w:cs="Times New Roman"/>
          <w:color w:val="auto"/>
        </w:rPr>
        <w:t xml:space="preserve"> Glaser C, </w:t>
      </w:r>
      <w:r w:rsidRPr="0094199B">
        <w:rPr>
          <w:rStyle w:val="None"/>
          <w:rFonts w:ascii="Times New Roman" w:hAnsi="Times New Roman" w:cs="Times New Roman"/>
          <w:i/>
          <w:iCs/>
          <w:color w:val="auto"/>
        </w:rPr>
        <w:t>Rational Theory of International Politics: The Logic of Competition and Cooperation</w:t>
      </w:r>
      <w:r w:rsidRPr="0094199B">
        <w:rPr>
          <w:rStyle w:val="None"/>
          <w:rFonts w:ascii="Times New Roman" w:hAnsi="Times New Roman" w:cs="Times New Roman"/>
          <w:color w:val="auto"/>
        </w:rPr>
        <w:t>, Princeton Univer</w:t>
      </w:r>
      <w:r w:rsidRPr="0094199B">
        <w:rPr>
          <w:rStyle w:val="None"/>
          <w:rFonts w:ascii="Times New Roman" w:hAnsi="Times New Roman" w:cs="Times New Roman"/>
        </w:rPr>
        <w:t>sity Press, Princeton, 2011.</w:t>
      </w:r>
    </w:p>
  </w:footnote>
  <w:footnote w:id="55">
    <w:p w14:paraId="0E27C7A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Cassesse A, ‘The Statute of the International Criminal Court: Some Preliminary Reflections’ 10 </w:t>
      </w:r>
      <w:r w:rsidRPr="0094199B">
        <w:rPr>
          <w:rStyle w:val="None"/>
          <w:rFonts w:ascii="Times New Roman" w:hAnsi="Times New Roman" w:cs="Times New Roman"/>
          <w:i/>
          <w:iCs/>
        </w:rPr>
        <w:t>European Journal of International Law</w:t>
      </w:r>
      <w:r w:rsidRPr="0094199B">
        <w:rPr>
          <w:rStyle w:val="None"/>
          <w:rFonts w:ascii="Times New Roman" w:hAnsi="Times New Roman" w:cs="Times New Roman"/>
        </w:rPr>
        <w:t xml:space="preserve"> 1, 1999, 164.</w:t>
      </w:r>
    </w:p>
  </w:footnote>
  <w:footnote w:id="56">
    <w:p w14:paraId="27227A1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Part 9, </w:t>
      </w:r>
      <w:r w:rsidRPr="0094199B">
        <w:rPr>
          <w:rStyle w:val="None"/>
          <w:rFonts w:ascii="Times New Roman" w:hAnsi="Times New Roman" w:cs="Times New Roman"/>
          <w:i/>
          <w:iCs/>
        </w:rPr>
        <w:t>Rome Statute of the International Criminal Court.</w:t>
      </w:r>
    </w:p>
  </w:footnote>
  <w:footnote w:id="57">
    <w:p w14:paraId="70B21E2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Cardona Y, ‘A Critical Analysis of the Rome Statute of the International Criminal Court’ Unpublished LLM Thesis, University of Malta, Msida, 2013, 69.</w:t>
      </w:r>
    </w:p>
  </w:footnote>
  <w:footnote w:id="58">
    <w:p w14:paraId="7C3B32D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86, </w:t>
      </w:r>
      <w:r w:rsidRPr="0094199B">
        <w:rPr>
          <w:rStyle w:val="None"/>
          <w:rFonts w:ascii="Times New Roman" w:hAnsi="Times New Roman" w:cs="Times New Roman"/>
          <w:i/>
          <w:iCs/>
        </w:rPr>
        <w:t xml:space="preserve">Rome Statute of the International Criminal Court, </w:t>
      </w:r>
      <w:r w:rsidRPr="0094199B">
        <w:rPr>
          <w:rStyle w:val="None"/>
          <w:rFonts w:ascii="Times New Roman" w:hAnsi="Times New Roman" w:cs="Times New Roman"/>
        </w:rPr>
        <w:t>17 July 1998, 2187 UNTS.</w:t>
      </w:r>
    </w:p>
  </w:footnote>
  <w:footnote w:id="59">
    <w:p w14:paraId="061AC51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89, </w:t>
      </w:r>
      <w:r w:rsidRPr="0094199B">
        <w:rPr>
          <w:rStyle w:val="None"/>
          <w:rFonts w:ascii="Times New Roman" w:hAnsi="Times New Roman" w:cs="Times New Roman"/>
          <w:i/>
          <w:iCs/>
        </w:rPr>
        <w:t>Rome Statute of the International Criminal Court.</w:t>
      </w:r>
    </w:p>
  </w:footnote>
  <w:footnote w:id="60">
    <w:p w14:paraId="4C06D7F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54, </w:t>
      </w:r>
      <w:r w:rsidRPr="0094199B">
        <w:rPr>
          <w:rStyle w:val="None"/>
          <w:rFonts w:ascii="Times New Roman" w:hAnsi="Times New Roman" w:cs="Times New Roman"/>
          <w:i/>
          <w:iCs/>
        </w:rPr>
        <w:t>Rome Statute of the International Criminal Court.</w:t>
      </w:r>
    </w:p>
  </w:footnote>
  <w:footnote w:id="61">
    <w:p w14:paraId="3D991BA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88, </w:t>
      </w:r>
      <w:r w:rsidRPr="0094199B">
        <w:rPr>
          <w:rStyle w:val="None"/>
          <w:rFonts w:ascii="Times New Roman" w:hAnsi="Times New Roman" w:cs="Times New Roman"/>
          <w:i/>
          <w:iCs/>
        </w:rPr>
        <w:t>Rome Statute of the International Criminal Court.</w:t>
      </w:r>
    </w:p>
  </w:footnote>
  <w:footnote w:id="62">
    <w:p w14:paraId="35C7344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89, </w:t>
      </w:r>
      <w:r w:rsidRPr="0094199B">
        <w:rPr>
          <w:rStyle w:val="None"/>
          <w:rFonts w:ascii="Times New Roman" w:hAnsi="Times New Roman" w:cs="Times New Roman"/>
          <w:i/>
          <w:iCs/>
        </w:rPr>
        <w:t>Rome Statute of the International Criminal Court.</w:t>
      </w:r>
    </w:p>
  </w:footnote>
  <w:footnote w:id="63">
    <w:p w14:paraId="362D7ABC"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89(1), </w:t>
      </w:r>
      <w:r w:rsidRPr="0094199B">
        <w:rPr>
          <w:rStyle w:val="None"/>
          <w:rFonts w:ascii="Times New Roman" w:hAnsi="Times New Roman" w:cs="Times New Roman"/>
          <w:i/>
          <w:iCs/>
        </w:rPr>
        <w:t>Rome Statute of the International Criminal Court.</w:t>
      </w:r>
    </w:p>
  </w:footnote>
  <w:footnote w:id="64">
    <w:p w14:paraId="09CA4A3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Prosecutor v Saif Al-Islam Gaddafi and Abdullah Al-Senussi, Case No. ICC-01/11-01/11, Decision on Libya’s Submissions Regarding the Arrest of Saif Al-Islam Gaddafi, 7 March 2012, </w:t>
      </w:r>
      <w:hyperlink r:id="rId10" w:history="1">
        <w:r w:rsidRPr="0094199B">
          <w:rPr>
            <w:rStyle w:val="Hyperlink0"/>
            <w:rFonts w:eastAsia="Calibri"/>
          </w:rPr>
          <w:t>http://www.worldcourts.com/icc/eng/decisions/2012.03.07_Prosecutor_v_Gaddafi.pdf</w:t>
        </w:r>
      </w:hyperlink>
      <w:r w:rsidRPr="0094199B">
        <w:rPr>
          <w:rStyle w:val="None"/>
          <w:rFonts w:ascii="Times New Roman" w:hAnsi="Times New Roman" w:cs="Times New Roman"/>
        </w:rPr>
        <w:t xml:space="preserve">, para 12. </w:t>
      </w:r>
    </w:p>
  </w:footnote>
  <w:footnote w:id="65">
    <w:p w14:paraId="308D607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88, </w:t>
      </w:r>
      <w:r w:rsidRPr="0094199B">
        <w:rPr>
          <w:rStyle w:val="None"/>
          <w:rFonts w:ascii="Times New Roman" w:hAnsi="Times New Roman" w:cs="Times New Roman"/>
          <w:i/>
          <w:iCs/>
        </w:rPr>
        <w:t>Rome Statute of the International Criminal Court.</w:t>
      </w:r>
    </w:p>
  </w:footnote>
  <w:footnote w:id="66">
    <w:p w14:paraId="3AB9A7B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91, </w:t>
      </w:r>
      <w:r w:rsidRPr="0094199B">
        <w:rPr>
          <w:rStyle w:val="None"/>
          <w:rFonts w:ascii="Times New Roman" w:hAnsi="Times New Roman" w:cs="Times New Roman"/>
          <w:i/>
          <w:iCs/>
        </w:rPr>
        <w:t>Rome Statute of the International Criminal Court.</w:t>
      </w:r>
    </w:p>
  </w:footnote>
  <w:footnote w:id="67">
    <w:p w14:paraId="7F63069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Oosterveld, Perry and McManus, ‘The Cooperation of States with the International Criminal Court’ 25 </w:t>
      </w:r>
      <w:r w:rsidRPr="0094199B">
        <w:rPr>
          <w:rStyle w:val="None"/>
          <w:rFonts w:ascii="Times New Roman" w:hAnsi="Times New Roman" w:cs="Times New Roman"/>
          <w:i/>
          <w:iCs/>
        </w:rPr>
        <w:t xml:space="preserve">Fordham International Law Journal </w:t>
      </w:r>
      <w:r w:rsidRPr="0094199B">
        <w:rPr>
          <w:rStyle w:val="None"/>
          <w:rFonts w:ascii="Times New Roman" w:hAnsi="Times New Roman" w:cs="Times New Roman"/>
        </w:rPr>
        <w:t>3, 2001, 772.</w:t>
      </w:r>
    </w:p>
  </w:footnote>
  <w:footnote w:id="68">
    <w:p w14:paraId="14FFDDA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Article 92(1), </w:t>
      </w:r>
      <w:r w:rsidRPr="0094199B">
        <w:rPr>
          <w:rStyle w:val="None"/>
          <w:rFonts w:ascii="Times New Roman" w:hAnsi="Times New Roman" w:cs="Times New Roman"/>
          <w:i/>
          <w:iCs/>
        </w:rPr>
        <w:t>Rome Statute of the International Criminal Court.</w:t>
      </w:r>
    </w:p>
  </w:footnote>
  <w:footnote w:id="69">
    <w:p w14:paraId="36E6A4E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Prosecutor v Jean</w:t>
      </w:r>
      <w:r w:rsidRPr="0094199B">
        <w:rPr>
          <w:rStyle w:val="None"/>
          <w:rFonts w:ascii="Times New Roman" w:eastAsia="Arial Unicode MS" w:hAnsi="Times New Roman" w:cs="Times New Roman"/>
        </w:rPr>
        <w:t>‐</w:t>
      </w:r>
      <w:r w:rsidRPr="0094199B">
        <w:rPr>
          <w:rStyle w:val="None"/>
          <w:rFonts w:ascii="Times New Roman" w:hAnsi="Times New Roman" w:cs="Times New Roman"/>
        </w:rPr>
        <w:t>Pierre Bemba Gombo, Case No. ICC</w:t>
      </w:r>
      <w:r w:rsidRPr="0094199B">
        <w:rPr>
          <w:rStyle w:val="None"/>
          <w:rFonts w:ascii="Times New Roman" w:eastAsia="Arial Unicode MS" w:hAnsi="Times New Roman" w:cs="Times New Roman"/>
        </w:rPr>
        <w:t>‐</w:t>
      </w:r>
      <w:r w:rsidRPr="0094199B">
        <w:rPr>
          <w:rStyle w:val="None"/>
          <w:rFonts w:ascii="Times New Roman" w:hAnsi="Times New Roman" w:cs="Times New Roman"/>
        </w:rPr>
        <w:t>01/05</w:t>
      </w:r>
      <w:r w:rsidRPr="0094199B">
        <w:rPr>
          <w:rStyle w:val="None"/>
          <w:rFonts w:ascii="Times New Roman" w:eastAsia="Arial Unicode MS" w:hAnsi="Times New Roman" w:cs="Times New Roman"/>
        </w:rPr>
        <w:t>‐</w:t>
      </w:r>
      <w:r w:rsidRPr="0094199B">
        <w:rPr>
          <w:rStyle w:val="None"/>
          <w:rFonts w:ascii="Times New Roman" w:hAnsi="Times New Roman" w:cs="Times New Roman"/>
        </w:rPr>
        <w:t xml:space="preserve">01/08, Warrant of Arrest, 23 May 2008, </w:t>
      </w:r>
      <w:hyperlink r:id="rId11" w:history="1">
        <w:r w:rsidRPr="0094199B">
          <w:rPr>
            <w:rStyle w:val="Hyperlink0"/>
            <w:rFonts w:eastAsia="Calibri"/>
          </w:rPr>
          <w:t>https://www.icc-cpi.int/CourtRecords/CR2008_04180.PDF</w:t>
        </w:r>
      </w:hyperlink>
      <w:r w:rsidRPr="0094199B">
        <w:rPr>
          <w:rStyle w:val="None"/>
          <w:rFonts w:ascii="Times New Roman" w:hAnsi="Times New Roman" w:cs="Times New Roman"/>
        </w:rPr>
        <w:t>.</w:t>
      </w:r>
    </w:p>
  </w:footnote>
  <w:footnote w:id="70">
    <w:p w14:paraId="495056C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89(3), </w:t>
      </w:r>
      <w:r w:rsidRPr="0094199B">
        <w:rPr>
          <w:rStyle w:val="None"/>
          <w:rFonts w:ascii="Times New Roman" w:hAnsi="Times New Roman" w:cs="Times New Roman"/>
          <w:i/>
          <w:iCs/>
        </w:rPr>
        <w:t>Rome Statute of the International Criminal Court.</w:t>
      </w:r>
    </w:p>
  </w:footnote>
  <w:footnote w:id="71">
    <w:p w14:paraId="2A1EFB7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83(3), </w:t>
      </w:r>
      <w:r w:rsidRPr="0094199B">
        <w:rPr>
          <w:rStyle w:val="None"/>
          <w:rFonts w:ascii="Times New Roman" w:hAnsi="Times New Roman" w:cs="Times New Roman"/>
          <w:i/>
          <w:iCs/>
        </w:rPr>
        <w:t>Rome Statute of the International Criminal Court.</w:t>
      </w:r>
    </w:p>
  </w:footnote>
  <w:footnote w:id="72">
    <w:p w14:paraId="01A2143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92, </w:t>
      </w:r>
      <w:r w:rsidRPr="0094199B">
        <w:rPr>
          <w:rStyle w:val="None"/>
          <w:rFonts w:ascii="Times New Roman" w:hAnsi="Times New Roman" w:cs="Times New Roman"/>
          <w:i/>
          <w:iCs/>
        </w:rPr>
        <w:t>Rome Statute of the International Criminal Court.</w:t>
      </w:r>
    </w:p>
  </w:footnote>
  <w:footnote w:id="73">
    <w:p w14:paraId="41EF6CB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90, </w:t>
      </w:r>
      <w:r w:rsidRPr="0094199B">
        <w:rPr>
          <w:rStyle w:val="None"/>
          <w:rFonts w:ascii="Times New Roman" w:hAnsi="Times New Roman" w:cs="Times New Roman"/>
          <w:i/>
          <w:iCs/>
        </w:rPr>
        <w:t>Rome Statute of the International Criminal Court.</w:t>
      </w:r>
    </w:p>
  </w:footnote>
  <w:footnote w:id="74">
    <w:p w14:paraId="192A41F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90(2), </w:t>
      </w:r>
      <w:r w:rsidRPr="0094199B">
        <w:rPr>
          <w:rStyle w:val="None"/>
          <w:rFonts w:ascii="Times New Roman" w:hAnsi="Times New Roman" w:cs="Times New Roman"/>
          <w:i/>
          <w:iCs/>
        </w:rPr>
        <w:t>Rome Statute of the International Criminal Court.</w:t>
      </w:r>
    </w:p>
  </w:footnote>
  <w:footnote w:id="75">
    <w:p w14:paraId="0531300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90(2), </w:t>
      </w:r>
      <w:r w:rsidRPr="0094199B">
        <w:rPr>
          <w:rStyle w:val="None"/>
          <w:rFonts w:ascii="Times New Roman" w:hAnsi="Times New Roman" w:cs="Times New Roman"/>
          <w:i/>
          <w:iCs/>
        </w:rPr>
        <w:t>Rome Statute of the International Criminal Court.</w:t>
      </w:r>
    </w:p>
  </w:footnote>
  <w:footnote w:id="76">
    <w:p w14:paraId="4B0BE56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Rule 186, </w:t>
      </w:r>
      <w:r w:rsidRPr="0094199B">
        <w:rPr>
          <w:rStyle w:val="None"/>
          <w:rFonts w:ascii="Times New Roman" w:hAnsi="Times New Roman" w:cs="Times New Roman"/>
          <w:i/>
          <w:iCs/>
        </w:rPr>
        <w:t>ICC Rules of Procedure and Evidence.</w:t>
      </w:r>
    </w:p>
  </w:footnote>
  <w:footnote w:id="77">
    <w:p w14:paraId="226C024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86, </w:t>
      </w:r>
      <w:r w:rsidRPr="0094199B">
        <w:rPr>
          <w:rStyle w:val="None"/>
          <w:rFonts w:ascii="Times New Roman" w:hAnsi="Times New Roman" w:cs="Times New Roman"/>
          <w:i/>
          <w:iCs/>
        </w:rPr>
        <w:t>Rome Statute of the International Criminal Court.</w:t>
      </w:r>
    </w:p>
  </w:footnote>
  <w:footnote w:id="78">
    <w:p w14:paraId="24A0F6B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Klamberg M, </w:t>
      </w:r>
      <w:r w:rsidRPr="0094199B">
        <w:rPr>
          <w:rStyle w:val="None"/>
          <w:rFonts w:ascii="Times New Roman" w:hAnsi="Times New Roman" w:cs="Times New Roman"/>
          <w:i/>
          <w:iCs/>
        </w:rPr>
        <w:t>Evidence in International Criminal Trials</w:t>
      </w:r>
      <w:r w:rsidRPr="0094199B">
        <w:rPr>
          <w:rStyle w:val="None"/>
          <w:rFonts w:ascii="Times New Roman" w:hAnsi="Times New Roman" w:cs="Times New Roman"/>
        </w:rPr>
        <w:t>, Martinus Nijhoff Publishers, Leiden, 2013, 235.</w:t>
      </w:r>
    </w:p>
  </w:footnote>
  <w:footnote w:id="79">
    <w:p w14:paraId="4E2509B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88, </w:t>
      </w:r>
      <w:r w:rsidRPr="0094199B">
        <w:rPr>
          <w:rStyle w:val="None"/>
          <w:rFonts w:ascii="Times New Roman" w:hAnsi="Times New Roman" w:cs="Times New Roman"/>
          <w:i/>
          <w:iCs/>
        </w:rPr>
        <w:t>Rome Statute of the International Criminal Court.</w:t>
      </w:r>
    </w:p>
  </w:footnote>
  <w:footnote w:id="80">
    <w:p w14:paraId="7DF39A4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13 (a) and 14, </w:t>
      </w:r>
      <w:r w:rsidRPr="0094199B">
        <w:rPr>
          <w:rStyle w:val="None"/>
          <w:rFonts w:ascii="Times New Roman" w:hAnsi="Times New Roman" w:cs="Times New Roman"/>
          <w:i/>
          <w:iCs/>
        </w:rPr>
        <w:t>Rome Statute of the International Criminal Court.</w:t>
      </w:r>
    </w:p>
  </w:footnote>
  <w:footnote w:id="81">
    <w:p w14:paraId="0571C6D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13 (c) and 15, </w:t>
      </w:r>
      <w:r w:rsidRPr="0094199B">
        <w:rPr>
          <w:rStyle w:val="None"/>
          <w:rFonts w:ascii="Times New Roman" w:hAnsi="Times New Roman" w:cs="Times New Roman"/>
          <w:i/>
          <w:iCs/>
        </w:rPr>
        <w:t>Rome Statute of the International Criminal Court.</w:t>
      </w:r>
    </w:p>
  </w:footnote>
  <w:footnote w:id="82">
    <w:p w14:paraId="78E52F0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Rojo E, ‘Article 69(1)’ in Klamberg E (ed), </w:t>
      </w:r>
      <w:r w:rsidRPr="0094199B">
        <w:rPr>
          <w:rStyle w:val="None"/>
          <w:rFonts w:ascii="Times New Roman" w:hAnsi="Times New Roman" w:cs="Times New Roman"/>
          <w:i/>
          <w:iCs/>
        </w:rPr>
        <w:t>Commentary on the Law of the International Criminal Court</w:t>
      </w:r>
      <w:r w:rsidRPr="0094199B">
        <w:rPr>
          <w:rStyle w:val="None"/>
          <w:rFonts w:ascii="Times New Roman" w:hAnsi="Times New Roman" w:cs="Times New Roman"/>
        </w:rPr>
        <w:t>, Torkel Opsahl Academic EPublisher, Brussels, 2017, 462.</w:t>
      </w:r>
    </w:p>
  </w:footnote>
  <w:footnote w:id="83">
    <w:p w14:paraId="0B4AA12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54(1) (a), </w:t>
      </w:r>
      <w:r w:rsidRPr="0094199B">
        <w:rPr>
          <w:rStyle w:val="None"/>
          <w:rFonts w:ascii="Times New Roman" w:hAnsi="Times New Roman" w:cs="Times New Roman"/>
          <w:i/>
          <w:iCs/>
        </w:rPr>
        <w:t>Rome Statute of the International Criminal Court.</w:t>
      </w:r>
    </w:p>
  </w:footnote>
  <w:footnote w:id="84">
    <w:p w14:paraId="4914F4D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54(3) (c), </w:t>
      </w:r>
      <w:r w:rsidRPr="0094199B">
        <w:rPr>
          <w:rStyle w:val="None"/>
          <w:rFonts w:ascii="Times New Roman" w:hAnsi="Times New Roman" w:cs="Times New Roman"/>
          <w:i/>
          <w:iCs/>
        </w:rPr>
        <w:t>Rome Statute of the International Criminal Court.</w:t>
      </w:r>
    </w:p>
  </w:footnote>
  <w:footnote w:id="85">
    <w:p w14:paraId="440295C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54(3) (c), </w:t>
      </w:r>
      <w:r w:rsidRPr="0094199B">
        <w:rPr>
          <w:rStyle w:val="None"/>
          <w:rFonts w:ascii="Times New Roman" w:hAnsi="Times New Roman" w:cs="Times New Roman"/>
          <w:i/>
          <w:iCs/>
        </w:rPr>
        <w:t>Rome Statute of the International Criminal Court.</w:t>
      </w:r>
    </w:p>
  </w:footnote>
  <w:footnote w:id="86">
    <w:p w14:paraId="3237F44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87(7), </w:t>
      </w:r>
      <w:r w:rsidRPr="0094199B">
        <w:rPr>
          <w:rStyle w:val="None"/>
          <w:rFonts w:ascii="Times New Roman" w:hAnsi="Times New Roman" w:cs="Times New Roman"/>
          <w:i/>
          <w:iCs/>
        </w:rPr>
        <w:t>Rome Statute of the International Criminal Court.</w:t>
      </w:r>
    </w:p>
  </w:footnote>
  <w:footnote w:id="87">
    <w:p w14:paraId="27A3994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Resolution 1593 (2005) UN doc. S/RES/1593, 2005.</w:t>
      </w:r>
    </w:p>
  </w:footnote>
  <w:footnote w:id="88">
    <w:p w14:paraId="4A3CA6F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Resolution 1593 (2005) UN doc. S/RES/1593, 2005.</w:t>
      </w:r>
    </w:p>
  </w:footnote>
  <w:footnote w:id="89">
    <w:p w14:paraId="13DF227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93(1) (a), </w:t>
      </w:r>
      <w:r w:rsidRPr="0094199B">
        <w:rPr>
          <w:rStyle w:val="None"/>
          <w:rFonts w:ascii="Times New Roman" w:hAnsi="Times New Roman" w:cs="Times New Roman"/>
          <w:i/>
          <w:iCs/>
        </w:rPr>
        <w:t>Rome Statute of the International Criminal Court.</w:t>
      </w:r>
    </w:p>
  </w:footnote>
  <w:footnote w:id="90">
    <w:p w14:paraId="7239C79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93(1) (b), </w:t>
      </w:r>
      <w:r w:rsidRPr="0094199B">
        <w:rPr>
          <w:rStyle w:val="None"/>
          <w:rFonts w:ascii="Times New Roman" w:hAnsi="Times New Roman" w:cs="Times New Roman"/>
          <w:i/>
          <w:iCs/>
        </w:rPr>
        <w:t>Rome Statute of the International Criminal Court.</w:t>
      </w:r>
    </w:p>
  </w:footnote>
  <w:footnote w:id="91">
    <w:p w14:paraId="2DAA7A3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93(1) (b), </w:t>
      </w:r>
      <w:r w:rsidRPr="0094199B">
        <w:rPr>
          <w:rStyle w:val="None"/>
          <w:rFonts w:ascii="Times New Roman" w:hAnsi="Times New Roman" w:cs="Times New Roman"/>
          <w:i/>
          <w:iCs/>
        </w:rPr>
        <w:t>Rome Statute of the International Criminal Court.</w:t>
      </w:r>
    </w:p>
  </w:footnote>
  <w:footnote w:id="92">
    <w:p w14:paraId="0020719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93(1) (c), </w:t>
      </w:r>
      <w:r w:rsidRPr="0094199B">
        <w:rPr>
          <w:rStyle w:val="None"/>
          <w:rFonts w:ascii="Times New Roman" w:hAnsi="Times New Roman" w:cs="Times New Roman"/>
          <w:i/>
          <w:iCs/>
        </w:rPr>
        <w:t>Rome Statute of the International Criminal Court.</w:t>
      </w:r>
    </w:p>
  </w:footnote>
  <w:footnote w:id="93">
    <w:p w14:paraId="77B1A7B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93(1) (g), </w:t>
      </w:r>
      <w:r w:rsidRPr="0094199B">
        <w:rPr>
          <w:rStyle w:val="None"/>
          <w:rFonts w:ascii="Times New Roman" w:hAnsi="Times New Roman" w:cs="Times New Roman"/>
          <w:i/>
          <w:iCs/>
        </w:rPr>
        <w:t>Rome Statute of the International Criminal Court.</w:t>
      </w:r>
    </w:p>
  </w:footnote>
  <w:footnote w:id="94">
    <w:p w14:paraId="757CABE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93(1) (h), </w:t>
      </w:r>
      <w:r w:rsidRPr="0094199B">
        <w:rPr>
          <w:rStyle w:val="None"/>
          <w:rFonts w:ascii="Times New Roman" w:hAnsi="Times New Roman" w:cs="Times New Roman"/>
          <w:i/>
          <w:iCs/>
        </w:rPr>
        <w:t>Rome Statute of the International Criminal Court.</w:t>
      </w:r>
    </w:p>
  </w:footnote>
  <w:footnote w:id="95">
    <w:p w14:paraId="4ADB34E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93(1) (j), </w:t>
      </w:r>
      <w:r w:rsidRPr="0094199B">
        <w:rPr>
          <w:rStyle w:val="None"/>
          <w:rFonts w:ascii="Times New Roman" w:hAnsi="Times New Roman" w:cs="Times New Roman"/>
          <w:i/>
          <w:iCs/>
        </w:rPr>
        <w:t>Rome Statute of the International Criminal Court.</w:t>
      </w:r>
    </w:p>
  </w:footnote>
  <w:footnote w:id="96">
    <w:p w14:paraId="56894B1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Prosecutor v Thomas Lubanga Dyilo, Case No. ICC-01/04-01/06, Decision on the status before the Trial Chamber of the evidence heard by the PreTrial Chamber and the decisions of the Pre-Trial Chamber in trial proceedings, and the manner in which evidence shall be submitted, 13 December 2007, </w:t>
      </w:r>
      <w:hyperlink r:id="rId12" w:history="1">
        <w:r w:rsidRPr="0094199B">
          <w:rPr>
            <w:rStyle w:val="Hyperlink0"/>
            <w:rFonts w:eastAsia="Calibri"/>
          </w:rPr>
          <w:t>https://www.icc-cpi.int/CourtRecords/CR2007_05160.PDF</w:t>
        </w:r>
      </w:hyperlink>
      <w:r w:rsidRPr="0094199B">
        <w:rPr>
          <w:rStyle w:val="None"/>
          <w:rFonts w:ascii="Times New Roman" w:hAnsi="Times New Roman" w:cs="Times New Roman"/>
        </w:rPr>
        <w:t>, para 43–44.</w:t>
      </w:r>
    </w:p>
  </w:footnote>
  <w:footnote w:id="97">
    <w:p w14:paraId="6C13CFD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Rule 85(a), </w:t>
      </w:r>
      <w:r w:rsidRPr="0094199B">
        <w:rPr>
          <w:rStyle w:val="None"/>
          <w:rFonts w:ascii="Times New Roman" w:hAnsi="Times New Roman" w:cs="Times New Roman"/>
          <w:i/>
          <w:iCs/>
        </w:rPr>
        <w:t>ICC Rules of Procedure and Evidence.</w:t>
      </w:r>
    </w:p>
  </w:footnote>
  <w:footnote w:id="98">
    <w:p w14:paraId="4F19FE7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Gurmendi S, ‘The Rules of Procedure and Evidence of the International Criminal Court’ 3 </w:t>
      </w:r>
      <w:r w:rsidRPr="0094199B">
        <w:rPr>
          <w:rStyle w:val="None"/>
          <w:rFonts w:ascii="Times New Roman" w:hAnsi="Times New Roman" w:cs="Times New Roman"/>
          <w:i/>
          <w:iCs/>
        </w:rPr>
        <w:t xml:space="preserve">Yearbook of International Humanitarian Law, </w:t>
      </w:r>
      <w:r w:rsidRPr="0094199B">
        <w:rPr>
          <w:rStyle w:val="None"/>
          <w:rFonts w:ascii="Times New Roman" w:hAnsi="Times New Roman" w:cs="Times New Roman"/>
        </w:rPr>
        <w:t xml:space="preserve">2000, 427. </w:t>
      </w:r>
    </w:p>
  </w:footnote>
  <w:footnote w:id="99">
    <w:p w14:paraId="3344097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Brady H, ‘Protective and Special Measures for Victims and Witnesses’ in Lee R (ed), </w:t>
      </w:r>
      <w:r w:rsidRPr="0094199B">
        <w:rPr>
          <w:rStyle w:val="None"/>
          <w:rFonts w:ascii="Times New Roman" w:hAnsi="Times New Roman" w:cs="Times New Roman"/>
          <w:i/>
          <w:iCs/>
        </w:rPr>
        <w:t>Elements of Crimes and Rules of Procedure and Evidence</w:t>
      </w:r>
      <w:r w:rsidRPr="0094199B">
        <w:rPr>
          <w:rStyle w:val="None"/>
          <w:rFonts w:ascii="Times New Roman" w:hAnsi="Times New Roman" w:cs="Times New Roman"/>
        </w:rPr>
        <w:t>, Transnational Publishers, Ardsley, 2001, 434-435.</w:t>
      </w:r>
    </w:p>
  </w:footnote>
  <w:footnote w:id="100">
    <w:p w14:paraId="542B620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68, </w:t>
      </w:r>
      <w:r w:rsidRPr="0094199B">
        <w:rPr>
          <w:rStyle w:val="None"/>
          <w:rFonts w:ascii="Times New Roman" w:hAnsi="Times New Roman" w:cs="Times New Roman"/>
          <w:i/>
          <w:iCs/>
        </w:rPr>
        <w:t>Rome Statute of the International Criminal Court.</w:t>
      </w:r>
    </w:p>
  </w:footnote>
  <w:footnote w:id="101">
    <w:p w14:paraId="1F5CC44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Oosterveld, Perry and McManus, ‘The Cooperation of States with the International Criminal Court’ 772.</w:t>
      </w:r>
    </w:p>
  </w:footnote>
  <w:footnote w:id="102">
    <w:p w14:paraId="44E24C1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68(1), </w:t>
      </w:r>
      <w:r w:rsidRPr="0094199B">
        <w:rPr>
          <w:rStyle w:val="None"/>
          <w:rFonts w:ascii="Times New Roman" w:hAnsi="Times New Roman" w:cs="Times New Roman"/>
          <w:i/>
          <w:iCs/>
        </w:rPr>
        <w:t>Rome Statute of the International Criminal Court.</w:t>
      </w:r>
    </w:p>
  </w:footnote>
  <w:footnote w:id="103">
    <w:p w14:paraId="388E74C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68(1), </w:t>
      </w:r>
      <w:r w:rsidRPr="0094199B">
        <w:rPr>
          <w:rStyle w:val="None"/>
          <w:rFonts w:ascii="Times New Roman" w:hAnsi="Times New Roman" w:cs="Times New Roman"/>
          <w:i/>
          <w:iCs/>
        </w:rPr>
        <w:t>Rome Statute of the International Criminal Court.</w:t>
      </w:r>
    </w:p>
  </w:footnote>
  <w:footnote w:id="104">
    <w:p w14:paraId="4C22253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Situation in the Democratic Republic of the Congo</w:t>
      </w:r>
      <w:r w:rsidRPr="0094199B">
        <w:rPr>
          <w:rStyle w:val="None"/>
          <w:rFonts w:ascii="Times New Roman" w:hAnsi="Times New Roman" w:cs="Times New Roman"/>
        </w:rPr>
        <w:t>, ICC PT. Ch. I, 22 July 2005, p. 3.</w:t>
      </w:r>
    </w:p>
  </w:footnote>
  <w:footnote w:id="105">
    <w:p w14:paraId="54FAC10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Situation in Darfur</w:t>
      </w:r>
      <w:r w:rsidRPr="0094199B">
        <w:rPr>
          <w:rStyle w:val="None"/>
          <w:rFonts w:ascii="Times New Roman" w:hAnsi="Times New Roman" w:cs="Times New Roman"/>
        </w:rPr>
        <w:t>, ICC PT. Ch. I, 8 June 2007, p. 3.</w:t>
      </w:r>
    </w:p>
  </w:footnote>
  <w:footnote w:id="106">
    <w:p w14:paraId="32CB90F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Prosecutor v. Katanga and Ngudjolo</w:t>
      </w:r>
      <w:r w:rsidRPr="0094199B">
        <w:rPr>
          <w:rStyle w:val="None"/>
          <w:rFonts w:ascii="Times New Roman" w:hAnsi="Times New Roman" w:cs="Times New Roman"/>
        </w:rPr>
        <w:t>, ICC PT. Ch. I, 21 April 2008, paras. 26–27.</w:t>
      </w:r>
    </w:p>
  </w:footnote>
  <w:footnote w:id="107">
    <w:p w14:paraId="46853DC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68(2), </w:t>
      </w:r>
      <w:r w:rsidRPr="0094199B">
        <w:rPr>
          <w:rStyle w:val="None"/>
          <w:rFonts w:ascii="Times New Roman" w:hAnsi="Times New Roman" w:cs="Times New Roman"/>
          <w:i/>
          <w:iCs/>
        </w:rPr>
        <w:t>Rome Statute of the International Criminal Court.</w:t>
      </w:r>
    </w:p>
  </w:footnote>
  <w:footnote w:id="108">
    <w:p w14:paraId="009EEFC8" w14:textId="77777777" w:rsidR="00B2706C" w:rsidRPr="0094199B" w:rsidRDefault="00B2706C" w:rsidP="0094199B">
      <w:pPr>
        <w:pStyle w:val="FootnoteText"/>
        <w:jc w:val="both"/>
        <w:rPr>
          <w:rStyle w:val="None"/>
          <w:rFonts w:ascii="Times New Roman" w:eastAsia="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Prosecutor v Jean-Pierre Bemba Gombo, Case No. ICC-01/05-01/08 OA 4, Judgment on the appeal of Mr Jean-Pierre Bemba Gombo against the decision of Trial Chamber HI of 28 July 2010, 19 November 2010, </w:t>
      </w:r>
      <w:hyperlink r:id="rId13" w:history="1">
        <w:r w:rsidRPr="0094199B">
          <w:rPr>
            <w:rStyle w:val="Hyperlink0"/>
            <w:rFonts w:eastAsia="Calibri"/>
          </w:rPr>
          <w:t>https://www.icc-cpi.int/CourtRecords/CR2010_10640.PDF</w:t>
        </w:r>
      </w:hyperlink>
      <w:r w:rsidRPr="0094199B">
        <w:rPr>
          <w:rStyle w:val="None"/>
          <w:rFonts w:ascii="Times New Roman" w:hAnsi="Times New Roman" w:cs="Times New Roman"/>
        </w:rPr>
        <w:t>.</w:t>
      </w:r>
    </w:p>
    <w:p w14:paraId="6C6176E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rPr>
        <w:t>para. 23.</w:t>
      </w:r>
    </w:p>
  </w:footnote>
  <w:footnote w:id="109">
    <w:p w14:paraId="721ADB3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69(2), </w:t>
      </w:r>
      <w:r w:rsidRPr="0094199B">
        <w:rPr>
          <w:rStyle w:val="None"/>
          <w:rFonts w:ascii="Times New Roman" w:hAnsi="Times New Roman" w:cs="Times New Roman"/>
          <w:i/>
          <w:iCs/>
        </w:rPr>
        <w:t>Rome Statute of the International Criminal Court.</w:t>
      </w:r>
    </w:p>
  </w:footnote>
  <w:footnote w:id="110">
    <w:p w14:paraId="0B5A042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93(1), </w:t>
      </w:r>
      <w:r w:rsidRPr="0094199B">
        <w:rPr>
          <w:rStyle w:val="None"/>
          <w:rFonts w:ascii="Times New Roman" w:hAnsi="Times New Roman" w:cs="Times New Roman"/>
          <w:i/>
          <w:iCs/>
        </w:rPr>
        <w:t>Rome Statute of the International Criminal Court.</w:t>
      </w:r>
    </w:p>
  </w:footnote>
  <w:footnote w:id="111">
    <w:p w14:paraId="175D7D1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Mangu A, ‘The International Criminal Court, Justice, Peace and the Fight against Impunity in Africa: An Overview’ 40 </w:t>
      </w:r>
      <w:r w:rsidRPr="0094199B">
        <w:rPr>
          <w:rStyle w:val="None"/>
          <w:rFonts w:ascii="Times New Roman" w:hAnsi="Times New Roman" w:cs="Times New Roman"/>
          <w:i/>
          <w:iCs/>
        </w:rPr>
        <w:t xml:space="preserve">Africa Development / Afrique et Développement </w:t>
      </w:r>
      <w:r w:rsidRPr="0094199B">
        <w:rPr>
          <w:rStyle w:val="None"/>
          <w:rFonts w:ascii="Times New Roman" w:hAnsi="Times New Roman" w:cs="Times New Roman"/>
        </w:rPr>
        <w:t>2, 2015, 7.</w:t>
      </w:r>
    </w:p>
  </w:footnote>
  <w:footnote w:id="112">
    <w:p w14:paraId="7895CFE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Article 86, </w:t>
      </w:r>
      <w:r w:rsidRPr="0094199B">
        <w:rPr>
          <w:rStyle w:val="None"/>
          <w:rFonts w:ascii="Times New Roman" w:hAnsi="Times New Roman" w:cs="Times New Roman"/>
          <w:i/>
          <w:iCs/>
        </w:rPr>
        <w:t xml:space="preserve">Rome Statute of the International Criminal Court, </w:t>
      </w:r>
      <w:r w:rsidRPr="0094199B">
        <w:rPr>
          <w:rStyle w:val="None"/>
          <w:rFonts w:ascii="Times New Roman" w:hAnsi="Times New Roman" w:cs="Times New Roman"/>
        </w:rPr>
        <w:t>17 July 1998, 2187 UNTS.</w:t>
      </w:r>
    </w:p>
  </w:footnote>
  <w:footnote w:id="113">
    <w:p w14:paraId="265588E4" w14:textId="77777777" w:rsidR="00B2706C" w:rsidRPr="0094199B" w:rsidRDefault="00B2706C" w:rsidP="0094199B">
      <w:pPr>
        <w:pStyle w:val="Footnote"/>
        <w:jc w:val="both"/>
        <w:rPr>
          <w:rFonts w:ascii="Times New Roman" w:hAnsi="Times New Roman" w:cs="Times New Roman"/>
          <w:sz w:val="20"/>
          <w:szCs w:val="20"/>
        </w:rPr>
      </w:pPr>
      <w:r w:rsidRPr="0094199B">
        <w:rPr>
          <w:rStyle w:val="None"/>
          <w:rFonts w:ascii="Times New Roman" w:eastAsia="Times New Roman" w:hAnsi="Times New Roman" w:cs="Times New Roman"/>
          <w:sz w:val="20"/>
          <w:szCs w:val="20"/>
          <w:vertAlign w:val="superscript"/>
        </w:rPr>
        <w:footnoteRef/>
      </w:r>
      <w:r w:rsidRPr="0094199B">
        <w:rPr>
          <w:rStyle w:val="None"/>
          <w:rFonts w:ascii="Times New Roman" w:hAnsi="Times New Roman" w:cs="Times New Roman"/>
          <w:sz w:val="20"/>
          <w:szCs w:val="20"/>
        </w:rPr>
        <w:t xml:space="preserve"> Murithi T, ‘Ensuring Peace and Reconciliation while Holding Leaders Accountable: The Politics of ICC Cases in Kenya and Sudan’ 40 Africa Developm</w:t>
      </w:r>
      <w:r w:rsidRPr="0094199B">
        <w:rPr>
          <w:rStyle w:val="None"/>
          <w:rFonts w:ascii="Times New Roman" w:hAnsi="Times New Roman" w:cs="Times New Roman"/>
          <w:i/>
          <w:iCs/>
          <w:sz w:val="20"/>
          <w:szCs w:val="20"/>
          <w:lang w:val="fr-FR"/>
        </w:rPr>
        <w:t>ent / Afrique et Développement</w:t>
      </w:r>
      <w:r w:rsidRPr="0094199B">
        <w:rPr>
          <w:rStyle w:val="None"/>
          <w:rFonts w:ascii="Times New Roman" w:hAnsi="Times New Roman" w:cs="Times New Roman"/>
          <w:i/>
          <w:iCs/>
          <w:sz w:val="20"/>
          <w:szCs w:val="20"/>
        </w:rPr>
        <w:t xml:space="preserve"> </w:t>
      </w:r>
      <w:r w:rsidRPr="0094199B">
        <w:rPr>
          <w:rStyle w:val="None"/>
          <w:rFonts w:ascii="Times New Roman" w:hAnsi="Times New Roman" w:cs="Times New Roman"/>
          <w:sz w:val="20"/>
          <w:szCs w:val="20"/>
        </w:rPr>
        <w:t>2, 2015, 81.</w:t>
      </w:r>
    </w:p>
  </w:footnote>
  <w:footnote w:id="114">
    <w:p w14:paraId="3A7160A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Mangu A, ‘The International Criminal Court, Justice, Peace and the Fight against Impunity in Africa: An Overview’ 21.</w:t>
      </w:r>
    </w:p>
  </w:footnote>
  <w:footnote w:id="115">
    <w:p w14:paraId="2A96C27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Wanyeki M, ‘The International Criminal Court’s cases in Kenya: Origin and Impact’ Institute for Security Studies, Institute for Security Studies Paper No 237, 2012, 3 –&lt;</w:t>
      </w:r>
      <w:hyperlink r:id="rId14" w:history="1">
        <w:r w:rsidRPr="0094199B">
          <w:rPr>
            <w:rStyle w:val="Hyperlink4"/>
            <w:rFonts w:eastAsia="Calibri"/>
          </w:rPr>
          <w:t>https://www.africaportal.org/documents/8435/Paper237.pdf</w:t>
        </w:r>
      </w:hyperlink>
      <w:r w:rsidRPr="0094199B">
        <w:rPr>
          <w:rStyle w:val="None"/>
          <w:rFonts w:ascii="Times New Roman" w:hAnsi="Times New Roman" w:cs="Times New Roman"/>
        </w:rPr>
        <w:t>&gt; on 9 September 2019.</w:t>
      </w:r>
    </w:p>
  </w:footnote>
  <w:footnote w:id="116">
    <w:p w14:paraId="74AFEFA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Rice X, ‘130 killed in Kenyan election violence’ The Guardian, 31 December 2007 </w:t>
      </w:r>
      <w:hyperlink r:id="rId15" w:history="1">
        <w:r w:rsidRPr="0094199B">
          <w:rPr>
            <w:rStyle w:val="Hyperlink5"/>
            <w:rFonts w:eastAsia="Calibri"/>
          </w:rPr>
          <w:t>https://www.theguardian.com/world/2007/dec/31/kenya.haroonsiddique</w:t>
        </w:r>
      </w:hyperlink>
      <w:r w:rsidRPr="0094199B">
        <w:rPr>
          <w:rStyle w:val="None"/>
          <w:rFonts w:ascii="Times New Roman" w:hAnsi="Times New Roman" w:cs="Times New Roman"/>
        </w:rPr>
        <w:t xml:space="preserve"> on 15 September 2019.</w:t>
      </w:r>
    </w:p>
  </w:footnote>
  <w:footnote w:id="117">
    <w:p w14:paraId="1C88D28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Sriram C and Brown S, ‘Kenya in the Shadow of the ICC: Complementarity, Gravity and Impact’ 12</w:t>
      </w:r>
      <w:r w:rsidRPr="0094199B">
        <w:rPr>
          <w:rStyle w:val="None"/>
          <w:rFonts w:ascii="Times New Roman" w:hAnsi="Times New Roman" w:cs="Times New Roman"/>
          <w:i/>
          <w:iCs/>
        </w:rPr>
        <w:t xml:space="preserve"> International Criminal Law Review </w:t>
      </w:r>
      <w:r w:rsidRPr="0094199B">
        <w:rPr>
          <w:rStyle w:val="None"/>
          <w:rFonts w:ascii="Times New Roman" w:hAnsi="Times New Roman" w:cs="Times New Roman"/>
        </w:rPr>
        <w:t>2, 2012, 219.</w:t>
      </w:r>
    </w:p>
  </w:footnote>
  <w:footnote w:id="118">
    <w:p w14:paraId="4800384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Government of Kenya, </w:t>
      </w:r>
      <w:r w:rsidRPr="0094199B">
        <w:rPr>
          <w:rStyle w:val="None"/>
          <w:rFonts w:ascii="Times New Roman" w:hAnsi="Times New Roman" w:cs="Times New Roman"/>
          <w:i/>
          <w:iCs/>
        </w:rPr>
        <w:t>Kenya: Commission of Inquiry into the Post-Election Violence (CIPEV) final report</w:t>
      </w:r>
      <w:r w:rsidRPr="0094199B">
        <w:rPr>
          <w:rStyle w:val="None"/>
          <w:rFonts w:ascii="Times New Roman" w:hAnsi="Times New Roman" w:cs="Times New Roman"/>
        </w:rPr>
        <w:t>, 16 Oct 2008, 27-35.</w:t>
      </w:r>
    </w:p>
  </w:footnote>
  <w:footnote w:id="119">
    <w:p w14:paraId="4B7B524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Senier M, ‘Introductory Note to the International Criminal Court: Situation in the Republic of Kenya (Int’l Crim. Ct.)’ 50 </w:t>
      </w:r>
      <w:r w:rsidRPr="0094199B">
        <w:rPr>
          <w:rStyle w:val="None"/>
          <w:rFonts w:ascii="Times New Roman" w:hAnsi="Times New Roman" w:cs="Times New Roman"/>
          <w:i/>
          <w:iCs/>
        </w:rPr>
        <w:t xml:space="preserve">International Legal Materials </w:t>
      </w:r>
      <w:r w:rsidRPr="0094199B">
        <w:rPr>
          <w:rStyle w:val="None"/>
          <w:rFonts w:ascii="Times New Roman" w:hAnsi="Times New Roman" w:cs="Times New Roman"/>
        </w:rPr>
        <w:t>4, 2011, 494.</w:t>
      </w:r>
    </w:p>
  </w:footnote>
  <w:footnote w:id="120">
    <w:p w14:paraId="55107C3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Bengali S, ‘Kenyan Rivals Agree to Share Power After Disputed Election’ McClatchy Newspapers, 28 February 2008 </w:t>
      </w:r>
      <w:hyperlink r:id="rId16" w:history="1">
        <w:r w:rsidRPr="0094199B">
          <w:rPr>
            <w:rStyle w:val="Hyperlink5"/>
            <w:rFonts w:eastAsia="Calibri"/>
          </w:rPr>
          <w:t>https://www.mcclatchydc.com/news/nation-world/world/article24477214.html</w:t>
        </w:r>
      </w:hyperlink>
      <w:r w:rsidRPr="0094199B">
        <w:rPr>
          <w:rStyle w:val="None"/>
          <w:rFonts w:ascii="Times New Roman" w:hAnsi="Times New Roman" w:cs="Times New Roman"/>
        </w:rPr>
        <w:t xml:space="preserve"> on 15 September 2019.</w:t>
      </w:r>
    </w:p>
  </w:footnote>
  <w:footnote w:id="121">
    <w:p w14:paraId="747AC8BC"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Brown S, ‘Lessons Learned and Forgotten: The International Community and Electoral Conflict Management in Kenya’ in Gillies D (ed), </w:t>
      </w:r>
      <w:r w:rsidRPr="0094199B">
        <w:rPr>
          <w:rStyle w:val="None"/>
          <w:rFonts w:ascii="Times New Roman" w:hAnsi="Times New Roman" w:cs="Times New Roman"/>
          <w:i/>
          <w:iCs/>
        </w:rPr>
        <w:t xml:space="preserve">Elections in Dangerous Places: Democracy and the paradoxes of peacebuilding, </w:t>
      </w:r>
      <w:r w:rsidRPr="0094199B">
        <w:rPr>
          <w:rStyle w:val="None"/>
          <w:rFonts w:ascii="Times New Roman" w:hAnsi="Times New Roman" w:cs="Times New Roman"/>
        </w:rPr>
        <w:t>McGill-Queen’s University Press, Montreal, 2011, 127–143.</w:t>
      </w:r>
    </w:p>
  </w:footnote>
  <w:footnote w:id="122">
    <w:p w14:paraId="2573C45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Wanyeki M, ‘The International Criminal Court’s cases in Kenya: Origin and Impact’ 6.</w:t>
      </w:r>
    </w:p>
  </w:footnote>
  <w:footnote w:id="123">
    <w:p w14:paraId="653F202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Jalloh C, ‘Situation in the Republic of Kenya’ 105 </w:t>
      </w:r>
      <w:r w:rsidRPr="0094199B">
        <w:rPr>
          <w:rStyle w:val="None"/>
          <w:rFonts w:ascii="Times New Roman" w:hAnsi="Times New Roman" w:cs="Times New Roman"/>
          <w:i/>
          <w:iCs/>
        </w:rPr>
        <w:t xml:space="preserve">The American Journal of International Law </w:t>
      </w:r>
      <w:r w:rsidRPr="0094199B">
        <w:rPr>
          <w:rStyle w:val="None"/>
          <w:rFonts w:ascii="Times New Roman" w:hAnsi="Times New Roman" w:cs="Times New Roman"/>
        </w:rPr>
        <w:t>3, 2011, 541.</w:t>
      </w:r>
    </w:p>
  </w:footnote>
  <w:footnote w:id="124">
    <w:p w14:paraId="41C26CD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Government of Kenya</w:t>
      </w:r>
      <w:r w:rsidRPr="0094199B">
        <w:rPr>
          <w:rStyle w:val="None"/>
          <w:rFonts w:ascii="Times New Roman" w:hAnsi="Times New Roman" w:cs="Times New Roman"/>
          <w:i/>
          <w:iCs/>
        </w:rPr>
        <w:t xml:space="preserve">, Kenya: Commission of Inquiry into the Post-Election Violence (CIPEV) final report, </w:t>
      </w:r>
      <w:r w:rsidRPr="0094199B">
        <w:rPr>
          <w:rStyle w:val="None"/>
          <w:rFonts w:ascii="Times New Roman" w:hAnsi="Times New Roman" w:cs="Times New Roman"/>
        </w:rPr>
        <w:t>16 Oct 2008, vii.</w:t>
      </w:r>
    </w:p>
  </w:footnote>
  <w:footnote w:id="125">
    <w:p w14:paraId="5AD7203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Government of Kenya, </w:t>
      </w:r>
      <w:r w:rsidRPr="0094199B">
        <w:rPr>
          <w:rStyle w:val="None"/>
          <w:rFonts w:ascii="Times New Roman" w:hAnsi="Times New Roman" w:cs="Times New Roman"/>
          <w:i/>
          <w:iCs/>
        </w:rPr>
        <w:t>Kenya: Commission of Inquiry into the Post-Election Violence (CIPEV) final report</w:t>
      </w:r>
      <w:r w:rsidRPr="0094199B">
        <w:rPr>
          <w:rStyle w:val="None"/>
          <w:rFonts w:ascii="Times New Roman" w:hAnsi="Times New Roman" w:cs="Times New Roman"/>
        </w:rPr>
        <w:t xml:space="preserve">, 16 Oct 2008. </w:t>
      </w:r>
    </w:p>
  </w:footnote>
  <w:footnote w:id="126">
    <w:p w14:paraId="09FAE3B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Government of Kenya, </w:t>
      </w:r>
      <w:r w:rsidRPr="0094199B">
        <w:rPr>
          <w:rStyle w:val="None"/>
          <w:rFonts w:ascii="Times New Roman" w:hAnsi="Times New Roman" w:cs="Times New Roman"/>
          <w:i/>
          <w:iCs/>
        </w:rPr>
        <w:t>Kenya: Commission of Inquiry into the Post-Election Violence (CIPEV) final report</w:t>
      </w:r>
      <w:r w:rsidRPr="0094199B">
        <w:rPr>
          <w:rStyle w:val="None"/>
          <w:rFonts w:ascii="Times New Roman" w:hAnsi="Times New Roman" w:cs="Times New Roman"/>
        </w:rPr>
        <w:t>, 16 Oct 2008.</w:t>
      </w:r>
    </w:p>
  </w:footnote>
  <w:footnote w:id="127">
    <w:p w14:paraId="78FE131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Government of Kenya, </w:t>
      </w:r>
      <w:r w:rsidRPr="0094199B">
        <w:rPr>
          <w:rStyle w:val="None"/>
          <w:rFonts w:ascii="Times New Roman" w:hAnsi="Times New Roman" w:cs="Times New Roman"/>
          <w:i/>
          <w:iCs/>
        </w:rPr>
        <w:t>Kenya: Commission of Inquiry into the Post-Election Violence (CIPEV) final report</w:t>
      </w:r>
      <w:r w:rsidRPr="0094199B">
        <w:rPr>
          <w:rStyle w:val="None"/>
          <w:rFonts w:ascii="Times New Roman" w:hAnsi="Times New Roman" w:cs="Times New Roman"/>
        </w:rPr>
        <w:t>, 16 Oct 2008, 473.</w:t>
      </w:r>
    </w:p>
  </w:footnote>
  <w:footnote w:id="128">
    <w:p w14:paraId="462EEA4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w:t>
      </w:r>
      <w:hyperlink r:id="rId17" w:history="1">
        <w:r w:rsidRPr="0094199B">
          <w:rPr>
            <w:rStyle w:val="Hyperlink4"/>
            <w:rFonts w:eastAsia="Calibri"/>
          </w:rPr>
          <w:t>https://www.opensocietyfoundations.org/sites/default/files/briefing-paper-kenya-ruto-sang-%2020130909.pdf</w:t>
        </w:r>
      </w:hyperlink>
      <w:r w:rsidRPr="0094199B">
        <w:rPr>
          <w:rStyle w:val="None"/>
          <w:rFonts w:ascii="Times New Roman" w:hAnsi="Times New Roman" w:cs="Times New Roman"/>
        </w:rPr>
        <w:t xml:space="preserve"> on 14 September 2019.</w:t>
      </w:r>
    </w:p>
  </w:footnote>
  <w:footnote w:id="129">
    <w:p w14:paraId="10DEF4D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Sriram C and Brown S, ‘The Big Fish Won’t Fry Themselves: Criminal Accountability for Post Election Violence In Kenya’ 111 </w:t>
      </w:r>
      <w:r w:rsidRPr="0094199B">
        <w:rPr>
          <w:rStyle w:val="None"/>
          <w:rFonts w:ascii="Times New Roman" w:hAnsi="Times New Roman" w:cs="Times New Roman"/>
          <w:i/>
          <w:iCs/>
        </w:rPr>
        <w:t xml:space="preserve">African Affairs </w:t>
      </w:r>
      <w:r w:rsidRPr="0094199B">
        <w:rPr>
          <w:rStyle w:val="None"/>
          <w:rFonts w:ascii="Times New Roman" w:hAnsi="Times New Roman" w:cs="Times New Roman"/>
        </w:rPr>
        <w:t>443, Vol. 111, 2012, 245.</w:t>
      </w:r>
    </w:p>
  </w:footnote>
  <w:footnote w:id="130">
    <w:p w14:paraId="5462F14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Wanyeki M, ‘The International Criminal Court’s cases in Kenya: Origin and Impact’ Institute for Security Studies, Paper 237, 2012, 10 –&lt; </w:t>
      </w:r>
      <w:hyperlink r:id="rId18" w:history="1">
        <w:r w:rsidRPr="0094199B">
          <w:rPr>
            <w:rStyle w:val="Hyperlink4"/>
            <w:rFonts w:eastAsia="Calibri"/>
          </w:rPr>
          <w:t>https://www.africaportal.org/documents/8435/Paper237.pdf</w:t>
        </w:r>
      </w:hyperlink>
      <w:r w:rsidRPr="0094199B">
        <w:rPr>
          <w:rStyle w:val="None"/>
          <w:rFonts w:ascii="Times New Roman" w:hAnsi="Times New Roman" w:cs="Times New Roman"/>
        </w:rPr>
        <w:t>&gt; on 14 September 2019.</w:t>
      </w:r>
    </w:p>
  </w:footnote>
  <w:footnote w:id="131">
    <w:p w14:paraId="72CE4A1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Arieff A, Margesson R and Browne M, ‘International Criminal Court Cases in Africa: Status and Policy Issues’ in Milton P (ed), </w:t>
      </w:r>
      <w:r w:rsidRPr="0094199B">
        <w:rPr>
          <w:rStyle w:val="None"/>
          <w:rFonts w:ascii="Times New Roman" w:hAnsi="Times New Roman" w:cs="Times New Roman"/>
          <w:i/>
          <w:iCs/>
        </w:rPr>
        <w:t>International Criminal Court: Policy, Status and Overview</w:t>
      </w:r>
      <w:r w:rsidRPr="0094199B">
        <w:rPr>
          <w:rStyle w:val="None"/>
          <w:rFonts w:ascii="Times New Roman" w:hAnsi="Times New Roman" w:cs="Times New Roman"/>
        </w:rPr>
        <w:t>, Nova Science Publishers Inc, New York, 2009, 1.</w:t>
      </w:r>
    </w:p>
  </w:footnote>
  <w:footnote w:id="132">
    <w:p w14:paraId="6EFC46E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Case No. ICC-01/09, Request for authorisation of an investigation pursuant to Article 15, 26 November 2009 </w:t>
      </w:r>
      <w:hyperlink r:id="rId19" w:history="1">
        <w:r w:rsidRPr="0094199B">
          <w:rPr>
            <w:rStyle w:val="Hyperlink6"/>
            <w:rFonts w:eastAsia="Calibri"/>
          </w:rPr>
          <w:t>www.icccpi.int/CourtRecords/CR2009_08645.PDF</w:t>
        </w:r>
      </w:hyperlink>
      <w:r w:rsidRPr="0094199B">
        <w:rPr>
          <w:rStyle w:val="None"/>
          <w:rFonts w:ascii="Times New Roman" w:hAnsi="Times New Roman" w:cs="Times New Roman"/>
        </w:rPr>
        <w:t>.</w:t>
      </w:r>
    </w:p>
  </w:footnote>
  <w:footnote w:id="133">
    <w:p w14:paraId="5F38751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Case No. ICC-01/09, Request for authorisation of an investigation pursuant to Article 15, 26 November 2009 </w:t>
      </w:r>
      <w:hyperlink r:id="rId20" w:history="1">
        <w:r w:rsidRPr="0094199B">
          <w:rPr>
            <w:rStyle w:val="Hyperlink6"/>
            <w:rFonts w:eastAsia="Calibri"/>
          </w:rPr>
          <w:t>www.icccpi.int/CourtRecords/CR2009_08645.PDF</w:t>
        </w:r>
      </w:hyperlink>
      <w:r w:rsidRPr="0094199B">
        <w:rPr>
          <w:rStyle w:val="None"/>
          <w:rFonts w:ascii="Times New Roman" w:hAnsi="Times New Roman" w:cs="Times New Roman"/>
        </w:rPr>
        <w:t>.</w:t>
      </w:r>
    </w:p>
  </w:footnote>
  <w:footnote w:id="134">
    <w:p w14:paraId="13EFD7BC"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Wanyeki M, ‘The International Criminal Court’s cases in Kenya: Origin and Impact’ Institute for Security Studies’ 10.</w:t>
      </w:r>
    </w:p>
  </w:footnote>
  <w:footnote w:id="135">
    <w:p w14:paraId="7333F08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International Criminal Court, ‘Kenya’ (International Criminal Court, 16 March 2005) </w:t>
      </w:r>
      <w:hyperlink r:id="rId21" w:history="1">
        <w:r w:rsidRPr="0094199B">
          <w:rPr>
            <w:rStyle w:val="Hyperlink4"/>
            <w:rFonts w:eastAsia="Calibri"/>
          </w:rPr>
          <w:t>https://asp.icc-cpi.int/en_menus/asp/states%20parties/african%20states/Pages/kenya.aspx</w:t>
        </w:r>
      </w:hyperlink>
      <w:r w:rsidRPr="0094199B">
        <w:rPr>
          <w:rStyle w:val="None"/>
          <w:rFonts w:ascii="Times New Roman" w:hAnsi="Times New Roman" w:cs="Times New Roman"/>
        </w:rPr>
        <w:t xml:space="preserve"> on 14 September 2019.</w:t>
      </w:r>
    </w:p>
  </w:footnote>
  <w:footnote w:id="136">
    <w:p w14:paraId="2A9E815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International Criminal Court, ‘Kenya’ (International Criminal Court, 16 March 2005) </w:t>
      </w:r>
      <w:hyperlink r:id="rId22" w:history="1">
        <w:r w:rsidRPr="0094199B">
          <w:rPr>
            <w:rStyle w:val="Hyperlink4"/>
            <w:rFonts w:eastAsia="Calibri"/>
          </w:rPr>
          <w:t>https://asp.icc-cpi.int/en_menus/asp/states%20parties/african%20states/Pages/kenya.aspx</w:t>
        </w:r>
      </w:hyperlink>
      <w:r w:rsidRPr="0094199B">
        <w:rPr>
          <w:rStyle w:val="None"/>
          <w:rFonts w:ascii="Times New Roman" w:hAnsi="Times New Roman" w:cs="Times New Roman"/>
        </w:rPr>
        <w:t xml:space="preserve"> on 14 September 2019.</w:t>
      </w:r>
    </w:p>
  </w:footnote>
  <w:footnote w:id="137">
    <w:p w14:paraId="1DD3F56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Case No. ICC-01/09, Decision on the Authorisation of an Investigation into the Situation in the Republic of Kenya, No. ICC-01/09, 31 March 2010, </w:t>
      </w:r>
      <w:hyperlink r:id="rId23" w:history="1">
        <w:r w:rsidRPr="0094199B">
          <w:rPr>
            <w:rStyle w:val="Hyperlink6"/>
            <w:rFonts w:eastAsia="Calibri"/>
          </w:rPr>
          <w:t>www.icc-cpi.int/CourtRecords/CR2010_02409.PDF</w:t>
        </w:r>
      </w:hyperlink>
      <w:r w:rsidRPr="0094199B">
        <w:rPr>
          <w:rStyle w:val="None"/>
          <w:rFonts w:ascii="Times New Roman" w:hAnsi="Times New Roman" w:cs="Times New Roman"/>
        </w:rPr>
        <w:t>.</w:t>
      </w:r>
    </w:p>
  </w:footnote>
  <w:footnote w:id="138">
    <w:p w14:paraId="6779C58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Francis Kirimi Muthaura, Uhuru Muigai Kenyatta and Mohammed Hussein Ali,</w:t>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Case No. ICC-01/09-02, Decision on the Application by the Government of Kenya Challenging the Admissibility of the Case, 30 May 2011, </w:t>
      </w:r>
      <w:hyperlink r:id="rId24" w:history="1">
        <w:r w:rsidRPr="0094199B">
          <w:rPr>
            <w:rStyle w:val="Hyperlink0"/>
            <w:rFonts w:eastAsia="Calibri"/>
          </w:rPr>
          <w:t>https://www.icc-cpi.int/CourtRecords/CR2011_06779.PDF</w:t>
        </w:r>
      </w:hyperlink>
      <w:r w:rsidRPr="0094199B">
        <w:rPr>
          <w:rStyle w:val="None"/>
          <w:rFonts w:ascii="Times New Roman" w:hAnsi="Times New Roman" w:cs="Times New Roman"/>
        </w:rPr>
        <w:t>.</w:t>
      </w:r>
    </w:p>
  </w:footnote>
  <w:footnote w:id="139">
    <w:p w14:paraId="459CDCA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Case No. ICC-01/09, Request for authorisation of an investigation pursuant to Article 15, 26 November 2009 </w:t>
      </w:r>
      <w:hyperlink r:id="rId25" w:history="1">
        <w:r w:rsidRPr="0094199B">
          <w:rPr>
            <w:rStyle w:val="Hyperlink6"/>
            <w:rFonts w:eastAsia="Calibri"/>
          </w:rPr>
          <w:t>www.icccpi.int/CourtRecords/CR2009_08645.PDF</w:t>
        </w:r>
      </w:hyperlink>
      <w:r w:rsidRPr="0094199B">
        <w:rPr>
          <w:rStyle w:val="None"/>
          <w:rFonts w:ascii="Times New Roman" w:hAnsi="Times New Roman" w:cs="Times New Roman"/>
        </w:rPr>
        <w:t>.</w:t>
      </w:r>
    </w:p>
  </w:footnote>
  <w:footnote w:id="140">
    <w:p w14:paraId="2DCB085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Case No. ICC-01/09, Decision on the Authorisation of an Investigation into the Situation in the Republic of Kenya, No. ICC-01/09, 31 March 2010, </w:t>
      </w:r>
      <w:hyperlink r:id="rId26" w:history="1">
        <w:r w:rsidRPr="0094199B">
          <w:rPr>
            <w:rStyle w:val="Hyperlink6"/>
            <w:rFonts w:eastAsia="Calibri"/>
          </w:rPr>
          <w:t>www.icc-cpi.int/CourtRecords/CR2010_02409.PDF</w:t>
        </w:r>
      </w:hyperlink>
      <w:r w:rsidRPr="0094199B">
        <w:rPr>
          <w:rStyle w:val="None"/>
          <w:rFonts w:ascii="Times New Roman" w:hAnsi="Times New Roman" w:cs="Times New Roman"/>
        </w:rPr>
        <w:t>.</w:t>
      </w:r>
    </w:p>
  </w:footnote>
  <w:footnote w:id="141">
    <w:p w14:paraId="610B67C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Case No. ICC-01/09, Decision on the Authorisation of an Investigation into the Situation in the Republic of Kenya, No. ICC-01/09, 31 March 2010, </w:t>
      </w:r>
      <w:hyperlink r:id="rId27" w:history="1">
        <w:r w:rsidRPr="0094199B">
          <w:rPr>
            <w:rStyle w:val="Hyperlink6"/>
            <w:rFonts w:eastAsia="Calibri"/>
          </w:rPr>
          <w:t>www.icc-cpi.int/CourtRecords/CR2010_02409.PDF</w:t>
        </w:r>
      </w:hyperlink>
      <w:r w:rsidRPr="0094199B">
        <w:rPr>
          <w:rStyle w:val="None"/>
          <w:rFonts w:ascii="Times New Roman" w:hAnsi="Times New Roman" w:cs="Times New Roman"/>
        </w:rPr>
        <w:t>.</w:t>
      </w:r>
    </w:p>
  </w:footnote>
  <w:footnote w:id="142">
    <w:p w14:paraId="0D99921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28"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and Prosecutor v Uhuru Muigai Kenyatta, Case No. ICC-01/09-02/11, Case Information Sheet, 13 March 2015, </w:t>
      </w:r>
      <w:hyperlink r:id="rId29" w:history="1">
        <w:r w:rsidRPr="0094199B">
          <w:rPr>
            <w:rStyle w:val="Hyperlink0"/>
            <w:rFonts w:eastAsia="Calibri"/>
          </w:rPr>
          <w:t>https://www.icc-cpi.int/CaseInformationSheets/kenyattaEng.pdf</w:t>
        </w:r>
      </w:hyperlink>
      <w:r w:rsidRPr="0094199B">
        <w:rPr>
          <w:rStyle w:val="None"/>
          <w:rFonts w:ascii="Times New Roman" w:hAnsi="Times New Roman" w:cs="Times New Roman"/>
        </w:rPr>
        <w:t>.</w:t>
      </w:r>
    </w:p>
  </w:footnote>
  <w:footnote w:id="143">
    <w:p w14:paraId="578650CC"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International Criminal Court – Office of the Prosecutor, ‘Kenya’s post-election violence: ICC Prosecutor presents case against six individuals for crimes against humanity’ (15 December 2010) </w:t>
      </w:r>
      <w:hyperlink r:id="rId30" w:history="1">
        <w:r w:rsidRPr="0094199B">
          <w:rPr>
            <w:rStyle w:val="Hyperlink4"/>
            <w:rFonts w:eastAsia="Calibri"/>
          </w:rPr>
          <w:t>https://www.icccpi.int/Pages/item.aspx?name=pr615</w:t>
        </w:r>
      </w:hyperlink>
      <w:r w:rsidRPr="0094199B">
        <w:rPr>
          <w:rStyle w:val="None"/>
          <w:rFonts w:ascii="Times New Roman" w:hAnsi="Times New Roman" w:cs="Times New Roman"/>
        </w:rPr>
        <w:t xml:space="preserve"> on 14 September 2019.</w:t>
      </w:r>
    </w:p>
  </w:footnote>
  <w:footnote w:id="144">
    <w:p w14:paraId="56D6972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31"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45">
    <w:p w14:paraId="01715C0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32"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46">
    <w:p w14:paraId="74E36BF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33"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47">
    <w:p w14:paraId="53B238F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34"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w:t>
      </w:r>
    </w:p>
  </w:footnote>
  <w:footnote w:id="148">
    <w:p w14:paraId="773FB3A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35"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w:t>
      </w:r>
    </w:p>
  </w:footnote>
  <w:footnote w:id="149">
    <w:p w14:paraId="61DB93F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36"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w:t>
      </w:r>
    </w:p>
  </w:footnote>
  <w:footnote w:id="150">
    <w:p w14:paraId="3FC8281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37"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w:t>
      </w:r>
    </w:p>
  </w:footnote>
  <w:footnote w:id="151">
    <w:p w14:paraId="7CB717D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and Joshua Arap Sang, Case No. ICC-01/09-01/11, Case Information Sheet, April 2016, </w:t>
      </w:r>
      <w:hyperlink r:id="rId38" w:history="1">
        <w:r w:rsidRPr="0094199B">
          <w:rPr>
            <w:rStyle w:val="Hyperlink0"/>
            <w:rFonts w:eastAsia="Calibri"/>
          </w:rPr>
          <w:t>https://www.icc-cpi.int/CaseInformationSheets/RutoSangEng.pdf</w:t>
        </w:r>
      </w:hyperlink>
      <w:r w:rsidRPr="0094199B">
        <w:rPr>
          <w:rStyle w:val="None"/>
          <w:rFonts w:ascii="Times New Roman" w:hAnsi="Times New Roman" w:cs="Times New Roman"/>
        </w:rPr>
        <w:t xml:space="preserve">. </w:t>
      </w:r>
    </w:p>
  </w:footnote>
  <w:footnote w:id="152">
    <w:p w14:paraId="171AFF0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39"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53">
    <w:p w14:paraId="01B7957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40"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54">
    <w:p w14:paraId="7AEE378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William Samoei Ruto, Henry Kiprono Kosgey and Joshua Arap Sang, Case No. ICC-01/09-01/11, Decision on the Confirmation of Charges, 23 January 2012, </w:t>
      </w:r>
      <w:hyperlink r:id="rId41" w:history="1">
        <w:r w:rsidRPr="0094199B">
          <w:rPr>
            <w:rStyle w:val="Hyperlink0"/>
            <w:rFonts w:eastAsia="Calibri"/>
          </w:rPr>
          <w:t>https://www.icc-cpi.int/CourtRecords/CR2012_01004.PDF</w:t>
        </w:r>
      </w:hyperlink>
      <w:r w:rsidRPr="0094199B">
        <w:rPr>
          <w:rStyle w:val="None"/>
          <w:rFonts w:ascii="Times New Roman" w:hAnsi="Times New Roman" w:cs="Times New Roman"/>
        </w:rPr>
        <w:t>.</w:t>
      </w:r>
    </w:p>
  </w:footnote>
  <w:footnote w:id="155">
    <w:p w14:paraId="1FD5C19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Uhuru Muigai Kenyatta, Case No. ICC-01/09-02/11, Case Information Sheet, 13 March 2015, </w:t>
      </w:r>
      <w:hyperlink r:id="rId42" w:history="1">
        <w:r w:rsidRPr="0094199B">
          <w:rPr>
            <w:rStyle w:val="Hyperlink0"/>
            <w:rFonts w:eastAsia="Calibri"/>
          </w:rPr>
          <w:t>https://www.icc-cpi.int/CaseInformationSheets/kenyattaEng.pdf</w:t>
        </w:r>
      </w:hyperlink>
      <w:r w:rsidRPr="0094199B">
        <w:rPr>
          <w:rStyle w:val="None"/>
          <w:rFonts w:ascii="Times New Roman" w:hAnsi="Times New Roman" w:cs="Times New Roman"/>
        </w:rPr>
        <w:t>.</w:t>
      </w:r>
    </w:p>
  </w:footnote>
  <w:footnote w:id="156">
    <w:p w14:paraId="6671870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Uhuru Muigai Kenyatta, Case No. ICC-01/09-02/11, Case Information Sheet, 13 March 2015, </w:t>
      </w:r>
      <w:hyperlink r:id="rId43" w:history="1">
        <w:r w:rsidRPr="0094199B">
          <w:rPr>
            <w:rStyle w:val="Hyperlink0"/>
            <w:rFonts w:eastAsia="Calibri"/>
          </w:rPr>
          <w:t>https://www.icc-cpi.int/CaseInformationSheets/kenyattaEng.pdf</w:t>
        </w:r>
      </w:hyperlink>
      <w:r w:rsidRPr="0094199B">
        <w:rPr>
          <w:rStyle w:val="None"/>
          <w:rFonts w:ascii="Times New Roman" w:hAnsi="Times New Roman" w:cs="Times New Roman"/>
        </w:rPr>
        <w:t>.</w:t>
      </w:r>
    </w:p>
  </w:footnote>
  <w:footnote w:id="157">
    <w:p w14:paraId="2C557C4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Uhuru Muigai Kenyatta, Case No. ICC-01/09-02/11, Case Information Sheet, 13 March 2015, </w:t>
      </w:r>
      <w:hyperlink r:id="rId44" w:history="1">
        <w:r w:rsidRPr="0094199B">
          <w:rPr>
            <w:rStyle w:val="Hyperlink0"/>
            <w:rFonts w:eastAsia="Calibri"/>
          </w:rPr>
          <w:t>https://www.icc-cpi.int/CaseInformationSheets/kenyattaEng.pdf</w:t>
        </w:r>
      </w:hyperlink>
      <w:r w:rsidRPr="0094199B">
        <w:rPr>
          <w:rStyle w:val="None"/>
          <w:rFonts w:ascii="Times New Roman" w:hAnsi="Times New Roman" w:cs="Times New Roman"/>
        </w:rPr>
        <w:t>.</w:t>
      </w:r>
    </w:p>
  </w:footnote>
  <w:footnote w:id="158">
    <w:p w14:paraId="668D386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Uhuru Muigai Kenyatta, Case No. ICC-01/09-02/11, Case Information Sheet, 13 March 2015, </w:t>
      </w:r>
      <w:hyperlink r:id="rId45" w:history="1">
        <w:r w:rsidRPr="0094199B">
          <w:rPr>
            <w:rStyle w:val="Hyperlink0"/>
            <w:rFonts w:eastAsia="Calibri"/>
          </w:rPr>
          <w:t>https://www.icc-cpi.int/CaseInformationSheets/kenyattaEng.pdf</w:t>
        </w:r>
      </w:hyperlink>
      <w:r w:rsidRPr="0094199B">
        <w:rPr>
          <w:rStyle w:val="None"/>
          <w:rFonts w:ascii="Times New Roman" w:hAnsi="Times New Roman" w:cs="Times New Roman"/>
        </w:rPr>
        <w:t>.</w:t>
      </w:r>
    </w:p>
  </w:footnote>
  <w:footnote w:id="159">
    <w:p w14:paraId="52B9E9B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Maupeu H, ‘Kenyan Elections: The ICC, God and the 2013 Kenyan General Elections’ in Thibon C, Ndeda M, Mwangi S and Fouere M (eds) </w:t>
      </w:r>
      <w:r w:rsidRPr="0094199B">
        <w:rPr>
          <w:rStyle w:val="None"/>
          <w:rFonts w:ascii="Times New Roman" w:hAnsi="Times New Roman" w:cs="Times New Roman"/>
          <w:i/>
          <w:iCs/>
        </w:rPr>
        <w:t>Kenya’s Past as Prologue: Voters, Violence and the 2013 General Election</w:t>
      </w:r>
      <w:r w:rsidRPr="0094199B">
        <w:rPr>
          <w:rStyle w:val="None"/>
          <w:rFonts w:ascii="Times New Roman" w:hAnsi="Times New Roman" w:cs="Times New Roman"/>
        </w:rPr>
        <w:t>, Twaweza Communications, Nairobi, 2014, 29.</w:t>
      </w:r>
    </w:p>
  </w:footnote>
  <w:footnote w:id="160">
    <w:p w14:paraId="4147D59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Maupeu, ‘Kenyan Elections’ 29.</w:t>
      </w:r>
    </w:p>
  </w:footnote>
  <w:footnote w:id="161">
    <w:p w14:paraId="7BD9DFF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Maupeu, ‘Kenyan Elections’ 29.</w:t>
      </w:r>
    </w:p>
  </w:footnote>
  <w:footnote w:id="162">
    <w:p w14:paraId="7071E5F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Alleblas T, Aloyo E, Dancy G and Dutton Y, ‘Is the International Criminal Court biased against Africans? Kenyan victims don’t think so’ The Washington Post, 6 March 2017 </w:t>
      </w:r>
      <w:hyperlink r:id="rId46" w:history="1">
        <w:r w:rsidRPr="0094199B">
          <w:rPr>
            <w:rStyle w:val="Hyperlink5"/>
            <w:rFonts w:eastAsia="Calibri"/>
          </w:rPr>
          <w:t>https://www.washingtonpost.com/news/monkey-cage/wp/2017/03/06/is-the-international-criminal-court-biased-against-africans-kenyan-victims-dont-think-so/</w:t>
        </w:r>
      </w:hyperlink>
      <w:r w:rsidRPr="0094199B">
        <w:rPr>
          <w:rStyle w:val="None"/>
          <w:rFonts w:ascii="Times New Roman" w:hAnsi="Times New Roman" w:cs="Times New Roman"/>
        </w:rPr>
        <w:t xml:space="preserve"> on 14 September 2019.</w:t>
      </w:r>
    </w:p>
  </w:footnote>
  <w:footnote w:id="163">
    <w:p w14:paraId="5C90097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Opiyo P, ‘Why Kenya-AU plot against ICC may stall’ The Standard, 17 July 2012 </w:t>
      </w:r>
      <w:hyperlink r:id="rId47" w:history="1">
        <w:r w:rsidRPr="0094199B">
          <w:rPr>
            <w:rStyle w:val="Hyperlink5"/>
            <w:rFonts w:eastAsia="Calibri"/>
          </w:rPr>
          <w:t>https://www.standardmedia.co.ke/article/2000062030/why-kenya-au-plot-against-icc-may-stall</w:t>
        </w:r>
      </w:hyperlink>
      <w:r w:rsidRPr="0094199B">
        <w:rPr>
          <w:rStyle w:val="None"/>
          <w:rFonts w:ascii="Times New Roman" w:hAnsi="Times New Roman" w:cs="Times New Roman"/>
        </w:rPr>
        <w:t xml:space="preserve"> on 14 September 2019.</w:t>
      </w:r>
    </w:p>
  </w:footnote>
  <w:footnote w:id="164">
    <w:p w14:paraId="1CC8519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Namunane B, ‘AG wants Uhuru Muthaura case moved to Arusha’ Daily Nation, 1 December 2012.</w:t>
      </w:r>
    </w:p>
  </w:footnote>
  <w:footnote w:id="165">
    <w:p w14:paraId="4BEE86D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Kendall S, ‘UhuRuto’ and Other Leviathans: The International Criminal Court and the Kenyan Political Order’ 7 </w:t>
      </w:r>
      <w:r w:rsidRPr="0094199B">
        <w:rPr>
          <w:rStyle w:val="None"/>
          <w:rFonts w:ascii="Times New Roman" w:hAnsi="Times New Roman" w:cs="Times New Roman"/>
          <w:i/>
          <w:iCs/>
        </w:rPr>
        <w:t xml:space="preserve">African Journal of Legal Studies </w:t>
      </w:r>
      <w:r w:rsidRPr="0094199B">
        <w:rPr>
          <w:rStyle w:val="None"/>
          <w:rFonts w:ascii="Times New Roman" w:hAnsi="Times New Roman" w:cs="Times New Roman"/>
        </w:rPr>
        <w:t>3, 2014, 11.</w:t>
      </w:r>
    </w:p>
  </w:footnote>
  <w:footnote w:id="166">
    <w:p w14:paraId="18B6B08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Gekara E, ‘Bitter-Sweet Victory for Uhuru and Ruto’ The Daily Nation, 10 March 2013 </w:t>
      </w:r>
      <w:r w:rsidRPr="0094199B">
        <w:rPr>
          <w:rStyle w:val="Hyperlink5"/>
          <w:rFonts w:eastAsia="Calibri"/>
        </w:rPr>
        <w:t>http://www.nation.co.ke/News/politics/ICC-cases-an-obstacle--in-smooth-Jubilee-ride/-/1064/1715776/- /4qqxqk/-/index.html</w:t>
      </w:r>
      <w:r w:rsidRPr="0094199B">
        <w:rPr>
          <w:rStyle w:val="None"/>
          <w:rFonts w:ascii="Times New Roman" w:hAnsi="Times New Roman" w:cs="Times New Roman"/>
        </w:rPr>
        <w:t xml:space="preserve"> on 15 September 2019. </w:t>
      </w:r>
    </w:p>
  </w:footnote>
  <w:footnote w:id="167">
    <w:p w14:paraId="33A00D0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Kanyinga K, ‘Every election has consequences, but this time our choices are stark’ The Daily Nation, 23 February 2013 </w:t>
      </w:r>
      <w:r w:rsidRPr="0094199B">
        <w:rPr>
          <w:rStyle w:val="Hyperlink5"/>
          <w:rFonts w:eastAsia="Calibri"/>
        </w:rPr>
        <w:t>http://elections.nation.co.ke/Blogs/-/1632026/1701738/-/1187g0l/- /index.html</w:t>
      </w:r>
      <w:r w:rsidRPr="0094199B">
        <w:rPr>
          <w:rStyle w:val="None"/>
          <w:rFonts w:ascii="Times New Roman" w:hAnsi="Times New Roman" w:cs="Times New Roman"/>
        </w:rPr>
        <w:t xml:space="preserve"> on 15 September 2019.</w:t>
      </w:r>
    </w:p>
  </w:footnote>
  <w:footnote w:id="168">
    <w:p w14:paraId="1E1FBBE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Nowrojee P, ‘The March 4 Polls and the ICC Cases’ The Star, 6 February 2013 </w:t>
      </w:r>
      <w:r w:rsidRPr="0094199B">
        <w:rPr>
          <w:rStyle w:val="Hyperlink5"/>
          <w:rFonts w:eastAsia="Calibri"/>
        </w:rPr>
        <w:t>http://www.the-star.co.ke/news/article-106098/march-4-polls-and-icc-cases</w:t>
      </w:r>
      <w:r w:rsidRPr="0094199B">
        <w:rPr>
          <w:rStyle w:val="None"/>
          <w:rFonts w:ascii="Times New Roman" w:hAnsi="Times New Roman" w:cs="Times New Roman"/>
        </w:rPr>
        <w:t xml:space="preserve"> on 15 September 2019.</w:t>
      </w:r>
    </w:p>
  </w:footnote>
  <w:footnote w:id="169">
    <w:p w14:paraId="42784CE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Mangu, ‘The International Criminal Court, Justice, Peace and the Fight against Impunity in Africa’ 23.</w:t>
      </w:r>
    </w:p>
  </w:footnote>
  <w:footnote w:id="170">
    <w:p w14:paraId="1C2B3EC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u w:color="FF0000"/>
          <w:vertAlign w:val="superscript"/>
        </w:rPr>
        <w:footnoteRef/>
      </w:r>
      <w:r w:rsidRPr="0094199B">
        <w:rPr>
          <w:rStyle w:val="None"/>
          <w:rFonts w:ascii="Times New Roman" w:hAnsi="Times New Roman" w:cs="Times New Roman"/>
        </w:rPr>
        <w:t xml:space="preserve"> Mangu, ‘The International Criminal Court, Justice, Peace and the Fight against Impunity in Africa’ 23.</w:t>
      </w:r>
    </w:p>
  </w:footnote>
  <w:footnote w:id="171">
    <w:p w14:paraId="4213C0E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Roach S, ‘How Political Is the ICC? Pressing Challenges and the Need for Diplomatic Efficacy’ 19 </w:t>
      </w:r>
      <w:r w:rsidRPr="0094199B">
        <w:rPr>
          <w:rStyle w:val="None"/>
          <w:rFonts w:ascii="Times New Roman" w:hAnsi="Times New Roman" w:cs="Times New Roman"/>
          <w:i/>
          <w:iCs/>
        </w:rPr>
        <w:t xml:space="preserve">Global Governance </w:t>
      </w:r>
      <w:r w:rsidRPr="0094199B">
        <w:rPr>
          <w:rStyle w:val="None"/>
          <w:rFonts w:ascii="Times New Roman" w:hAnsi="Times New Roman" w:cs="Times New Roman"/>
        </w:rPr>
        <w:t>4, 2013, 517.</w:t>
      </w:r>
    </w:p>
  </w:footnote>
  <w:footnote w:id="172">
    <w:p w14:paraId="0ADCB77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Merwe H, ‘Annual Report 2016’ in Merwe H and Kemp G (eds) </w:t>
      </w:r>
      <w:r w:rsidRPr="0094199B">
        <w:rPr>
          <w:rStyle w:val="None"/>
          <w:rFonts w:ascii="Times New Roman" w:hAnsi="Times New Roman" w:cs="Times New Roman"/>
          <w:i/>
          <w:iCs/>
        </w:rPr>
        <w:t xml:space="preserve">International criminal justice in Africa: Issues, challenges and prospects, </w:t>
      </w:r>
      <w:r w:rsidRPr="0094199B">
        <w:rPr>
          <w:rStyle w:val="None"/>
          <w:rFonts w:ascii="Times New Roman" w:hAnsi="Times New Roman" w:cs="Times New Roman"/>
        </w:rPr>
        <w:t xml:space="preserve">Strathmore University Press, Nairobi, 2016, xiii. </w:t>
      </w:r>
    </w:p>
  </w:footnote>
  <w:footnote w:id="173">
    <w:p w14:paraId="507602C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Alleblas T, Aloyo E, Dancy G and Dutton Y, ‘Is the International Criminal Court biased against Africans? Kenyan victims don’t think so’ The Washington Post, 6 March 2017 </w:t>
      </w:r>
      <w:hyperlink r:id="rId48" w:history="1">
        <w:r w:rsidRPr="0094199B">
          <w:rPr>
            <w:rStyle w:val="Hyperlink5"/>
            <w:rFonts w:eastAsia="Calibri"/>
          </w:rPr>
          <w:t>https://www.washingtonpost.com/news/monkey-cage/wp/2017/03/06/is-the-international-criminal-court-biased-against-africans-kenyan-victims-dont-think-so/</w:t>
        </w:r>
      </w:hyperlink>
      <w:r w:rsidRPr="0094199B">
        <w:rPr>
          <w:rStyle w:val="None"/>
          <w:rFonts w:ascii="Times New Roman" w:hAnsi="Times New Roman" w:cs="Times New Roman"/>
        </w:rPr>
        <w:t xml:space="preserve"> on 14 September 2019.</w:t>
      </w:r>
    </w:p>
  </w:footnote>
  <w:footnote w:id="174">
    <w:p w14:paraId="5A5563E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Glaser C, </w:t>
      </w:r>
      <w:r w:rsidRPr="0094199B">
        <w:rPr>
          <w:rStyle w:val="None"/>
          <w:rFonts w:ascii="Times New Roman" w:hAnsi="Times New Roman" w:cs="Times New Roman"/>
          <w:i/>
          <w:iCs/>
        </w:rPr>
        <w:t>Rational Theory of International Politics: The Logic of Competition and Cooperation</w:t>
      </w:r>
      <w:r w:rsidRPr="0094199B">
        <w:rPr>
          <w:rStyle w:val="None"/>
          <w:rFonts w:ascii="Times New Roman" w:hAnsi="Times New Roman" w:cs="Times New Roman"/>
        </w:rPr>
        <w:t>, Princeton University Press, Princeton, 2011.</w:t>
      </w:r>
    </w:p>
  </w:footnote>
  <w:footnote w:id="175">
    <w:p w14:paraId="18E5BBE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Ikenberry J, ‘Review: Rational Theory of International Relations: The Logic of Competition and Cooperation’ Foreign Affairs, November/December 2019 </w:t>
      </w:r>
      <w:hyperlink r:id="rId49" w:history="1">
        <w:r w:rsidRPr="0094199B">
          <w:rPr>
            <w:rStyle w:val="Hyperlink5"/>
            <w:rFonts w:eastAsia="Calibri"/>
          </w:rPr>
          <w:t>https://www.foreignaffairs.com/reviews/capsule-review/2010-11-01/rational-theory-international-relations-logic-competition-and</w:t>
        </w:r>
      </w:hyperlink>
      <w:r w:rsidRPr="0094199B">
        <w:rPr>
          <w:rStyle w:val="None"/>
          <w:rFonts w:ascii="Times New Roman" w:hAnsi="Times New Roman" w:cs="Times New Roman"/>
        </w:rPr>
        <w:t xml:space="preserve"> on 14 September 2019.</w:t>
      </w:r>
    </w:p>
  </w:footnote>
  <w:footnote w:id="176">
    <w:p w14:paraId="40666ED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i/>
          <w:iCs/>
        </w:rPr>
        <w:t xml:space="preserve"> </w:t>
      </w:r>
      <w:r w:rsidRPr="0094199B">
        <w:rPr>
          <w:rStyle w:val="None"/>
          <w:rFonts w:ascii="Times New Roman" w:hAnsi="Times New Roman" w:cs="Times New Roman"/>
        </w:rPr>
        <w:t xml:space="preserve">Kissane D, ‘The Rational Approach’ 14 </w:t>
      </w:r>
      <w:r w:rsidRPr="0094199B">
        <w:rPr>
          <w:rStyle w:val="None"/>
          <w:rFonts w:ascii="Times New Roman" w:hAnsi="Times New Roman" w:cs="Times New Roman"/>
          <w:i/>
          <w:iCs/>
        </w:rPr>
        <w:t xml:space="preserve">International Studies Review </w:t>
      </w:r>
      <w:r w:rsidRPr="0094199B">
        <w:rPr>
          <w:rStyle w:val="None"/>
          <w:rFonts w:ascii="Times New Roman" w:hAnsi="Times New Roman" w:cs="Times New Roman"/>
        </w:rPr>
        <w:t>2, 2012, 361.</w:t>
      </w:r>
    </w:p>
  </w:footnote>
  <w:footnote w:id="177">
    <w:p w14:paraId="34B7642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Brown C, ‘Realism: rational or reasonable?’864.</w:t>
      </w:r>
    </w:p>
  </w:footnote>
  <w:footnote w:id="178">
    <w:p w14:paraId="7A8B216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Glaser C, </w:t>
      </w:r>
      <w:r w:rsidRPr="0094199B">
        <w:rPr>
          <w:rStyle w:val="None"/>
          <w:rFonts w:ascii="Times New Roman" w:hAnsi="Times New Roman" w:cs="Times New Roman"/>
          <w:i/>
          <w:iCs/>
        </w:rPr>
        <w:t>Rational Theory of International Politics: The Logic of Competition and Cooperation</w:t>
      </w:r>
      <w:r w:rsidRPr="0094199B">
        <w:rPr>
          <w:rStyle w:val="None"/>
          <w:rFonts w:ascii="Times New Roman" w:hAnsi="Times New Roman" w:cs="Times New Roman"/>
        </w:rPr>
        <w:t>, Princeton University Press, Princeton, 2011.</w:t>
      </w:r>
    </w:p>
  </w:footnote>
  <w:footnote w:id="179">
    <w:p w14:paraId="468CA34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Brown C, ‘Realism: rational or reasonable?’ 88 </w:t>
      </w:r>
      <w:r w:rsidRPr="0094199B">
        <w:rPr>
          <w:rStyle w:val="None"/>
          <w:rFonts w:ascii="Times New Roman" w:hAnsi="Times New Roman" w:cs="Times New Roman"/>
          <w:i/>
          <w:iCs/>
        </w:rPr>
        <w:t>International Affairs (Royal Institute of International Affairs</w:t>
      </w:r>
      <w:r w:rsidRPr="0094199B">
        <w:rPr>
          <w:rStyle w:val="None"/>
          <w:rFonts w:ascii="Times New Roman" w:hAnsi="Times New Roman" w:cs="Times New Roman"/>
        </w:rPr>
        <w:t>) 4, 2012, 864.</w:t>
      </w:r>
    </w:p>
  </w:footnote>
  <w:footnote w:id="180">
    <w:p w14:paraId="1C611CE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Dingli S, ‘Book Review: Charles L. Glaser, Rational Theory of International Politics: The Logic of Competition and Cooperation’ 40 </w:t>
      </w:r>
      <w:r w:rsidRPr="0094199B">
        <w:rPr>
          <w:rStyle w:val="None"/>
          <w:rFonts w:ascii="Times New Roman" w:hAnsi="Times New Roman" w:cs="Times New Roman"/>
          <w:i/>
          <w:iCs/>
        </w:rPr>
        <w:t xml:space="preserve">Millenium: Journal of International Studies </w:t>
      </w:r>
      <w:r w:rsidRPr="0094199B">
        <w:rPr>
          <w:rStyle w:val="None"/>
          <w:rFonts w:ascii="Times New Roman" w:hAnsi="Times New Roman" w:cs="Times New Roman"/>
        </w:rPr>
        <w:t>3, 679.</w:t>
      </w:r>
    </w:p>
  </w:footnote>
  <w:footnote w:id="181">
    <w:p w14:paraId="549FC88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Copeland D, ‘Rationalist Theories of International Politics and the Problem of the Future’ 20 </w:t>
      </w:r>
      <w:r w:rsidRPr="0094199B">
        <w:rPr>
          <w:rStyle w:val="None"/>
          <w:rFonts w:ascii="Times New Roman" w:hAnsi="Times New Roman" w:cs="Times New Roman"/>
          <w:i/>
          <w:iCs/>
        </w:rPr>
        <w:t xml:space="preserve">Security Studies </w:t>
      </w:r>
      <w:r w:rsidRPr="0094199B">
        <w:rPr>
          <w:rStyle w:val="None"/>
          <w:rFonts w:ascii="Times New Roman" w:hAnsi="Times New Roman" w:cs="Times New Roman"/>
        </w:rPr>
        <w:t>3, 2011, 441.</w:t>
      </w:r>
    </w:p>
  </w:footnote>
  <w:footnote w:id="182">
    <w:p w14:paraId="10DBC1E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Copeland, ‘Rationalist Theories of International Politics and the Problem of the Future’ 441.</w:t>
      </w:r>
    </w:p>
  </w:footnote>
  <w:footnote w:id="183">
    <w:p w14:paraId="59A96D0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Alleblas T, Aloyo E, Dancy G and Dutton Y, ‘Is the International Criminal Court biased against Africans? Kenyan victims don’t think so’ The Washington Post, 6 March 2017 </w:t>
      </w:r>
      <w:hyperlink r:id="rId50" w:history="1">
        <w:r w:rsidRPr="0094199B">
          <w:rPr>
            <w:rStyle w:val="Hyperlink5"/>
            <w:rFonts w:eastAsia="Calibri"/>
          </w:rPr>
          <w:t>https://www.washingtonpost.com/news/monkey-cage/wp/2017/03/06/is-the-international-criminal-court-biased-against-africans-kenyan-victims-dont-think-so/</w:t>
        </w:r>
      </w:hyperlink>
      <w:r w:rsidRPr="0094199B">
        <w:rPr>
          <w:rStyle w:val="None"/>
          <w:rFonts w:ascii="Times New Roman" w:hAnsi="Times New Roman" w:cs="Times New Roman"/>
        </w:rPr>
        <w:t xml:space="preserve"> on 14 September 2019.</w:t>
      </w:r>
    </w:p>
  </w:footnote>
  <w:footnote w:id="184">
    <w:p w14:paraId="53C8069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Alleblas T, Aloyo E, Dancy G and Dutton Y, ‘Is the International Criminal Court biased against Africans? Kenyan victims don’t think so’ The Washington Post, 6 March 2017 </w:t>
      </w:r>
      <w:hyperlink r:id="rId51" w:history="1">
        <w:r w:rsidRPr="0094199B">
          <w:rPr>
            <w:rStyle w:val="Hyperlink5"/>
            <w:rFonts w:eastAsia="Calibri"/>
          </w:rPr>
          <w:t>https://www.washingtonpost.com/news/monkey-cage/wp/2017/03/06/is-the-international-criminal-court-biased-against-africans-kenyan-victims-dont-think-so/</w:t>
        </w:r>
      </w:hyperlink>
      <w:r w:rsidRPr="0094199B">
        <w:rPr>
          <w:rStyle w:val="None"/>
          <w:rFonts w:ascii="Times New Roman" w:hAnsi="Times New Roman" w:cs="Times New Roman"/>
        </w:rPr>
        <w:t xml:space="preserve"> on 14 September 2019.</w:t>
      </w:r>
    </w:p>
  </w:footnote>
  <w:footnote w:id="185">
    <w:p w14:paraId="3BB1F4B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eastAsia="Times New Roman" w:hAnsi="Times New Roman" w:cs="Times New Roman"/>
          <w:vertAlign w:val="superscript"/>
        </w:rPr>
        <w:footnoteRef/>
      </w:r>
      <w:r w:rsidRPr="0094199B">
        <w:rPr>
          <w:rStyle w:val="None"/>
          <w:rFonts w:ascii="Times New Roman" w:hAnsi="Times New Roman" w:cs="Times New Roman"/>
        </w:rPr>
        <w:t xml:space="preserve"> Verini J, ‘The Prosecutor and the President’ The New York Times Magazine, 22 June 2016 </w:t>
      </w:r>
      <w:hyperlink r:id="rId52" w:history="1">
        <w:r w:rsidRPr="0094199B">
          <w:rPr>
            <w:rStyle w:val="Hyperlink5"/>
            <w:rFonts w:eastAsia="Calibri"/>
          </w:rPr>
          <w:t>https://www.nytimes.com/2016/06/26/magazine/international-criminal-court-moreno-ocampo-the-prosecutor-and-the-president.html</w:t>
        </w:r>
      </w:hyperlink>
      <w:r w:rsidRPr="0094199B">
        <w:rPr>
          <w:rStyle w:val="None"/>
          <w:rFonts w:ascii="Times New Roman" w:hAnsi="Times New Roman" w:cs="Times New Roman"/>
        </w:rPr>
        <w:t xml:space="preserve"> on 14 September 2019.</w:t>
      </w:r>
    </w:p>
  </w:footnote>
  <w:footnote w:id="186">
    <w:p w14:paraId="35072312"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6DD941A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23.</w:t>
      </w:r>
    </w:p>
  </w:footnote>
  <w:footnote w:id="187">
    <w:p w14:paraId="42B894E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Grunfeld F, Vermeulen W &amp; Krommendijk J, </w:t>
      </w:r>
      <w:r w:rsidRPr="0094199B">
        <w:rPr>
          <w:rStyle w:val="None"/>
          <w:rFonts w:ascii="Times New Roman" w:hAnsi="Times New Roman" w:cs="Times New Roman"/>
          <w:i/>
          <w:iCs/>
        </w:rPr>
        <w:t>Failure to Prevent Gross Human Rights Violations in Darfur (Warnings to and Responses by International Decision Makers)</w:t>
      </w:r>
      <w:r w:rsidRPr="0094199B">
        <w:rPr>
          <w:rStyle w:val="None"/>
          <w:rFonts w:ascii="Times New Roman" w:hAnsi="Times New Roman" w:cs="Times New Roman"/>
        </w:rPr>
        <w:t>, Brill | Nijhoff Publishers, Leiden-Boston, 2014, 56.</w:t>
      </w:r>
    </w:p>
  </w:footnote>
  <w:footnote w:id="188">
    <w:p w14:paraId="3E348DA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Wouters J and Verhoeven S, ‘Justice for Africa: The cases of the Democratic Republic of the Congo, Uganda and Darfur before the International Criminal Court’ Institute for International Law, Working Paper 81, July 2005, 12-</w:t>
      </w:r>
      <w:hyperlink r:id="rId53" w:history="1">
        <w:r w:rsidRPr="0094199B">
          <w:rPr>
            <w:rStyle w:val="Hyperlink5"/>
            <w:rFonts w:eastAsia="Calibri"/>
          </w:rPr>
          <w:t>https://www.law.kuleuven.be/iir/nl/onderzoek/working-papers/WP81e.pdf</w:t>
        </w:r>
      </w:hyperlink>
      <w:r w:rsidRPr="0094199B">
        <w:rPr>
          <w:rStyle w:val="None"/>
          <w:rFonts w:ascii="Times New Roman" w:hAnsi="Times New Roman" w:cs="Times New Roman"/>
        </w:rPr>
        <w:t xml:space="preserve"> on 24 January 2018.</w:t>
      </w:r>
    </w:p>
  </w:footnote>
  <w:footnote w:id="189">
    <w:p w14:paraId="0129FFB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u w:color="FF0000"/>
          <w:vertAlign w:val="superscript"/>
        </w:rPr>
        <w:footnoteRef/>
      </w:r>
      <w:r w:rsidRPr="0094199B">
        <w:rPr>
          <w:rStyle w:val="None"/>
          <w:rFonts w:ascii="Times New Roman" w:hAnsi="Times New Roman" w:cs="Times New Roman"/>
        </w:rPr>
        <w:t xml:space="preserve"> Flint J &amp; Waal A, </w:t>
      </w:r>
      <w:r w:rsidRPr="0094199B">
        <w:rPr>
          <w:rStyle w:val="None"/>
          <w:rFonts w:ascii="Times New Roman" w:hAnsi="Times New Roman" w:cs="Times New Roman"/>
          <w:i/>
          <w:iCs/>
        </w:rPr>
        <w:t>Darfur: A New History of a Long War</w:t>
      </w:r>
      <w:r w:rsidRPr="0094199B">
        <w:rPr>
          <w:rStyle w:val="None"/>
          <w:rFonts w:ascii="Times New Roman" w:hAnsi="Times New Roman" w:cs="Times New Roman"/>
        </w:rPr>
        <w:t>, 2 ed, Zed Books, London, 2008, 102.</w:t>
      </w:r>
    </w:p>
  </w:footnote>
  <w:footnote w:id="190">
    <w:p w14:paraId="4343684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Wouters J and Verhoeven S, ‘Justice for Africa: The cases of the Democratic Republic of the Congo, Uganda and Darfur before the International Criminal Court’ 12.</w:t>
      </w:r>
    </w:p>
  </w:footnote>
  <w:footnote w:id="191">
    <w:p w14:paraId="0C04DF2A"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31F20C0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23.</w:t>
      </w:r>
    </w:p>
  </w:footnote>
  <w:footnote w:id="192">
    <w:p w14:paraId="2DC32941" w14:textId="77777777" w:rsidR="00B2706C" w:rsidRPr="0094199B" w:rsidRDefault="00B2706C" w:rsidP="0094199B">
      <w:pPr>
        <w:pStyle w:val="FootnoteText"/>
        <w:jc w:val="both"/>
        <w:rPr>
          <w:rStyle w:val="None"/>
          <w:rFonts w:ascii="Times New Roman" w:eastAsia="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Ntoubandi F, ‘Towards ending Impunity in Darfur: The ICC arrest warrant of 27 April 2007’ Max-Planck-Institut für ausländisches öffentliches Recht und Völkerrecht, 2009-</w:t>
      </w:r>
      <w:hyperlink r:id="rId54" w:history="1">
        <w:r w:rsidRPr="0094199B">
          <w:rPr>
            <w:rStyle w:val="Hyperlink5"/>
            <w:rFonts w:eastAsia="Calibri"/>
          </w:rPr>
          <w:t>http://www.zaoerv.de/69_2009/69_2009_1_b_123_154.pdf</w:t>
        </w:r>
      </w:hyperlink>
      <w:r w:rsidRPr="0094199B">
        <w:rPr>
          <w:rStyle w:val="None"/>
          <w:rFonts w:ascii="Times New Roman" w:hAnsi="Times New Roman" w:cs="Times New Roman"/>
        </w:rPr>
        <w:t xml:space="preserve"> on 24 January 2018. </w:t>
      </w:r>
    </w:p>
    <w:p w14:paraId="3312608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rPr>
        <w:t>Janjaweed was a Darfurian term meaning armed bandit or an outlaw.</w:t>
      </w:r>
    </w:p>
  </w:footnote>
  <w:footnote w:id="193">
    <w:p w14:paraId="630D100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Tar U, ‘Counter-Insurgents or Ethnic Vanguards? Civil Militia and State Violence in the Darfur Region, Western Sudan’ in Francis D (ed) </w:t>
      </w:r>
      <w:r w:rsidRPr="0094199B">
        <w:rPr>
          <w:rStyle w:val="None"/>
          <w:rFonts w:ascii="Times New Roman" w:hAnsi="Times New Roman" w:cs="Times New Roman"/>
          <w:i/>
          <w:iCs/>
        </w:rPr>
        <w:t xml:space="preserve">Civil Milia, Africa’s Intractable Security Menace? </w:t>
      </w:r>
      <w:r w:rsidRPr="0094199B">
        <w:rPr>
          <w:rStyle w:val="None"/>
          <w:rFonts w:ascii="Times New Roman" w:hAnsi="Times New Roman" w:cs="Times New Roman"/>
        </w:rPr>
        <w:t>Routledge, London, 2005, 134.</w:t>
      </w:r>
    </w:p>
  </w:footnote>
  <w:footnote w:id="194">
    <w:p w14:paraId="072D9EB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Fake S &amp; Funk K, </w:t>
      </w:r>
      <w:r w:rsidRPr="0094199B">
        <w:rPr>
          <w:rStyle w:val="None"/>
          <w:rFonts w:ascii="Times New Roman" w:hAnsi="Times New Roman" w:cs="Times New Roman"/>
          <w:i/>
          <w:iCs/>
        </w:rPr>
        <w:t>The Scramble for Africa: Darfur-Intervention and the USA</w:t>
      </w:r>
      <w:r w:rsidRPr="0094199B">
        <w:rPr>
          <w:rStyle w:val="None"/>
          <w:rFonts w:ascii="Times New Roman" w:hAnsi="Times New Roman" w:cs="Times New Roman"/>
        </w:rPr>
        <w:t>, Black Rose Books, Canada, 2008.</w:t>
      </w:r>
    </w:p>
  </w:footnote>
  <w:footnote w:id="195">
    <w:p w14:paraId="7C2F6E3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Ntoubandi F, ‘Towards ending Impunity in Darfur: The ICC arrest warrant of 27 April 2007’ Max-Planck-Institut für ausländisches öffentliches Recht und Völkerrecht, 2009-</w:t>
      </w:r>
      <w:hyperlink r:id="rId55" w:history="1">
        <w:r w:rsidRPr="0094199B">
          <w:rPr>
            <w:rStyle w:val="Hyperlink5"/>
            <w:rFonts w:eastAsia="Calibri"/>
          </w:rPr>
          <w:t>http://www.zaoerv.de/69_2009/69_2009_1_b_123_154.pdf</w:t>
        </w:r>
      </w:hyperlink>
      <w:r w:rsidRPr="0094199B">
        <w:rPr>
          <w:rStyle w:val="None"/>
          <w:rFonts w:ascii="Times New Roman" w:hAnsi="Times New Roman" w:cs="Times New Roman"/>
        </w:rPr>
        <w:t xml:space="preserve"> on 24 January 2018.</w:t>
      </w:r>
    </w:p>
  </w:footnote>
  <w:footnote w:id="196">
    <w:p w14:paraId="42A4C8C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Savage P, ‘The crisis of governance and the challenge to peace in Sudan’ Christian Aid, April 2003- </w:t>
      </w:r>
      <w:hyperlink r:id="rId56" w:history="1">
        <w:r w:rsidRPr="0094199B">
          <w:rPr>
            <w:rStyle w:val="Hyperlink5"/>
            <w:rFonts w:eastAsia="Calibri"/>
          </w:rPr>
          <w:t>https://reliefweb.int/sites/reilefweb.int/files/resources/8F6CFFA4B85256D2C0070B9AE-christianaid-sdn-30apr.p</w:t>
        </w:r>
      </w:hyperlink>
      <w:r w:rsidRPr="0094199B">
        <w:rPr>
          <w:rStyle w:val="None"/>
          <w:rFonts w:ascii="Times New Roman" w:hAnsi="Times New Roman" w:cs="Times New Roman"/>
        </w:rPr>
        <w:t xml:space="preserve"> on 25 January 2018.</w:t>
      </w:r>
    </w:p>
  </w:footnote>
  <w:footnote w:id="197">
    <w:p w14:paraId="46B6E07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Hagan J &amp; Wenona R, </w:t>
      </w:r>
      <w:r w:rsidRPr="0094199B">
        <w:rPr>
          <w:rStyle w:val="None"/>
          <w:rFonts w:ascii="Times New Roman" w:hAnsi="Times New Roman" w:cs="Times New Roman"/>
          <w:i/>
          <w:iCs/>
        </w:rPr>
        <w:t>Darfur and the Crime of Genocide</w:t>
      </w:r>
      <w:r w:rsidRPr="0094199B">
        <w:rPr>
          <w:rStyle w:val="None"/>
          <w:rFonts w:ascii="Times New Roman" w:hAnsi="Times New Roman" w:cs="Times New Roman"/>
        </w:rPr>
        <w:t>, Cambridge University Press, Cambridge, 2008.</w:t>
      </w:r>
    </w:p>
  </w:footnote>
  <w:footnote w:id="198">
    <w:p w14:paraId="70CD35B3"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0B920E6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3.</w:t>
      </w:r>
    </w:p>
  </w:footnote>
  <w:footnote w:id="199">
    <w:p w14:paraId="7D3EB74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Totten C &amp; Tyler N, ‘Arguing for an Integrated Approach to Resolving the Crisis in Darfur: The Challenges of Complementarity, Enforcement, and Related Issues in the International Criminal Court’ 98</w:t>
      </w:r>
      <w:r w:rsidRPr="0094199B">
        <w:rPr>
          <w:rStyle w:val="None"/>
          <w:rFonts w:ascii="Times New Roman" w:hAnsi="Times New Roman" w:cs="Times New Roman"/>
          <w:i/>
          <w:iCs/>
        </w:rPr>
        <w:t xml:space="preserve"> Journal of Criminal Law and Criminology</w:t>
      </w:r>
      <w:r w:rsidRPr="0094199B">
        <w:rPr>
          <w:rStyle w:val="None"/>
          <w:rFonts w:ascii="Times New Roman" w:hAnsi="Times New Roman" w:cs="Times New Roman"/>
        </w:rPr>
        <w:t xml:space="preserve"> 3, 2008, 1083.</w:t>
      </w:r>
    </w:p>
  </w:footnote>
  <w:footnote w:id="200">
    <w:p w14:paraId="6A099A9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Zacher M, Brehm H &amp; Savelsberg J, ‘NGOs, IOs, and the ICC: Diagnosing and Framing Darfur’ 29 </w:t>
      </w:r>
      <w:r w:rsidRPr="0094199B">
        <w:rPr>
          <w:rStyle w:val="None"/>
          <w:rFonts w:ascii="Times New Roman" w:hAnsi="Times New Roman" w:cs="Times New Roman"/>
          <w:i/>
          <w:iCs/>
        </w:rPr>
        <w:t>Sociological Forum</w:t>
      </w:r>
      <w:r w:rsidRPr="0094199B">
        <w:rPr>
          <w:rStyle w:val="None"/>
          <w:rFonts w:ascii="Times New Roman" w:hAnsi="Times New Roman" w:cs="Times New Roman"/>
        </w:rPr>
        <w:t xml:space="preserve"> 1, 2014, 35.</w:t>
      </w:r>
    </w:p>
  </w:footnote>
  <w:footnote w:id="201">
    <w:p w14:paraId="0D7CB2D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Kastner P, </w:t>
      </w:r>
      <w:r w:rsidRPr="0094199B">
        <w:rPr>
          <w:rStyle w:val="None"/>
          <w:rFonts w:ascii="Times New Roman" w:hAnsi="Times New Roman" w:cs="Times New Roman"/>
          <w:i/>
          <w:iCs/>
        </w:rPr>
        <w:t>International Criminal Justice in bello? / The ICC between Law and Politics in Darfur and Northern Uganda</w:t>
      </w:r>
      <w:r w:rsidRPr="0094199B">
        <w:rPr>
          <w:rStyle w:val="None"/>
          <w:rFonts w:ascii="Times New Roman" w:hAnsi="Times New Roman" w:cs="Times New Roman"/>
        </w:rPr>
        <w:t>, Brill | Nijhoff Publishers, Leiden-Boston, 2012, 52.</w:t>
      </w:r>
    </w:p>
  </w:footnote>
  <w:footnote w:id="202">
    <w:p w14:paraId="03E5414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Peskin V, ‘The International Criminal Court, the Security Council, and the Politics of Impunity in Darfur’ 4(3) </w:t>
      </w:r>
      <w:r w:rsidRPr="0094199B">
        <w:rPr>
          <w:rStyle w:val="None"/>
          <w:rFonts w:ascii="Times New Roman" w:hAnsi="Times New Roman" w:cs="Times New Roman"/>
          <w:i/>
          <w:iCs/>
        </w:rPr>
        <w:t>Genocide Studies and Prevention: An International Journal</w:t>
      </w:r>
      <w:r w:rsidRPr="0094199B">
        <w:rPr>
          <w:rStyle w:val="None"/>
          <w:rFonts w:ascii="Times New Roman" w:hAnsi="Times New Roman" w:cs="Times New Roman"/>
        </w:rPr>
        <w:t>, 2009, 13.</w:t>
      </w:r>
    </w:p>
  </w:footnote>
  <w:footnote w:id="203">
    <w:p w14:paraId="0D06784C" w14:textId="77777777" w:rsidR="00B2706C" w:rsidRPr="0094199B" w:rsidRDefault="00B2706C" w:rsidP="0094199B">
      <w:pPr>
        <w:pStyle w:val="FootnoteText"/>
        <w:jc w:val="both"/>
        <w:rPr>
          <w:rStyle w:val="None"/>
          <w:rFonts w:ascii="Times New Roman" w:eastAsia="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t>
      </w:r>
      <w:r w:rsidRPr="0094199B">
        <w:rPr>
          <w:rStyle w:val="None"/>
          <w:rFonts w:ascii="Times New Roman" w:hAnsi="Times New Roman" w:cs="Times New Roman"/>
          <w:i/>
          <w:iCs/>
        </w:rPr>
        <w:t>UN Secretary-General Kofi Annan (Press Release)</w:t>
      </w:r>
      <w:r w:rsidRPr="0094199B">
        <w:rPr>
          <w:rStyle w:val="None"/>
          <w:rFonts w:ascii="Times New Roman" w:hAnsi="Times New Roman" w:cs="Times New Roman"/>
        </w:rPr>
        <w:t>, UN Doc. SG/SM/9797 AFR/1132, 31</w:t>
      </w:r>
    </w:p>
    <w:p w14:paraId="4C41A8D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rPr>
        <w:t>March 2005.</w:t>
      </w:r>
    </w:p>
  </w:footnote>
  <w:footnote w:id="204">
    <w:p w14:paraId="0DF81B67"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u w:color="FF0000"/>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023FEE3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2.</w:t>
      </w:r>
    </w:p>
  </w:footnote>
  <w:footnote w:id="205">
    <w:p w14:paraId="69A2D633"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u w:color="FF0000"/>
          <w:vertAlign w:val="superscript"/>
        </w:rPr>
        <w:footnoteRef/>
      </w:r>
      <w:r w:rsidRPr="0094199B">
        <w:rPr>
          <w:rStyle w:val="None"/>
          <w:rFonts w:ascii="Times New Roman" w:hAnsi="Times New Roman" w:cs="Times New Roman"/>
        </w:rPr>
        <w:t xml:space="preserve"> Elagab O, ‘The Darfur Situation and the ICC: An Appraisal’ 1 </w:t>
      </w:r>
      <w:r w:rsidRPr="0094199B">
        <w:rPr>
          <w:rStyle w:val="None"/>
          <w:rFonts w:ascii="Times New Roman" w:hAnsi="Times New Roman" w:cs="Times New Roman"/>
          <w:i/>
          <w:iCs/>
        </w:rPr>
        <w:t xml:space="preserve">Journal of Politics and </w:t>
      </w:r>
      <w:r w:rsidRPr="0094199B">
        <w:rPr>
          <w:rStyle w:val="None"/>
          <w:rFonts w:ascii="Times New Roman" w:hAnsi="Times New Roman" w:cs="Times New Roman"/>
        </w:rPr>
        <w:t>Law 3, 2008, 48.</w:t>
      </w:r>
    </w:p>
  </w:footnote>
  <w:footnote w:id="206">
    <w:p w14:paraId="2700460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u w:color="FF0000"/>
          <w:vertAlign w:val="superscript"/>
        </w:rPr>
        <w:footnoteRef/>
      </w:r>
      <w:r w:rsidRPr="0094199B">
        <w:rPr>
          <w:rStyle w:val="None"/>
          <w:rFonts w:ascii="Times New Roman" w:hAnsi="Times New Roman" w:cs="Times New Roman"/>
        </w:rPr>
        <w:t xml:space="preserve"> Wouters J and Verhoeven S, ‘Justice for Africa: The cases of the Democratic Republic of the Congo, Uganda and Darfur before the International Criminal Court’ 12.</w:t>
      </w:r>
    </w:p>
  </w:footnote>
  <w:footnote w:id="207">
    <w:p w14:paraId="508B9A24"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16A52CE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4.</w:t>
      </w:r>
    </w:p>
  </w:footnote>
  <w:footnote w:id="208">
    <w:p w14:paraId="59B74006" w14:textId="77777777" w:rsidR="00B2706C" w:rsidRPr="0094199B" w:rsidRDefault="00B2706C" w:rsidP="0094199B">
      <w:pPr>
        <w:pStyle w:val="FootnoteText"/>
        <w:jc w:val="both"/>
        <w:rPr>
          <w:rStyle w:val="None"/>
          <w:rFonts w:ascii="Times New Roman" w:eastAsia="Times New Roman" w:hAnsi="Times New Roman" w:cs="Times New Roman"/>
          <w:i/>
          <w:iCs/>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United Nations Security Council, </w:t>
      </w:r>
      <w:r w:rsidRPr="0094199B">
        <w:rPr>
          <w:rStyle w:val="None"/>
          <w:rFonts w:ascii="Times New Roman" w:hAnsi="Times New Roman" w:cs="Times New Roman"/>
          <w:i/>
          <w:iCs/>
        </w:rPr>
        <w:t>Report of the International Commission of Inquiry on Darfur</w:t>
      </w:r>
    </w:p>
    <w:p w14:paraId="66201E4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i/>
          <w:iCs/>
        </w:rPr>
        <w:t>to the United Nations Secretary-General</w:t>
      </w:r>
      <w:r w:rsidRPr="0094199B">
        <w:rPr>
          <w:rStyle w:val="None"/>
          <w:rFonts w:ascii="Times New Roman" w:hAnsi="Times New Roman" w:cs="Times New Roman"/>
        </w:rPr>
        <w:t>, 25 January 2005, 4.</w:t>
      </w:r>
    </w:p>
  </w:footnote>
  <w:footnote w:id="209">
    <w:p w14:paraId="7936DD3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Zacher M, Brehm H &amp; Savelsberg J, ‘NGOs, IOs, and the ICC’ 34-35.</w:t>
      </w:r>
    </w:p>
  </w:footnote>
  <w:footnote w:id="210">
    <w:p w14:paraId="48D25DA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Ahmad Muhammad Harun (“Ahmad Harun”) and Ali Muhammad Ali Abd–Al-Rahman (“Ali Kushayb”), Case No. ICC-02/05-01/07, Case Information Sheet, April 2018, </w:t>
      </w:r>
      <w:hyperlink r:id="rId57" w:history="1">
        <w:r w:rsidRPr="0094199B">
          <w:rPr>
            <w:rStyle w:val="Hyperlink0"/>
            <w:rFonts w:eastAsia="Calibri"/>
          </w:rPr>
          <w:t>https://www.icc-cpi.int/CaseInformationSheets/HarunKushaybEng.pdf</w:t>
        </w:r>
      </w:hyperlink>
      <w:r w:rsidRPr="0094199B">
        <w:rPr>
          <w:rStyle w:val="None"/>
          <w:rFonts w:ascii="Times New Roman" w:hAnsi="Times New Roman" w:cs="Times New Roman"/>
        </w:rPr>
        <w:t>.</w:t>
      </w:r>
    </w:p>
  </w:footnote>
  <w:footnote w:id="211">
    <w:p w14:paraId="495EB5B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Omar Hassan Ahmad Al Bashir, Case No. ICC-02/05-01/09, Case Information Sheet, April 2018, </w:t>
      </w:r>
      <w:hyperlink r:id="rId58" w:history="1">
        <w:r w:rsidRPr="0094199B">
          <w:rPr>
            <w:rStyle w:val="Hyperlink0"/>
            <w:rFonts w:eastAsia="Calibri"/>
          </w:rPr>
          <w:t>https://www.icc-cpi.int/CaseInformationSheets/albashirEng.pdf</w:t>
        </w:r>
      </w:hyperlink>
      <w:r w:rsidRPr="0094199B">
        <w:rPr>
          <w:rStyle w:val="None"/>
          <w:rFonts w:ascii="Times New Roman" w:hAnsi="Times New Roman" w:cs="Times New Roman"/>
          <w:u w:val="single"/>
        </w:rPr>
        <w:t>.</w:t>
      </w:r>
    </w:p>
  </w:footnote>
  <w:footnote w:id="212">
    <w:p w14:paraId="516D16B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International Criminal Court, Keynote address by the Prosecutor of the International Criminal Court, Luis Moreno-Ocampo, on 6 February 2009 in relation to the situation in Darfur.</w:t>
      </w:r>
    </w:p>
  </w:footnote>
  <w:footnote w:id="213">
    <w:p w14:paraId="610DA5B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25 (3)(a), </w:t>
      </w:r>
      <w:r w:rsidRPr="0094199B">
        <w:rPr>
          <w:rStyle w:val="None"/>
          <w:rFonts w:ascii="Times New Roman" w:hAnsi="Times New Roman" w:cs="Times New Roman"/>
          <w:i/>
          <w:iCs/>
        </w:rPr>
        <w:t>Rome Statute of the International Criminal Court.</w:t>
      </w:r>
    </w:p>
  </w:footnote>
  <w:footnote w:id="214">
    <w:p w14:paraId="639BA756"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Omar Hassan Ahmad Al Bashir, Case No. ICC-02/05-01/09, Warrant of Arrest for Omar Hassan Ahmad Al Bashir, 4 March 2009, </w:t>
      </w:r>
      <w:hyperlink r:id="rId59" w:history="1">
        <w:r w:rsidRPr="0094199B">
          <w:rPr>
            <w:rStyle w:val="Hyperlink0"/>
            <w:rFonts w:eastAsia="Calibri"/>
          </w:rPr>
          <w:t>https://www.icc-cpi.int/CourtRecords/CR2009_01514.PDF</w:t>
        </w:r>
      </w:hyperlink>
      <w:r w:rsidRPr="0094199B">
        <w:rPr>
          <w:rStyle w:val="None"/>
          <w:rFonts w:ascii="Times New Roman" w:hAnsi="Times New Roman" w:cs="Times New Roman"/>
        </w:rPr>
        <w:t>.</w:t>
      </w:r>
    </w:p>
  </w:footnote>
  <w:footnote w:id="215">
    <w:p w14:paraId="656F751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u w:color="FF0000"/>
          <w:vertAlign w:val="superscript"/>
        </w:rPr>
        <w:footnoteRef/>
      </w:r>
      <w:r w:rsidRPr="0094199B">
        <w:rPr>
          <w:rStyle w:val="None"/>
          <w:rFonts w:ascii="Times New Roman" w:hAnsi="Times New Roman" w:cs="Times New Roman"/>
        </w:rPr>
        <w:t xml:space="preserve"> Prosecutor v Omar Hassan Ahmad Al Bashir, Case No. ICC-02/05-01/09, Second Warrant of Arrest for Omar Hassan Ahmad Al Bashir, 12 July 2010, </w:t>
      </w:r>
      <w:hyperlink r:id="rId60" w:history="1">
        <w:r w:rsidRPr="0094199B">
          <w:rPr>
            <w:rStyle w:val="Hyperlink0"/>
            <w:rFonts w:eastAsia="Calibri"/>
          </w:rPr>
          <w:t>https://www.icc-cpi.int/CourtRecords/CR2010_04825.PDF</w:t>
        </w:r>
      </w:hyperlink>
      <w:r w:rsidRPr="0094199B">
        <w:rPr>
          <w:rStyle w:val="None"/>
          <w:rFonts w:ascii="Times New Roman" w:hAnsi="Times New Roman" w:cs="Times New Roman"/>
        </w:rPr>
        <w:t>.</w:t>
      </w:r>
    </w:p>
  </w:footnote>
  <w:footnote w:id="216">
    <w:p w14:paraId="7FECE8C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Goy B, ‘Article 7(2)’ in Klamberg E (ed), </w:t>
      </w:r>
      <w:r w:rsidRPr="0094199B">
        <w:rPr>
          <w:rStyle w:val="None"/>
          <w:rFonts w:ascii="Times New Roman" w:hAnsi="Times New Roman" w:cs="Times New Roman"/>
          <w:i/>
          <w:iCs/>
        </w:rPr>
        <w:t>Commentary on the Law of the International Criminal Court</w:t>
      </w:r>
      <w:r w:rsidRPr="0094199B">
        <w:rPr>
          <w:rStyle w:val="None"/>
          <w:rFonts w:ascii="Times New Roman" w:hAnsi="Times New Roman" w:cs="Times New Roman"/>
        </w:rPr>
        <w:t>, Torkel Opsahl Academic EPublisher, Brussels, 2017, 46.</w:t>
      </w:r>
    </w:p>
  </w:footnote>
  <w:footnote w:id="217">
    <w:p w14:paraId="3EABBF5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Prosecutor v Omar Hassan Ahmad Al Bashir, Case No. ICC-02/05-01/09, Second Warrant of Arrest for Omar Hassan Ahmad Al Bashir, 12 July 2010, </w:t>
      </w:r>
      <w:hyperlink r:id="rId61" w:history="1">
        <w:r w:rsidRPr="0094199B">
          <w:rPr>
            <w:rStyle w:val="Hyperlink0"/>
            <w:rFonts w:eastAsia="Calibri"/>
          </w:rPr>
          <w:t>https://www.icc-cpi.int/CourtRecords/CR2010_04825.PDF</w:t>
        </w:r>
      </w:hyperlink>
      <w:r w:rsidRPr="0094199B">
        <w:rPr>
          <w:rStyle w:val="None"/>
          <w:rFonts w:ascii="Times New Roman" w:hAnsi="Times New Roman" w:cs="Times New Roman"/>
        </w:rPr>
        <w:t>.</w:t>
      </w:r>
    </w:p>
  </w:footnote>
  <w:footnote w:id="218">
    <w:p w14:paraId="5DD82F5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t>
      </w:r>
      <w:hyperlink r:id="rId62" w:history="1">
        <w:r w:rsidRPr="0094199B">
          <w:rPr>
            <w:rStyle w:val="Hyperlink7"/>
            <w:rFonts w:eastAsia="Calibri"/>
          </w:rPr>
          <w:t>https://www.icc-cpi.int/pages/item.aspx?name=pr557</w:t>
        </w:r>
      </w:hyperlink>
      <w:r w:rsidRPr="0094199B">
        <w:rPr>
          <w:rStyle w:val="None"/>
          <w:rFonts w:ascii="Times New Roman" w:hAnsi="Times New Roman" w:cs="Times New Roman"/>
        </w:rPr>
        <w:t xml:space="preserve"> on 25 November 2019.</w:t>
      </w:r>
    </w:p>
  </w:footnote>
  <w:footnote w:id="219">
    <w:p w14:paraId="499DFCE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Inwood J, ‘Sudan crisis: Ex-President Omar al-Bashir moved to prison’ BBC News, 17 April 2019 </w:t>
      </w:r>
      <w:hyperlink r:id="rId63" w:history="1">
        <w:r w:rsidRPr="0094199B">
          <w:rPr>
            <w:rStyle w:val="Hyperlink5"/>
            <w:rFonts w:eastAsia="Calibri"/>
          </w:rPr>
          <w:t>https://www.bbc.com/news/world-africa-47961424</w:t>
        </w:r>
      </w:hyperlink>
      <w:r w:rsidRPr="0094199B">
        <w:rPr>
          <w:rStyle w:val="None"/>
          <w:rFonts w:ascii="Times New Roman" w:hAnsi="Times New Roman" w:cs="Times New Roman"/>
        </w:rPr>
        <w:t xml:space="preserve"> on 14 November 2019.</w:t>
      </w:r>
    </w:p>
  </w:footnote>
  <w:footnote w:id="220">
    <w:p w14:paraId="4CFCA00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Nouwen S, </w:t>
      </w:r>
      <w:r w:rsidRPr="0094199B">
        <w:rPr>
          <w:rStyle w:val="None"/>
          <w:rFonts w:ascii="Times New Roman" w:hAnsi="Times New Roman" w:cs="Times New Roman"/>
          <w:i/>
          <w:iCs/>
        </w:rPr>
        <w:t>Complementarity in the Line of Fire: The Catalysing Effect of the International Criminal Court in Uganda and Sudan</w:t>
      </w:r>
      <w:r w:rsidRPr="0094199B">
        <w:rPr>
          <w:rStyle w:val="None"/>
          <w:rFonts w:ascii="Times New Roman" w:hAnsi="Times New Roman" w:cs="Times New Roman"/>
        </w:rPr>
        <w:t xml:space="preserve">, Cambridge University Press, New York, 2013, 244. </w:t>
      </w:r>
    </w:p>
  </w:footnote>
  <w:footnote w:id="221">
    <w:p w14:paraId="12952D61"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Tisdall S, ‘Man blamed for Darfur says I am at peace with myself’ The Guardian 4 December 2008 </w:t>
      </w:r>
      <w:hyperlink r:id="rId64" w:history="1">
        <w:r w:rsidRPr="0094199B">
          <w:rPr>
            <w:rStyle w:val="Hyperlink5"/>
            <w:rFonts w:eastAsia="Calibri"/>
          </w:rPr>
          <w:t>https://www.theguardian.com/world/2008/dec/04/sudan-darfur-human-rights-war-crimes</w:t>
        </w:r>
      </w:hyperlink>
      <w:r w:rsidRPr="0094199B">
        <w:rPr>
          <w:rStyle w:val="None"/>
          <w:rFonts w:ascii="Times New Roman" w:hAnsi="Times New Roman" w:cs="Times New Roman"/>
        </w:rPr>
        <w:t xml:space="preserve"> on 14 November 2019.</w:t>
      </w:r>
    </w:p>
  </w:footnote>
  <w:footnote w:id="222">
    <w:p w14:paraId="7FFA921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Charbonneau L, ‘Sudan's UN envoy invokes Macbeth to condemn ICC’ Reuters, 4 March 2009 </w:t>
      </w:r>
      <w:hyperlink r:id="rId65" w:history="1">
        <w:r w:rsidRPr="0094199B">
          <w:rPr>
            <w:rStyle w:val="Hyperlink5"/>
            <w:rFonts w:eastAsia="Calibri"/>
          </w:rPr>
          <w:t>https://www.reuters.com/article/us-warcrimes-sudan-macbeth-sb/sudans-un-envoy-invokes-macbeth-to-condemn-icc-idUSTRE5236DU20090304</w:t>
        </w:r>
      </w:hyperlink>
      <w:r w:rsidRPr="0094199B">
        <w:rPr>
          <w:rStyle w:val="None"/>
          <w:rFonts w:ascii="Times New Roman" w:hAnsi="Times New Roman" w:cs="Times New Roman"/>
        </w:rPr>
        <w:t xml:space="preserve"> on 14 November 2019.</w:t>
      </w:r>
    </w:p>
  </w:footnote>
  <w:footnote w:id="223">
    <w:p w14:paraId="4AC4655C"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Nouwen S, </w:t>
      </w:r>
      <w:r w:rsidRPr="0094199B">
        <w:rPr>
          <w:rStyle w:val="None"/>
          <w:rFonts w:ascii="Times New Roman" w:hAnsi="Times New Roman" w:cs="Times New Roman"/>
          <w:i/>
          <w:iCs/>
        </w:rPr>
        <w:t>Complementarity in the Line of Fire</w:t>
      </w:r>
      <w:r w:rsidRPr="0094199B">
        <w:rPr>
          <w:rStyle w:val="None"/>
          <w:rFonts w:ascii="Times New Roman" w:hAnsi="Times New Roman" w:cs="Times New Roman"/>
        </w:rPr>
        <w:t>, 244.</w:t>
      </w:r>
    </w:p>
  </w:footnote>
  <w:footnote w:id="224">
    <w:p w14:paraId="6B7159F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El-Masri S, ‘The legality of the International Criminal Court's decision against Omar Al-Bashir of Sudan, 66 </w:t>
      </w:r>
      <w:r w:rsidRPr="0094199B">
        <w:rPr>
          <w:rStyle w:val="None"/>
          <w:rFonts w:ascii="Times New Roman" w:hAnsi="Times New Roman" w:cs="Times New Roman"/>
          <w:i/>
          <w:iCs/>
        </w:rPr>
        <w:t>International Journal</w:t>
      </w:r>
      <w:r w:rsidRPr="0094199B">
        <w:rPr>
          <w:rStyle w:val="None"/>
          <w:rFonts w:ascii="Times New Roman" w:hAnsi="Times New Roman" w:cs="Times New Roman"/>
        </w:rPr>
        <w:t xml:space="preserve"> 2, 2011, 382.</w:t>
      </w:r>
    </w:p>
  </w:footnote>
  <w:footnote w:id="225">
    <w:p w14:paraId="7694D62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Krassel P, </w:t>
      </w:r>
      <w:r w:rsidRPr="0094199B">
        <w:rPr>
          <w:rStyle w:val="None"/>
          <w:rFonts w:ascii="Times New Roman" w:hAnsi="Times New Roman" w:cs="Times New Roman"/>
          <w:i/>
          <w:iCs/>
        </w:rPr>
        <w:t>Custom Maid Knowledge For New World Disorder</w:t>
      </w:r>
      <w:r w:rsidRPr="0094199B">
        <w:rPr>
          <w:rStyle w:val="None"/>
          <w:rFonts w:ascii="Times New Roman" w:hAnsi="Times New Roman" w:cs="Times New Roman"/>
        </w:rPr>
        <w:t>, CAL Books, 2008, 384.</w:t>
      </w:r>
    </w:p>
  </w:footnote>
  <w:footnote w:id="226">
    <w:p w14:paraId="46E99C5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Barnes G, ‘The International Criminal Court’s Ineffective Enforcement Mechanisms: The Indictment of President Omar Al Bashir’ 34 </w:t>
      </w:r>
      <w:r w:rsidRPr="0094199B">
        <w:rPr>
          <w:rStyle w:val="None"/>
          <w:rFonts w:ascii="Times New Roman" w:hAnsi="Times New Roman" w:cs="Times New Roman"/>
          <w:i/>
          <w:iCs/>
        </w:rPr>
        <w:t>Fordham International Law Journal</w:t>
      </w:r>
      <w:r w:rsidRPr="0094199B">
        <w:rPr>
          <w:rStyle w:val="None"/>
          <w:rFonts w:ascii="Times New Roman" w:hAnsi="Times New Roman" w:cs="Times New Roman"/>
        </w:rPr>
        <w:t xml:space="preserve"> 6, 2011, 1606-1609.</w:t>
      </w:r>
    </w:p>
  </w:footnote>
  <w:footnote w:id="227">
    <w:p w14:paraId="0B1EC824"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Decision of the Meeting of African State Parties to the Rome Statute of the International Criminal Court, UN Doc Assembly/AU/13(XIII) (3 July 2009) para 10.</w:t>
      </w:r>
    </w:p>
  </w:footnote>
  <w:footnote w:id="228">
    <w:p w14:paraId="36F0B21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Article 98(2), </w:t>
      </w:r>
      <w:r w:rsidRPr="0094199B">
        <w:rPr>
          <w:rStyle w:val="None"/>
          <w:rFonts w:ascii="Times New Roman" w:hAnsi="Times New Roman" w:cs="Times New Roman"/>
          <w:i/>
          <w:iCs/>
        </w:rPr>
        <w:t>Rome Statute of the International Criminal Court.</w:t>
      </w:r>
    </w:p>
  </w:footnote>
  <w:footnote w:id="229">
    <w:p w14:paraId="4AED1238"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Vyver J, ‘Prosecuting the President of Sudan: A dispute between the African Union and the International Criminal Court’ 11 </w:t>
      </w:r>
      <w:r w:rsidRPr="0094199B">
        <w:rPr>
          <w:rStyle w:val="None"/>
          <w:rFonts w:ascii="Times New Roman" w:hAnsi="Times New Roman" w:cs="Times New Roman"/>
          <w:i/>
          <w:iCs/>
        </w:rPr>
        <w:t>African Human Rights Law Journal</w:t>
      </w:r>
      <w:r w:rsidRPr="0094199B">
        <w:rPr>
          <w:rStyle w:val="None"/>
          <w:rFonts w:ascii="Times New Roman" w:hAnsi="Times New Roman" w:cs="Times New Roman"/>
        </w:rPr>
        <w:t xml:space="preserve">, 2011, 684-685. </w:t>
      </w:r>
    </w:p>
  </w:footnote>
  <w:footnote w:id="230">
    <w:p w14:paraId="03E0BD7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Mbaku J, ‘International Justice: The International Criminal Court and Africa’ Africa Growth Initiative, 2013 </w:t>
      </w:r>
      <w:hyperlink r:id="rId66" w:history="1">
        <w:r w:rsidRPr="0094199B">
          <w:rPr>
            <w:rStyle w:val="Hyperlink5"/>
            <w:rFonts w:eastAsia="Calibri"/>
          </w:rPr>
          <w:t>https://www.brookings.edu/wp-content/uploads/2016/07/03-foresight-international-criminal-court-africa-mbaku-1.pdf</w:t>
        </w:r>
      </w:hyperlink>
      <w:r w:rsidRPr="0094199B">
        <w:rPr>
          <w:rStyle w:val="None"/>
          <w:rFonts w:ascii="Times New Roman" w:hAnsi="Times New Roman" w:cs="Times New Roman"/>
        </w:rPr>
        <w:t xml:space="preserve"> on 14 November 2019.</w:t>
      </w:r>
    </w:p>
  </w:footnote>
  <w:footnote w:id="231">
    <w:p w14:paraId="5FD1773D"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Kreß C, ‘The International Criminal Court and Immunities under International Law for States Not Party to the Court’s Statute’ in Bergsmo M and Yan L (eds), </w:t>
      </w:r>
      <w:r w:rsidRPr="0094199B">
        <w:rPr>
          <w:rStyle w:val="None"/>
          <w:rFonts w:ascii="Times New Roman" w:hAnsi="Times New Roman" w:cs="Times New Roman"/>
          <w:i/>
          <w:iCs/>
        </w:rPr>
        <w:t>State Sovereignty and International Criminal Law</w:t>
      </w:r>
      <w:r w:rsidRPr="0094199B">
        <w:rPr>
          <w:rStyle w:val="None"/>
          <w:rFonts w:ascii="Times New Roman" w:hAnsi="Times New Roman" w:cs="Times New Roman"/>
        </w:rPr>
        <w:t>, Torkel Opsahl Academic EPublisher, Beijing, 2012, 261.</w:t>
      </w:r>
    </w:p>
  </w:footnote>
  <w:footnote w:id="232">
    <w:p w14:paraId="01D8466A"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Peskin V, ‘Caution and Confrontation in the International Criminal Court's Pursuit of Accountability in Uganda and Sudan’ 31 </w:t>
      </w:r>
      <w:r w:rsidRPr="0094199B">
        <w:rPr>
          <w:rStyle w:val="None"/>
          <w:rFonts w:ascii="Times New Roman" w:hAnsi="Times New Roman" w:cs="Times New Roman"/>
          <w:i/>
          <w:iCs/>
        </w:rPr>
        <w:t>Human Rights Quarterly</w:t>
      </w:r>
      <w:r w:rsidRPr="0094199B">
        <w:rPr>
          <w:rStyle w:val="None"/>
          <w:rFonts w:ascii="Times New Roman" w:hAnsi="Times New Roman" w:cs="Times New Roman"/>
        </w:rPr>
        <w:t xml:space="preserve"> 3, 2009, 670-671.</w:t>
      </w:r>
    </w:p>
  </w:footnote>
  <w:footnote w:id="233">
    <w:p w14:paraId="61120F8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Peskin V, ‘Caution and Confrontation in the International Criminal Court's Pursuit of Accountability in Uganda and Sudan’ 670-671.</w:t>
      </w:r>
    </w:p>
  </w:footnote>
  <w:footnote w:id="234">
    <w:p w14:paraId="0CEA584F"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Inwood J, ‘Sudan crisis: Ex-President Omar al-Bashir moved to prison’ BBC News, 17 April 2019 </w:t>
      </w:r>
      <w:hyperlink r:id="rId67" w:history="1">
        <w:r w:rsidRPr="0094199B">
          <w:rPr>
            <w:rStyle w:val="Hyperlink5"/>
            <w:rFonts w:eastAsia="Calibri"/>
          </w:rPr>
          <w:t>https://www.bbc.com/news/world-africa-47961424</w:t>
        </w:r>
      </w:hyperlink>
      <w:r w:rsidRPr="0094199B">
        <w:rPr>
          <w:rStyle w:val="None"/>
          <w:rFonts w:ascii="Times New Roman" w:hAnsi="Times New Roman" w:cs="Times New Roman"/>
        </w:rPr>
        <w:t xml:space="preserve"> on 14 November 2019.</w:t>
      </w:r>
    </w:p>
  </w:footnote>
  <w:footnote w:id="235">
    <w:p w14:paraId="154A83E7"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Mangu A, ‘The International Criminal Court, Justice, Peace and the Fight against Impunity in Africa: An Overview’ 23.</w:t>
      </w:r>
    </w:p>
  </w:footnote>
  <w:footnote w:id="236">
    <w:p w14:paraId="66B2E70B"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Mangu A, ‘The International Criminal Court, Justice, Peace and the Fight against Impunity in Africa: An Overview’ 24.</w:t>
      </w:r>
    </w:p>
  </w:footnote>
  <w:footnote w:id="237">
    <w:p w14:paraId="78567EB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Shatku PS, ‘Interpretation and Application of Article 98 of the Rome Statute,’ 144.</w:t>
      </w:r>
    </w:p>
  </w:footnote>
  <w:footnote w:id="238">
    <w:p w14:paraId="2947232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Shatku PS, ‘Interpretation and Application of Article 98 of the Rome Statute,’ 144.</w:t>
      </w:r>
    </w:p>
  </w:footnote>
  <w:footnote w:id="239">
    <w:p w14:paraId="291C0A00"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Glaser C, </w:t>
      </w:r>
      <w:r w:rsidRPr="0094199B">
        <w:rPr>
          <w:rStyle w:val="None"/>
          <w:rFonts w:ascii="Times New Roman" w:hAnsi="Times New Roman" w:cs="Times New Roman"/>
          <w:i/>
          <w:iCs/>
        </w:rPr>
        <w:t>Rational Theory of International Politics: The Logic of Competition and Cooperation</w:t>
      </w:r>
      <w:r w:rsidRPr="0094199B">
        <w:rPr>
          <w:rStyle w:val="None"/>
          <w:rFonts w:ascii="Times New Roman" w:hAnsi="Times New Roman" w:cs="Times New Roman"/>
        </w:rPr>
        <w:t>, Princeton University Press, Princeton, 2011.</w:t>
      </w:r>
    </w:p>
  </w:footnote>
  <w:footnote w:id="240">
    <w:p w14:paraId="33B8676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Glaser C, </w:t>
      </w:r>
      <w:r w:rsidRPr="0094199B">
        <w:rPr>
          <w:rStyle w:val="None"/>
          <w:rFonts w:ascii="Times New Roman" w:hAnsi="Times New Roman" w:cs="Times New Roman"/>
          <w:i/>
          <w:iCs/>
        </w:rPr>
        <w:t>Rational Theory of International Politics: The Logic of Competition and Cooperation</w:t>
      </w:r>
      <w:r w:rsidRPr="0094199B">
        <w:rPr>
          <w:rStyle w:val="None"/>
          <w:rFonts w:ascii="Times New Roman" w:hAnsi="Times New Roman" w:cs="Times New Roman"/>
        </w:rPr>
        <w:t>, Princeton University Press, Princeton, 2011.</w:t>
      </w:r>
    </w:p>
  </w:footnote>
  <w:footnote w:id="241">
    <w:p w14:paraId="4462FC15"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Brown C, ‘Realism: rational or reasonable?’ 88 </w:t>
      </w:r>
      <w:r w:rsidRPr="0094199B">
        <w:rPr>
          <w:rStyle w:val="None"/>
          <w:rFonts w:ascii="Times New Roman" w:hAnsi="Times New Roman" w:cs="Times New Roman"/>
          <w:i/>
          <w:iCs/>
        </w:rPr>
        <w:t>International Affairs (Royal Institute of International Affairs</w:t>
      </w:r>
      <w:r w:rsidRPr="0094199B">
        <w:rPr>
          <w:rStyle w:val="None"/>
          <w:rFonts w:ascii="Times New Roman" w:hAnsi="Times New Roman" w:cs="Times New Roman"/>
        </w:rPr>
        <w:t>) 4, 2012, 864.</w:t>
      </w:r>
    </w:p>
  </w:footnote>
  <w:footnote w:id="242">
    <w:p w14:paraId="246D9789"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Mangu A, ‘The International Criminal Court, Justice, Peace and the Fight against Impunity in Africa: An Overview’ 23.</w:t>
      </w:r>
    </w:p>
  </w:footnote>
  <w:footnote w:id="243">
    <w:p w14:paraId="1B5B1772"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t>
      </w:r>
      <w:hyperlink r:id="rId68" w:history="1">
        <w:r w:rsidRPr="0094199B">
          <w:rPr>
            <w:rStyle w:val="Hyperlink5"/>
            <w:rFonts w:eastAsia="Calibri"/>
          </w:rPr>
          <w:t>https://iccforum.com/africa</w:t>
        </w:r>
      </w:hyperlink>
      <w:r w:rsidRPr="0094199B">
        <w:rPr>
          <w:rStyle w:val="None"/>
          <w:rFonts w:ascii="Times New Roman" w:hAnsi="Times New Roman" w:cs="Times New Roman"/>
        </w:rPr>
        <w:t xml:space="preserve"> on 16 November 2019.</w:t>
      </w:r>
    </w:p>
  </w:footnote>
  <w:footnote w:id="244">
    <w:p w14:paraId="109F3E7E" w14:textId="77777777" w:rsidR="00B2706C" w:rsidRPr="0094199B" w:rsidRDefault="00B2706C" w:rsidP="0094199B">
      <w:pPr>
        <w:pStyle w:val="FootnoteText"/>
        <w:jc w:val="both"/>
        <w:rPr>
          <w:rFonts w:ascii="Times New Roman" w:hAnsi="Times New Roman" w:cs="Times New Roman"/>
        </w:rPr>
      </w:pPr>
      <w:r w:rsidRPr="0094199B">
        <w:rPr>
          <w:rStyle w:val="None"/>
          <w:rFonts w:ascii="Times New Roman" w:hAnsi="Times New Roman" w:cs="Times New Roman"/>
          <w:vertAlign w:val="superscript"/>
        </w:rPr>
        <w:footnoteRef/>
      </w:r>
      <w:r w:rsidRPr="0094199B">
        <w:rPr>
          <w:rStyle w:val="None"/>
          <w:rFonts w:ascii="Times New Roman" w:hAnsi="Times New Roman" w:cs="Times New Roman"/>
        </w:rPr>
        <w:t xml:space="preserve"> </w:t>
      </w:r>
      <w:hyperlink r:id="rId69" w:history="1">
        <w:r w:rsidRPr="0094199B">
          <w:rPr>
            <w:rStyle w:val="Hyperlink5"/>
            <w:rFonts w:eastAsia="Calibri"/>
          </w:rPr>
          <w:t>https://iccforum.com/africa</w:t>
        </w:r>
      </w:hyperlink>
      <w:r w:rsidRPr="0094199B">
        <w:rPr>
          <w:rStyle w:val="None"/>
          <w:rFonts w:ascii="Times New Roman" w:hAnsi="Times New Roman" w:cs="Times New Roman"/>
        </w:rPr>
        <w:t xml:space="preserve"> on 16 November 2019.</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B559F6"/>
    <w:multiLevelType w:val="multilevel"/>
    <w:tmpl w:val="189A525E"/>
    <w:numStyleLink w:val="ImportedStyle1"/>
  </w:abstractNum>
  <w:abstractNum w:abstractNumId="1" w15:restartNumberingAfterBreak="0">
    <w:nsid w:val="10931AB9"/>
    <w:multiLevelType w:val="multilevel"/>
    <w:tmpl w:val="C924FA82"/>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 w15:restartNumberingAfterBreak="0">
    <w:nsid w:val="1B135976"/>
    <w:multiLevelType w:val="hybridMultilevel"/>
    <w:tmpl w:val="95A8C9B2"/>
    <w:numStyleLink w:val="ImportedStyle9"/>
  </w:abstractNum>
  <w:abstractNum w:abstractNumId="3" w15:restartNumberingAfterBreak="0">
    <w:nsid w:val="21E62434"/>
    <w:multiLevelType w:val="hybridMultilevel"/>
    <w:tmpl w:val="1E2E340C"/>
    <w:numStyleLink w:val="ImportedStyle4"/>
  </w:abstractNum>
  <w:abstractNum w:abstractNumId="4" w15:restartNumberingAfterBreak="0">
    <w:nsid w:val="251C6EA9"/>
    <w:multiLevelType w:val="hybridMultilevel"/>
    <w:tmpl w:val="D4882512"/>
    <w:numStyleLink w:val="ImportedStyle30"/>
  </w:abstractNum>
  <w:abstractNum w:abstractNumId="5" w15:restartNumberingAfterBreak="0">
    <w:nsid w:val="26165CA6"/>
    <w:multiLevelType w:val="hybridMultilevel"/>
    <w:tmpl w:val="0C7C70CE"/>
    <w:numStyleLink w:val="ImportedStyle6"/>
  </w:abstractNum>
  <w:abstractNum w:abstractNumId="6" w15:restartNumberingAfterBreak="0">
    <w:nsid w:val="2B410A81"/>
    <w:multiLevelType w:val="hybridMultilevel"/>
    <w:tmpl w:val="D0E0A648"/>
    <w:numStyleLink w:val="ImportedStyle40"/>
  </w:abstractNum>
  <w:abstractNum w:abstractNumId="7" w15:restartNumberingAfterBreak="0">
    <w:nsid w:val="2F773418"/>
    <w:multiLevelType w:val="multilevel"/>
    <w:tmpl w:val="189A525E"/>
    <w:styleLink w:val="ImportedStyle1"/>
    <w:lvl w:ilvl="0">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start w:val="1"/>
      <w:numFmt w:val="decimal"/>
      <w:lvlText w:val="%2."/>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2">
      <w:start w:val="1"/>
      <w:numFmt w:val="decimal"/>
      <w:lvlText w:val="%2.%3."/>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3">
      <w:start w:val="1"/>
      <w:numFmt w:val="decimal"/>
      <w:lvlText w:val="%2.%3.%4."/>
      <w:lvlJc w:val="left"/>
      <w:pPr>
        <w:ind w:left="720" w:hanging="720"/>
      </w:pPr>
      <w:rPr>
        <w:rFonts w:hAnsi="Arial Unicode MS"/>
        <w:caps w:val="0"/>
        <w:smallCaps w:val="0"/>
        <w:strike w:val="0"/>
        <w:dstrike w:val="0"/>
        <w:outline w:val="0"/>
        <w:emboss w:val="0"/>
        <w:imprint w:val="0"/>
        <w:spacing w:val="0"/>
        <w:w w:val="100"/>
        <w:kern w:val="0"/>
        <w:position w:val="0"/>
        <w:highlight w:val="none"/>
        <w:vertAlign w:val="baseline"/>
      </w:rPr>
    </w:lvl>
    <w:lvl w:ilvl="4">
      <w:start w:val="1"/>
      <w:numFmt w:val="decimal"/>
      <w:lvlText w:val="%2.%3.%4.%5."/>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5">
      <w:start w:val="1"/>
      <w:numFmt w:val="decimal"/>
      <w:lvlText w:val="%2.%3.%4.%5.%6."/>
      <w:lvlJc w:val="left"/>
      <w:pPr>
        <w:ind w:left="1080" w:hanging="1080"/>
      </w:pPr>
      <w:rPr>
        <w:rFonts w:hAnsi="Arial Unicode MS"/>
        <w:caps w:val="0"/>
        <w:smallCaps w:val="0"/>
        <w:strike w:val="0"/>
        <w:dstrike w:val="0"/>
        <w:outline w:val="0"/>
        <w:emboss w:val="0"/>
        <w:imprint w:val="0"/>
        <w:spacing w:val="0"/>
        <w:w w:val="100"/>
        <w:kern w:val="0"/>
        <w:position w:val="0"/>
        <w:highlight w:val="none"/>
        <w:vertAlign w:val="baseline"/>
      </w:rPr>
    </w:lvl>
    <w:lvl w:ilvl="6">
      <w:start w:val="1"/>
      <w:numFmt w:val="decimal"/>
      <w:lvlText w:val="%2.%3.%4.%5.%6.%7."/>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7">
      <w:start w:val="1"/>
      <w:numFmt w:val="decimal"/>
      <w:lvlText w:val="%2.%3.%4.%5.%6.%7.%8."/>
      <w:lvlJc w:val="left"/>
      <w:pPr>
        <w:ind w:left="1440" w:hanging="1440"/>
      </w:pPr>
      <w:rPr>
        <w:rFonts w:hAnsi="Arial Unicode MS"/>
        <w:caps w:val="0"/>
        <w:smallCaps w:val="0"/>
        <w:strike w:val="0"/>
        <w:dstrike w:val="0"/>
        <w:outline w:val="0"/>
        <w:emboss w:val="0"/>
        <w:imprint w:val="0"/>
        <w:spacing w:val="0"/>
        <w:w w:val="100"/>
        <w:kern w:val="0"/>
        <w:position w:val="0"/>
        <w:highlight w:val="none"/>
        <w:vertAlign w:val="baseline"/>
      </w:rPr>
    </w:lvl>
    <w:lvl w:ilvl="8">
      <w:start w:val="1"/>
      <w:numFmt w:val="decimal"/>
      <w:suff w:val="nothing"/>
      <w:lvlText w:val="%2.%3.%4.%5.%6.%7.%8.%9."/>
      <w:lvlJc w:val="left"/>
      <w:pPr>
        <w:ind w:left="120" w:hanging="12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37C23D3C"/>
    <w:multiLevelType w:val="hybridMultilevel"/>
    <w:tmpl w:val="D4882512"/>
    <w:styleLink w:val="ImportedStyle30"/>
    <w:lvl w:ilvl="0" w:tplc="94B0B6C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B2B42870">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CF9659EE">
      <w:start w:val="1"/>
      <w:numFmt w:val="lowerRoman"/>
      <w:lvlText w:val="%3."/>
      <w:lvlJc w:val="left"/>
      <w:pPr>
        <w:ind w:left="180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5C0802C2">
      <w:start w:val="1"/>
      <w:numFmt w:val="decimal"/>
      <w:lvlText w:val="%4."/>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4836B84A">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80944E98">
      <w:start w:val="1"/>
      <w:numFmt w:val="lowerRoman"/>
      <w:lvlText w:val="%6."/>
      <w:lvlJc w:val="left"/>
      <w:pPr>
        <w:ind w:left="396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7FD47774">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283AC138">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3544BB56">
      <w:start w:val="1"/>
      <w:numFmt w:val="lowerRoman"/>
      <w:lvlText w:val="%9."/>
      <w:lvlJc w:val="left"/>
      <w:pPr>
        <w:ind w:left="612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456B6A02"/>
    <w:multiLevelType w:val="multilevel"/>
    <w:tmpl w:val="4BAC62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0" w15:restartNumberingAfterBreak="0">
    <w:nsid w:val="47195518"/>
    <w:multiLevelType w:val="hybridMultilevel"/>
    <w:tmpl w:val="8C16AAD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DF455AC"/>
    <w:multiLevelType w:val="hybridMultilevel"/>
    <w:tmpl w:val="D0E0A648"/>
    <w:styleLink w:val="ImportedStyle40"/>
    <w:lvl w:ilvl="0" w:tplc="9B8CC3CE">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DA2FAD8">
      <w:start w:val="1"/>
      <w:numFmt w:val="lowerLetter"/>
      <w:lvlText w:val="%2."/>
      <w:lvlJc w:val="left"/>
      <w:pPr>
        <w:ind w:left="144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FDB47278">
      <w:start w:val="1"/>
      <w:numFmt w:val="lowerRoman"/>
      <w:lvlText w:val="%3."/>
      <w:lvlJc w:val="left"/>
      <w:pPr>
        <w:ind w:left="216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E550AAAA">
      <w:start w:val="1"/>
      <w:numFmt w:val="decimal"/>
      <w:lvlText w:val="%4."/>
      <w:lvlJc w:val="left"/>
      <w:pPr>
        <w:ind w:left="288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A9524D1A">
      <w:start w:val="1"/>
      <w:numFmt w:val="lowerLetter"/>
      <w:lvlText w:val="%5."/>
      <w:lvlJc w:val="left"/>
      <w:pPr>
        <w:ind w:left="360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5BB82B34">
      <w:start w:val="1"/>
      <w:numFmt w:val="lowerRoman"/>
      <w:lvlText w:val="%6."/>
      <w:lvlJc w:val="left"/>
      <w:pPr>
        <w:ind w:left="432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AD3A20AE">
      <w:start w:val="1"/>
      <w:numFmt w:val="decimal"/>
      <w:lvlText w:val="%7."/>
      <w:lvlJc w:val="left"/>
      <w:pPr>
        <w:ind w:left="504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17C8D458">
      <w:start w:val="1"/>
      <w:numFmt w:val="lowerLetter"/>
      <w:lvlText w:val="%8."/>
      <w:lvlJc w:val="left"/>
      <w:pPr>
        <w:ind w:left="576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DA709ADE">
      <w:start w:val="1"/>
      <w:numFmt w:val="lowerRoman"/>
      <w:lvlText w:val="%9."/>
      <w:lvlJc w:val="left"/>
      <w:pPr>
        <w:ind w:left="648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2" w15:restartNumberingAfterBreak="0">
    <w:nsid w:val="529A1BAC"/>
    <w:multiLevelType w:val="hybridMultilevel"/>
    <w:tmpl w:val="3634C330"/>
    <w:numStyleLink w:val="ImportedStyle5"/>
  </w:abstractNum>
  <w:abstractNum w:abstractNumId="13" w15:restartNumberingAfterBreak="0">
    <w:nsid w:val="5B1F0AD4"/>
    <w:multiLevelType w:val="hybridMultilevel"/>
    <w:tmpl w:val="3634C330"/>
    <w:styleLink w:val="ImportedStyle5"/>
    <w:lvl w:ilvl="0" w:tplc="79949248">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3842BDE6">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D310B842">
      <w:start w:val="1"/>
      <w:numFmt w:val="lowerRoman"/>
      <w:lvlText w:val="%3."/>
      <w:lvlJc w:val="left"/>
      <w:pPr>
        <w:ind w:left="180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598A8C86">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874E1FE2">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7F28C4B6">
      <w:start w:val="1"/>
      <w:numFmt w:val="lowerRoman"/>
      <w:lvlText w:val="%6."/>
      <w:lvlJc w:val="left"/>
      <w:pPr>
        <w:ind w:left="396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ED2085D2">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018E8FC">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C922BE0E">
      <w:start w:val="1"/>
      <w:numFmt w:val="lowerRoman"/>
      <w:lvlText w:val="%9."/>
      <w:lvlJc w:val="left"/>
      <w:pPr>
        <w:ind w:left="612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4" w15:restartNumberingAfterBreak="0">
    <w:nsid w:val="5D24687F"/>
    <w:multiLevelType w:val="hybridMultilevel"/>
    <w:tmpl w:val="024A1754"/>
    <w:numStyleLink w:val="ImportedStyle7"/>
  </w:abstractNum>
  <w:abstractNum w:abstractNumId="15" w15:restartNumberingAfterBreak="0">
    <w:nsid w:val="60D233CD"/>
    <w:multiLevelType w:val="hybridMultilevel"/>
    <w:tmpl w:val="1E2E340C"/>
    <w:styleLink w:val="ImportedStyle4"/>
    <w:lvl w:ilvl="0" w:tplc="32821104">
      <w:start w:val="1"/>
      <w:numFmt w:val="bullet"/>
      <w:lvlText w:val="·"/>
      <w:lvlJc w:val="left"/>
      <w:pPr>
        <w:ind w:left="72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1" w:tplc="280801E2">
      <w:start w:val="1"/>
      <w:numFmt w:val="bullet"/>
      <w:lvlText w:val="o"/>
      <w:lvlJc w:val="left"/>
      <w:pPr>
        <w:ind w:left="144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2" w:tplc="B00C5FB8">
      <w:start w:val="1"/>
      <w:numFmt w:val="bullet"/>
      <w:lvlText w:val="▪"/>
      <w:lvlJc w:val="left"/>
      <w:pPr>
        <w:ind w:left="21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3" w:tplc="856058EC">
      <w:start w:val="1"/>
      <w:numFmt w:val="bullet"/>
      <w:lvlText w:val="·"/>
      <w:lvlJc w:val="left"/>
      <w:pPr>
        <w:ind w:left="288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4" w:tplc="AE64C67A">
      <w:start w:val="1"/>
      <w:numFmt w:val="bullet"/>
      <w:lvlText w:val="o"/>
      <w:lvlJc w:val="left"/>
      <w:pPr>
        <w:ind w:left="360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5" w:tplc="CFC2BC86">
      <w:start w:val="1"/>
      <w:numFmt w:val="bullet"/>
      <w:lvlText w:val="▪"/>
      <w:lvlJc w:val="left"/>
      <w:pPr>
        <w:ind w:left="432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6" w:tplc="D00A88EA">
      <w:start w:val="1"/>
      <w:numFmt w:val="bullet"/>
      <w:lvlText w:val="·"/>
      <w:lvlJc w:val="left"/>
      <w:pPr>
        <w:ind w:left="5040" w:hanging="360"/>
      </w:pPr>
      <w:rPr>
        <w:rFonts w:ascii="Symbol" w:eastAsia="Symbol" w:hAnsi="Symbol" w:cs="Symbol"/>
        <w:b w:val="0"/>
        <w:bCs w:val="0"/>
        <w:i w:val="0"/>
        <w:iCs w:val="0"/>
        <w:caps w:val="0"/>
        <w:smallCaps w:val="0"/>
        <w:strike w:val="0"/>
        <w:dstrike w:val="0"/>
        <w:outline w:val="0"/>
        <w:emboss w:val="0"/>
        <w:imprint w:val="0"/>
        <w:spacing w:val="0"/>
        <w:w w:val="100"/>
        <w:kern w:val="0"/>
        <w:position w:val="0"/>
        <w:highlight w:val="none"/>
        <w:vertAlign w:val="baseline"/>
      </w:rPr>
    </w:lvl>
    <w:lvl w:ilvl="7" w:tplc="E180797A">
      <w:start w:val="1"/>
      <w:numFmt w:val="bullet"/>
      <w:lvlText w:val="o"/>
      <w:lvlJc w:val="left"/>
      <w:pPr>
        <w:ind w:left="576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lvl w:ilvl="8" w:tplc="C722E4FC">
      <w:start w:val="1"/>
      <w:numFmt w:val="bullet"/>
      <w:lvlText w:val="▪"/>
      <w:lvlJc w:val="left"/>
      <w:pPr>
        <w:ind w:left="6480" w:hanging="360"/>
      </w:pPr>
      <w:rPr>
        <w:rFonts w:ascii="Arial Unicode MS" w:eastAsia="Arial Unicode MS" w:hAnsi="Arial Unicode MS" w:cs="Arial Unicode MS"/>
        <w:b w:val="0"/>
        <w:bCs w:val="0"/>
        <w:i w:val="0"/>
        <w:iCs w:val="0"/>
        <w:caps w:val="0"/>
        <w:smallCaps w:val="0"/>
        <w:strike w:val="0"/>
        <w:dstrike w:val="0"/>
        <w:outline w:val="0"/>
        <w:emboss w:val="0"/>
        <w:imprint w:val="0"/>
        <w:spacing w:val="0"/>
        <w:w w:val="100"/>
        <w:kern w:val="0"/>
        <w:position w:val="0"/>
        <w:highlight w:val="none"/>
        <w:vertAlign w:val="baseline"/>
      </w:rPr>
    </w:lvl>
  </w:abstractNum>
  <w:abstractNum w:abstractNumId="16" w15:restartNumberingAfterBreak="0">
    <w:nsid w:val="644B4B65"/>
    <w:multiLevelType w:val="hybridMultilevel"/>
    <w:tmpl w:val="D02A8294"/>
    <w:numStyleLink w:val="Numbered"/>
  </w:abstractNum>
  <w:abstractNum w:abstractNumId="17" w15:restartNumberingAfterBreak="0">
    <w:nsid w:val="67AD1E92"/>
    <w:multiLevelType w:val="hybridMultilevel"/>
    <w:tmpl w:val="024A1754"/>
    <w:styleLink w:val="ImportedStyle7"/>
    <w:lvl w:ilvl="0" w:tplc="411E827A">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253E2F1A">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870E9E6E">
      <w:start w:val="1"/>
      <w:numFmt w:val="lowerRoman"/>
      <w:lvlText w:val="%3."/>
      <w:lvlJc w:val="left"/>
      <w:pPr>
        <w:ind w:left="180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8D2EB652">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EAAEB96E">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39BC754E">
      <w:start w:val="1"/>
      <w:numFmt w:val="lowerRoman"/>
      <w:lvlText w:val="%6."/>
      <w:lvlJc w:val="left"/>
      <w:pPr>
        <w:ind w:left="396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8F2ADE40">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FD04187C">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B834462A">
      <w:start w:val="1"/>
      <w:numFmt w:val="lowerRoman"/>
      <w:lvlText w:val="%9."/>
      <w:lvlJc w:val="left"/>
      <w:pPr>
        <w:ind w:left="6120" w:hanging="300"/>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18" w15:restartNumberingAfterBreak="0">
    <w:nsid w:val="699079E5"/>
    <w:multiLevelType w:val="hybridMultilevel"/>
    <w:tmpl w:val="0C7C70CE"/>
    <w:styleLink w:val="ImportedStyle6"/>
    <w:lvl w:ilvl="0" w:tplc="0480FEE2">
      <w:start w:val="1"/>
      <w:numFmt w:val="decimal"/>
      <w:lvlText w:val="%1."/>
      <w:lvlJc w:val="left"/>
      <w:pPr>
        <w:ind w:left="330" w:hanging="330"/>
      </w:pPr>
      <w:rPr>
        <w:rFonts w:hAnsi="Arial Unicode MS"/>
        <w:caps w:val="0"/>
        <w:smallCaps w:val="0"/>
        <w:strike w:val="0"/>
        <w:dstrike w:val="0"/>
        <w:outline w:val="0"/>
        <w:emboss w:val="0"/>
        <w:imprint w:val="0"/>
        <w:spacing w:val="0"/>
        <w:w w:val="100"/>
        <w:kern w:val="0"/>
        <w:position w:val="0"/>
        <w:highlight w:val="none"/>
        <w:vertAlign w:val="baseline"/>
      </w:rPr>
    </w:lvl>
    <w:lvl w:ilvl="1" w:tplc="DAFC7F2C">
      <w:start w:val="1"/>
      <w:numFmt w:val="lowerLetter"/>
      <w:lvlText w:val="%2."/>
      <w:lvlJc w:val="left"/>
      <w:pPr>
        <w:ind w:left="105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2" w:tplc="358A4850">
      <w:start w:val="1"/>
      <w:numFmt w:val="lowerRoman"/>
      <w:lvlText w:val="%3."/>
      <w:lvlJc w:val="left"/>
      <w:pPr>
        <w:ind w:left="177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3" w:tplc="B398534E">
      <w:start w:val="1"/>
      <w:numFmt w:val="decimal"/>
      <w:lvlText w:val="%4."/>
      <w:lvlJc w:val="left"/>
      <w:pPr>
        <w:ind w:left="249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4" w:tplc="374000B4">
      <w:start w:val="1"/>
      <w:numFmt w:val="lowerLetter"/>
      <w:lvlText w:val="%5."/>
      <w:lvlJc w:val="left"/>
      <w:pPr>
        <w:ind w:left="321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5" w:tplc="6E426DCC">
      <w:start w:val="1"/>
      <w:numFmt w:val="lowerRoman"/>
      <w:lvlText w:val="%6."/>
      <w:lvlJc w:val="left"/>
      <w:pPr>
        <w:ind w:left="393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6" w:tplc="8FDEB6FC">
      <w:start w:val="1"/>
      <w:numFmt w:val="decimal"/>
      <w:lvlText w:val="%7."/>
      <w:lvlJc w:val="left"/>
      <w:pPr>
        <w:ind w:left="465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7" w:tplc="56A8E198">
      <w:start w:val="1"/>
      <w:numFmt w:val="lowerLetter"/>
      <w:lvlText w:val="%8."/>
      <w:lvlJc w:val="left"/>
      <w:pPr>
        <w:ind w:left="5370" w:hanging="330"/>
      </w:pPr>
      <w:rPr>
        <w:rFonts w:hAnsi="Arial Unicode MS"/>
        <w:caps w:val="0"/>
        <w:smallCaps w:val="0"/>
        <w:strike w:val="0"/>
        <w:dstrike w:val="0"/>
        <w:outline w:val="0"/>
        <w:emboss w:val="0"/>
        <w:imprint w:val="0"/>
        <w:spacing w:val="0"/>
        <w:w w:val="100"/>
        <w:kern w:val="0"/>
        <w:position w:val="0"/>
        <w:sz w:val="22"/>
        <w:szCs w:val="22"/>
        <w:highlight w:val="none"/>
        <w:vertAlign w:val="baseline"/>
      </w:rPr>
    </w:lvl>
    <w:lvl w:ilvl="8" w:tplc="1B06F4E0">
      <w:start w:val="1"/>
      <w:numFmt w:val="lowerRoman"/>
      <w:lvlText w:val="%9."/>
      <w:lvlJc w:val="left"/>
      <w:pPr>
        <w:ind w:left="6096" w:hanging="266"/>
      </w:pPr>
      <w:rPr>
        <w:rFonts w:hAnsi="Arial Unicode MS"/>
        <w:caps w:val="0"/>
        <w:smallCaps w:val="0"/>
        <w:strike w:val="0"/>
        <w:dstrike w:val="0"/>
        <w:outline w:val="0"/>
        <w:emboss w:val="0"/>
        <w:imprint w:val="0"/>
        <w:spacing w:val="0"/>
        <w:w w:val="100"/>
        <w:kern w:val="0"/>
        <w:position w:val="0"/>
        <w:sz w:val="22"/>
        <w:szCs w:val="22"/>
        <w:highlight w:val="none"/>
        <w:vertAlign w:val="baseline"/>
      </w:rPr>
    </w:lvl>
  </w:abstractNum>
  <w:abstractNum w:abstractNumId="19" w15:restartNumberingAfterBreak="0">
    <w:nsid w:val="6D9240E9"/>
    <w:multiLevelType w:val="hybridMultilevel"/>
    <w:tmpl w:val="D02A8294"/>
    <w:styleLink w:val="Numbered"/>
    <w:lvl w:ilvl="0" w:tplc="CE204CF4">
      <w:start w:val="1"/>
      <w:numFmt w:val="decimal"/>
      <w:lvlText w:val="%1."/>
      <w:lvlJc w:val="left"/>
      <w:pPr>
        <w:ind w:left="253" w:hanging="253"/>
      </w:pPr>
      <w:rPr>
        <w:rFonts w:hAnsi="Arial Unicode MS"/>
        <w:caps w:val="0"/>
        <w:smallCaps w:val="0"/>
        <w:strike w:val="0"/>
        <w:dstrike w:val="0"/>
        <w:outline w:val="0"/>
        <w:emboss w:val="0"/>
        <w:imprint w:val="0"/>
        <w:spacing w:val="0"/>
        <w:w w:val="100"/>
        <w:kern w:val="0"/>
        <w:position w:val="0"/>
        <w:highlight w:val="none"/>
        <w:vertAlign w:val="baseline"/>
      </w:rPr>
    </w:lvl>
    <w:lvl w:ilvl="1" w:tplc="9C7CA76A">
      <w:start w:val="1"/>
      <w:numFmt w:val="decimal"/>
      <w:lvlText w:val="%2."/>
      <w:lvlJc w:val="left"/>
      <w:pPr>
        <w:ind w:left="1053" w:hanging="253"/>
      </w:pPr>
      <w:rPr>
        <w:rFonts w:hAnsi="Arial Unicode MS"/>
        <w:caps w:val="0"/>
        <w:smallCaps w:val="0"/>
        <w:strike w:val="0"/>
        <w:dstrike w:val="0"/>
        <w:outline w:val="0"/>
        <w:emboss w:val="0"/>
        <w:imprint w:val="0"/>
        <w:spacing w:val="0"/>
        <w:w w:val="100"/>
        <w:kern w:val="0"/>
        <w:position w:val="0"/>
        <w:highlight w:val="none"/>
        <w:vertAlign w:val="baseline"/>
      </w:rPr>
    </w:lvl>
    <w:lvl w:ilvl="2" w:tplc="F8F8053A">
      <w:start w:val="1"/>
      <w:numFmt w:val="decimal"/>
      <w:lvlText w:val="%3."/>
      <w:lvlJc w:val="left"/>
      <w:pPr>
        <w:ind w:left="1853" w:hanging="253"/>
      </w:pPr>
      <w:rPr>
        <w:rFonts w:hAnsi="Arial Unicode MS"/>
        <w:caps w:val="0"/>
        <w:smallCaps w:val="0"/>
        <w:strike w:val="0"/>
        <w:dstrike w:val="0"/>
        <w:outline w:val="0"/>
        <w:emboss w:val="0"/>
        <w:imprint w:val="0"/>
        <w:spacing w:val="0"/>
        <w:w w:val="100"/>
        <w:kern w:val="0"/>
        <w:position w:val="0"/>
        <w:highlight w:val="none"/>
        <w:vertAlign w:val="baseline"/>
      </w:rPr>
    </w:lvl>
    <w:lvl w:ilvl="3" w:tplc="E97000C6">
      <w:start w:val="1"/>
      <w:numFmt w:val="decimal"/>
      <w:lvlText w:val="%4."/>
      <w:lvlJc w:val="left"/>
      <w:pPr>
        <w:ind w:left="2653" w:hanging="253"/>
      </w:pPr>
      <w:rPr>
        <w:rFonts w:hAnsi="Arial Unicode MS"/>
        <w:caps w:val="0"/>
        <w:smallCaps w:val="0"/>
        <w:strike w:val="0"/>
        <w:dstrike w:val="0"/>
        <w:outline w:val="0"/>
        <w:emboss w:val="0"/>
        <w:imprint w:val="0"/>
        <w:spacing w:val="0"/>
        <w:w w:val="100"/>
        <w:kern w:val="0"/>
        <w:position w:val="0"/>
        <w:highlight w:val="none"/>
        <w:vertAlign w:val="baseline"/>
      </w:rPr>
    </w:lvl>
    <w:lvl w:ilvl="4" w:tplc="26AAA348">
      <w:start w:val="1"/>
      <w:numFmt w:val="decimal"/>
      <w:lvlText w:val="%5."/>
      <w:lvlJc w:val="left"/>
      <w:pPr>
        <w:ind w:left="3453" w:hanging="253"/>
      </w:pPr>
      <w:rPr>
        <w:rFonts w:hAnsi="Arial Unicode MS"/>
        <w:caps w:val="0"/>
        <w:smallCaps w:val="0"/>
        <w:strike w:val="0"/>
        <w:dstrike w:val="0"/>
        <w:outline w:val="0"/>
        <w:emboss w:val="0"/>
        <w:imprint w:val="0"/>
        <w:spacing w:val="0"/>
        <w:w w:val="100"/>
        <w:kern w:val="0"/>
        <w:position w:val="0"/>
        <w:highlight w:val="none"/>
        <w:vertAlign w:val="baseline"/>
      </w:rPr>
    </w:lvl>
    <w:lvl w:ilvl="5" w:tplc="694890BC">
      <w:start w:val="1"/>
      <w:numFmt w:val="decimal"/>
      <w:lvlText w:val="%6."/>
      <w:lvlJc w:val="left"/>
      <w:pPr>
        <w:ind w:left="4253" w:hanging="253"/>
      </w:pPr>
      <w:rPr>
        <w:rFonts w:hAnsi="Arial Unicode MS"/>
        <w:caps w:val="0"/>
        <w:smallCaps w:val="0"/>
        <w:strike w:val="0"/>
        <w:dstrike w:val="0"/>
        <w:outline w:val="0"/>
        <w:emboss w:val="0"/>
        <w:imprint w:val="0"/>
        <w:spacing w:val="0"/>
        <w:w w:val="100"/>
        <w:kern w:val="0"/>
        <w:position w:val="0"/>
        <w:highlight w:val="none"/>
        <w:vertAlign w:val="baseline"/>
      </w:rPr>
    </w:lvl>
    <w:lvl w:ilvl="6" w:tplc="1FFA2046">
      <w:start w:val="1"/>
      <w:numFmt w:val="decimal"/>
      <w:lvlText w:val="%7."/>
      <w:lvlJc w:val="left"/>
      <w:pPr>
        <w:ind w:left="5053" w:hanging="253"/>
      </w:pPr>
      <w:rPr>
        <w:rFonts w:hAnsi="Arial Unicode MS"/>
        <w:caps w:val="0"/>
        <w:smallCaps w:val="0"/>
        <w:strike w:val="0"/>
        <w:dstrike w:val="0"/>
        <w:outline w:val="0"/>
        <w:emboss w:val="0"/>
        <w:imprint w:val="0"/>
        <w:spacing w:val="0"/>
        <w:w w:val="100"/>
        <w:kern w:val="0"/>
        <w:position w:val="0"/>
        <w:highlight w:val="none"/>
        <w:vertAlign w:val="baseline"/>
      </w:rPr>
    </w:lvl>
    <w:lvl w:ilvl="7" w:tplc="6D9A106A">
      <w:start w:val="1"/>
      <w:numFmt w:val="decimal"/>
      <w:lvlText w:val="%8."/>
      <w:lvlJc w:val="left"/>
      <w:pPr>
        <w:ind w:left="5853" w:hanging="253"/>
      </w:pPr>
      <w:rPr>
        <w:rFonts w:hAnsi="Arial Unicode MS"/>
        <w:caps w:val="0"/>
        <w:smallCaps w:val="0"/>
        <w:strike w:val="0"/>
        <w:dstrike w:val="0"/>
        <w:outline w:val="0"/>
        <w:emboss w:val="0"/>
        <w:imprint w:val="0"/>
        <w:spacing w:val="0"/>
        <w:w w:val="100"/>
        <w:kern w:val="0"/>
        <w:position w:val="0"/>
        <w:highlight w:val="none"/>
        <w:vertAlign w:val="baseline"/>
      </w:rPr>
    </w:lvl>
    <w:lvl w:ilvl="8" w:tplc="013A7A32">
      <w:start w:val="1"/>
      <w:numFmt w:val="decimal"/>
      <w:lvlText w:val="%9."/>
      <w:lvlJc w:val="left"/>
      <w:pPr>
        <w:ind w:left="6653" w:hanging="253"/>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20" w15:restartNumberingAfterBreak="0">
    <w:nsid w:val="74E37F70"/>
    <w:multiLevelType w:val="hybridMultilevel"/>
    <w:tmpl w:val="95A8C9B2"/>
    <w:styleLink w:val="ImportedStyle9"/>
    <w:lvl w:ilvl="0" w:tplc="45A8ACC6">
      <w:start w:val="1"/>
      <w:numFmt w:val="decimal"/>
      <w:lvlText w:val="%1."/>
      <w:lvlJc w:val="left"/>
      <w:pPr>
        <w:ind w:left="360" w:hanging="360"/>
      </w:pPr>
      <w:rPr>
        <w:rFonts w:hAnsi="Arial Unicode MS"/>
        <w:caps w:val="0"/>
        <w:smallCaps w:val="0"/>
        <w:strike w:val="0"/>
        <w:dstrike w:val="0"/>
        <w:outline w:val="0"/>
        <w:emboss w:val="0"/>
        <w:imprint w:val="0"/>
        <w:spacing w:val="0"/>
        <w:w w:val="100"/>
        <w:kern w:val="0"/>
        <w:position w:val="0"/>
        <w:highlight w:val="none"/>
        <w:vertAlign w:val="baseline"/>
      </w:rPr>
    </w:lvl>
    <w:lvl w:ilvl="1" w:tplc="CD6AD5F8">
      <w:start w:val="1"/>
      <w:numFmt w:val="lowerLetter"/>
      <w:lvlText w:val="%2."/>
      <w:lvlJc w:val="left"/>
      <w:pPr>
        <w:ind w:left="1080" w:hanging="360"/>
      </w:pPr>
      <w:rPr>
        <w:rFonts w:hAnsi="Arial Unicode MS"/>
        <w:caps w:val="0"/>
        <w:smallCaps w:val="0"/>
        <w:strike w:val="0"/>
        <w:dstrike w:val="0"/>
        <w:outline w:val="0"/>
        <w:emboss w:val="0"/>
        <w:imprint w:val="0"/>
        <w:spacing w:val="0"/>
        <w:w w:val="100"/>
        <w:kern w:val="0"/>
        <w:position w:val="0"/>
        <w:highlight w:val="none"/>
        <w:vertAlign w:val="baseline"/>
      </w:rPr>
    </w:lvl>
    <w:lvl w:ilvl="2" w:tplc="2F44ADCA">
      <w:start w:val="1"/>
      <w:numFmt w:val="lowerRoman"/>
      <w:lvlText w:val="%3."/>
      <w:lvlJc w:val="left"/>
      <w:pPr>
        <w:ind w:left="1800" w:hanging="300"/>
      </w:pPr>
      <w:rPr>
        <w:rFonts w:hAnsi="Arial Unicode MS"/>
        <w:caps w:val="0"/>
        <w:smallCaps w:val="0"/>
        <w:strike w:val="0"/>
        <w:dstrike w:val="0"/>
        <w:outline w:val="0"/>
        <w:emboss w:val="0"/>
        <w:imprint w:val="0"/>
        <w:spacing w:val="0"/>
        <w:w w:val="100"/>
        <w:kern w:val="0"/>
        <w:position w:val="0"/>
        <w:highlight w:val="none"/>
        <w:vertAlign w:val="baseline"/>
      </w:rPr>
    </w:lvl>
    <w:lvl w:ilvl="3" w:tplc="C928BD3A">
      <w:start w:val="1"/>
      <w:numFmt w:val="decimal"/>
      <w:lvlText w:val="%4."/>
      <w:lvlJc w:val="left"/>
      <w:pPr>
        <w:ind w:left="2520" w:hanging="360"/>
      </w:pPr>
      <w:rPr>
        <w:rFonts w:hAnsi="Arial Unicode MS"/>
        <w:caps w:val="0"/>
        <w:smallCaps w:val="0"/>
        <w:strike w:val="0"/>
        <w:dstrike w:val="0"/>
        <w:outline w:val="0"/>
        <w:emboss w:val="0"/>
        <w:imprint w:val="0"/>
        <w:spacing w:val="0"/>
        <w:w w:val="100"/>
        <w:kern w:val="0"/>
        <w:position w:val="0"/>
        <w:highlight w:val="none"/>
        <w:vertAlign w:val="baseline"/>
      </w:rPr>
    </w:lvl>
    <w:lvl w:ilvl="4" w:tplc="CABE54A4">
      <w:start w:val="1"/>
      <w:numFmt w:val="lowerLetter"/>
      <w:lvlText w:val="%5."/>
      <w:lvlJc w:val="left"/>
      <w:pPr>
        <w:ind w:left="3240" w:hanging="360"/>
      </w:pPr>
      <w:rPr>
        <w:rFonts w:hAnsi="Arial Unicode MS"/>
        <w:caps w:val="0"/>
        <w:smallCaps w:val="0"/>
        <w:strike w:val="0"/>
        <w:dstrike w:val="0"/>
        <w:outline w:val="0"/>
        <w:emboss w:val="0"/>
        <w:imprint w:val="0"/>
        <w:spacing w:val="0"/>
        <w:w w:val="100"/>
        <w:kern w:val="0"/>
        <w:position w:val="0"/>
        <w:highlight w:val="none"/>
        <w:vertAlign w:val="baseline"/>
      </w:rPr>
    </w:lvl>
    <w:lvl w:ilvl="5" w:tplc="A85C7C3C">
      <w:start w:val="1"/>
      <w:numFmt w:val="lowerRoman"/>
      <w:lvlText w:val="%6."/>
      <w:lvlJc w:val="left"/>
      <w:pPr>
        <w:ind w:left="3960" w:hanging="300"/>
      </w:pPr>
      <w:rPr>
        <w:rFonts w:hAnsi="Arial Unicode MS"/>
        <w:caps w:val="0"/>
        <w:smallCaps w:val="0"/>
        <w:strike w:val="0"/>
        <w:dstrike w:val="0"/>
        <w:outline w:val="0"/>
        <w:emboss w:val="0"/>
        <w:imprint w:val="0"/>
        <w:spacing w:val="0"/>
        <w:w w:val="100"/>
        <w:kern w:val="0"/>
        <w:position w:val="0"/>
        <w:highlight w:val="none"/>
        <w:vertAlign w:val="baseline"/>
      </w:rPr>
    </w:lvl>
    <w:lvl w:ilvl="6" w:tplc="8B70CBFE">
      <w:start w:val="1"/>
      <w:numFmt w:val="decimal"/>
      <w:lvlText w:val="%7."/>
      <w:lvlJc w:val="left"/>
      <w:pPr>
        <w:ind w:left="4680" w:hanging="360"/>
      </w:pPr>
      <w:rPr>
        <w:rFonts w:hAnsi="Arial Unicode MS"/>
        <w:caps w:val="0"/>
        <w:smallCaps w:val="0"/>
        <w:strike w:val="0"/>
        <w:dstrike w:val="0"/>
        <w:outline w:val="0"/>
        <w:emboss w:val="0"/>
        <w:imprint w:val="0"/>
        <w:spacing w:val="0"/>
        <w:w w:val="100"/>
        <w:kern w:val="0"/>
        <w:position w:val="0"/>
        <w:highlight w:val="none"/>
        <w:vertAlign w:val="baseline"/>
      </w:rPr>
    </w:lvl>
    <w:lvl w:ilvl="7" w:tplc="7E923728">
      <w:start w:val="1"/>
      <w:numFmt w:val="lowerLetter"/>
      <w:lvlText w:val="%8."/>
      <w:lvlJc w:val="left"/>
      <w:pPr>
        <w:ind w:left="5400" w:hanging="360"/>
      </w:pPr>
      <w:rPr>
        <w:rFonts w:hAnsi="Arial Unicode MS"/>
        <w:caps w:val="0"/>
        <w:smallCaps w:val="0"/>
        <w:strike w:val="0"/>
        <w:dstrike w:val="0"/>
        <w:outline w:val="0"/>
        <w:emboss w:val="0"/>
        <w:imprint w:val="0"/>
        <w:spacing w:val="0"/>
        <w:w w:val="100"/>
        <w:kern w:val="0"/>
        <w:position w:val="0"/>
        <w:highlight w:val="none"/>
        <w:vertAlign w:val="baseline"/>
      </w:rPr>
    </w:lvl>
    <w:lvl w:ilvl="8" w:tplc="4A4C962C">
      <w:start w:val="1"/>
      <w:numFmt w:val="lowerRoman"/>
      <w:lvlText w:val="%9."/>
      <w:lvlJc w:val="left"/>
      <w:pPr>
        <w:ind w:left="6120" w:hanging="300"/>
      </w:pPr>
      <w:rPr>
        <w:rFonts w:hAnsi="Arial Unicode MS"/>
        <w:caps w:val="0"/>
        <w:smallCaps w:val="0"/>
        <w:strike w:val="0"/>
        <w:dstrike w:val="0"/>
        <w:outline w:val="0"/>
        <w:emboss w:val="0"/>
        <w:imprint w:val="0"/>
        <w:spacing w:val="0"/>
        <w:w w:val="100"/>
        <w:kern w:val="0"/>
        <w:position w:val="0"/>
        <w:highlight w:val="none"/>
        <w:vertAlign w:val="baseline"/>
      </w:rPr>
    </w:lvl>
  </w:abstractNum>
  <w:num w:numId="1">
    <w:abstractNumId w:val="1"/>
  </w:num>
  <w:num w:numId="2">
    <w:abstractNumId w:val="7"/>
  </w:num>
  <w:num w:numId="3">
    <w:abstractNumId w:val="0"/>
  </w:num>
  <w:num w:numId="4">
    <w:abstractNumId w:val="15"/>
  </w:num>
  <w:num w:numId="5">
    <w:abstractNumId w:val="3"/>
  </w:num>
  <w:num w:numId="6">
    <w:abstractNumId w:val="8"/>
  </w:num>
  <w:num w:numId="7">
    <w:abstractNumId w:val="4"/>
  </w:num>
  <w:num w:numId="8">
    <w:abstractNumId w:val="11"/>
  </w:num>
  <w:num w:numId="9">
    <w:abstractNumId w:val="6"/>
  </w:num>
  <w:num w:numId="10">
    <w:abstractNumId w:val="13"/>
  </w:num>
  <w:num w:numId="11">
    <w:abstractNumId w:val="12"/>
  </w:num>
  <w:num w:numId="12">
    <w:abstractNumId w:val="19"/>
  </w:num>
  <w:num w:numId="13">
    <w:abstractNumId w:val="16"/>
  </w:num>
  <w:num w:numId="14">
    <w:abstractNumId w:val="16"/>
    <w:lvlOverride w:ilvl="0">
      <w:lvl w:ilvl="0" w:tplc="1BBAF4A6">
        <w:start w:val="1"/>
        <w:numFmt w:val="decimal"/>
        <w:lvlText w:val="%1."/>
        <w:lvlJc w:val="left"/>
        <w:pPr>
          <w:ind w:left="25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1">
      <w:lvl w:ilvl="1" w:tplc="15D29420">
        <w:start w:val="1"/>
        <w:numFmt w:val="decimal"/>
        <w:lvlText w:val="%2."/>
        <w:lvlJc w:val="left"/>
        <w:pPr>
          <w:ind w:left="27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2">
      <w:lvl w:ilvl="2" w:tplc="04B60E14">
        <w:start w:val="1"/>
        <w:numFmt w:val="decimal"/>
        <w:lvlText w:val="%3."/>
        <w:lvlJc w:val="left"/>
        <w:pPr>
          <w:ind w:left="29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3">
      <w:lvl w:ilvl="3" w:tplc="526A2B80">
        <w:start w:val="1"/>
        <w:numFmt w:val="decimal"/>
        <w:lvlText w:val="%4."/>
        <w:lvlJc w:val="left"/>
        <w:pPr>
          <w:ind w:left="31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4">
      <w:lvl w:ilvl="4" w:tplc="573CF23E">
        <w:start w:val="1"/>
        <w:numFmt w:val="decimal"/>
        <w:lvlText w:val="%5."/>
        <w:lvlJc w:val="left"/>
        <w:pPr>
          <w:ind w:left="33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5">
      <w:lvl w:ilvl="5" w:tplc="EEFAACA2">
        <w:start w:val="1"/>
        <w:numFmt w:val="decimal"/>
        <w:lvlText w:val="%6."/>
        <w:lvlJc w:val="left"/>
        <w:pPr>
          <w:ind w:left="35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6">
      <w:lvl w:ilvl="6" w:tplc="61BE09C4">
        <w:start w:val="1"/>
        <w:numFmt w:val="decimal"/>
        <w:lvlText w:val="%7."/>
        <w:lvlJc w:val="left"/>
        <w:pPr>
          <w:ind w:left="37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7">
      <w:lvl w:ilvl="7" w:tplc="20F2649E">
        <w:start w:val="1"/>
        <w:numFmt w:val="decimal"/>
        <w:lvlText w:val="%8."/>
        <w:lvlJc w:val="left"/>
        <w:pPr>
          <w:ind w:left="39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lvlOverride w:ilvl="8">
      <w:lvl w:ilvl="8" w:tplc="830E59F0">
        <w:start w:val="1"/>
        <w:numFmt w:val="decimal"/>
        <w:lvlText w:val="%9."/>
        <w:lvlJc w:val="left"/>
        <w:pPr>
          <w:ind w:left="413" w:hanging="233"/>
        </w:pPr>
        <w:rPr>
          <w:rFonts w:ascii="Times New Roman" w:eastAsia="Times New Roman" w:hAnsi="Times New Roman" w:cs="Times New Roman"/>
          <w:b w:val="0"/>
          <w:bCs w:val="0"/>
          <w:i w:val="0"/>
          <w:iCs w:val="0"/>
          <w:caps w:val="0"/>
          <w:smallCaps w:val="0"/>
          <w:strike w:val="0"/>
          <w:dstrike w:val="0"/>
          <w:outline w:val="0"/>
          <w:emboss w:val="0"/>
          <w:imprint w:val="0"/>
          <w:color w:val="000000"/>
          <w:spacing w:val="0"/>
          <w:w w:val="100"/>
          <w:kern w:val="0"/>
          <w:position w:val="0"/>
          <w:highlight w:val="none"/>
          <w:vertAlign w:val="baseline"/>
        </w:rPr>
      </w:lvl>
    </w:lvlOverride>
  </w:num>
  <w:num w:numId="15">
    <w:abstractNumId w:val="18"/>
  </w:num>
  <w:num w:numId="16">
    <w:abstractNumId w:val="5"/>
  </w:num>
  <w:num w:numId="17">
    <w:abstractNumId w:val="17"/>
  </w:num>
  <w:num w:numId="18">
    <w:abstractNumId w:val="14"/>
  </w:num>
  <w:num w:numId="19">
    <w:abstractNumId w:val="20"/>
  </w:num>
  <w:num w:numId="20">
    <w:abstractNumId w:val="2"/>
  </w:num>
  <w:num w:numId="21">
    <w:abstractNumId w:val="10"/>
  </w:num>
  <w:num w:numId="2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isplayBackgroundShape/>
  <w:defaultTabStop w:val="720"/>
  <w:characterSpacingControl w:val="doNotCompress"/>
  <w:hdrShapeDefaults>
    <o:shapedefaults v:ext="edit" spidmax="2049"/>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B7948"/>
    <w:rsid w:val="00100B06"/>
    <w:rsid w:val="001B7948"/>
    <w:rsid w:val="00241DA2"/>
    <w:rsid w:val="002A0C01"/>
    <w:rsid w:val="00512CBB"/>
    <w:rsid w:val="0064665A"/>
    <w:rsid w:val="008123CA"/>
    <w:rsid w:val="00940D9A"/>
    <w:rsid w:val="0094199B"/>
    <w:rsid w:val="0096364E"/>
    <w:rsid w:val="00A010B2"/>
    <w:rsid w:val="00A70518"/>
    <w:rsid w:val="00B2706C"/>
    <w:rsid w:val="00C61A2E"/>
    <w:rsid w:val="00CF5440"/>
    <w:rsid w:val="00E24D3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36119B9A"/>
  <w15:docId w15:val="{00821104-FEBD-4573-8C3C-1587118573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Arial Unicode MS" w:hAnsi="Times New Roman" w:cs="Times New Roman"/>
        <w:bdr w:val="nil"/>
        <w:lang w:val="en-US" w:eastAsia="en-US" w:bidi="ar-SA"/>
      </w:rPr>
    </w:rPrDefault>
    <w:pPrDefault>
      <w:pPr>
        <w:pBdr>
          <w:top w:val="nil"/>
          <w:left w:val="nil"/>
          <w:bottom w:val="nil"/>
          <w:right w:val="nil"/>
          <w:between w:val="nil"/>
          <w:bar w:val="nil"/>
        </w:pBdr>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rPr>
      <w:sz w:val="24"/>
      <w:szCs w:val="24"/>
      <w:lang w:val="en-GB"/>
    </w:rPr>
  </w:style>
  <w:style w:type="paragraph" w:styleId="Heading2">
    <w:name w:val="heading 2"/>
    <w:next w:val="BodyA"/>
    <w:pPr>
      <w:keepNext/>
      <w:keepLines/>
      <w:spacing w:before="40" w:line="259" w:lineRule="auto"/>
      <w:outlineLvl w:val="1"/>
    </w:pPr>
    <w:rPr>
      <w:rFonts w:ascii="Calibri Light" w:eastAsia="Calibri Light" w:hAnsi="Calibri Light" w:cs="Calibri Light"/>
      <w:color w:val="2E74B5"/>
      <w:sz w:val="26"/>
      <w:szCs w:val="26"/>
      <w:u w:color="2E74B5"/>
      <w14:textOutline w14:w="12700" w14:cap="flat" w14:cmpd="sng" w14:algn="ctr">
        <w14:noFill/>
        <w14:prstDash w14:val="solid"/>
        <w14:miter w14:lim="400000"/>
      </w14:textOutline>
    </w:rPr>
  </w:style>
  <w:style w:type="paragraph" w:styleId="Heading3">
    <w:name w:val="heading 3"/>
    <w:next w:val="BodyA"/>
    <w:pPr>
      <w:keepNext/>
      <w:keepLines/>
      <w:spacing w:before="40" w:line="259" w:lineRule="auto"/>
      <w:outlineLvl w:val="2"/>
    </w:pPr>
    <w:rPr>
      <w:rFonts w:ascii="Calibri Light" w:eastAsia="Calibri Light" w:hAnsi="Calibri Light" w:cs="Calibri Light"/>
      <w:color w:val="1F4D78"/>
      <w:sz w:val="24"/>
      <w:szCs w:val="24"/>
      <w:u w:color="1F4D78"/>
      <w14:textOutline w14:w="12700" w14:cap="flat" w14:cmpd="sng" w14:algn="ctr">
        <w14:noFill/>
        <w14:prstDash w14:val="solid"/>
        <w14:miter w14:lim="400000"/>
      </w14:textOutline>
    </w:rPr>
  </w:style>
  <w:style w:type="paragraph" w:styleId="Heading4">
    <w:name w:val="heading 4"/>
    <w:next w:val="BodyBA"/>
    <w:pPr>
      <w:keepNext/>
      <w:keepLines/>
      <w:spacing w:before="40"/>
      <w:outlineLvl w:val="3"/>
    </w:pPr>
    <w:rPr>
      <w:rFonts w:ascii="Helvetica Neue" w:eastAsia="Helvetica Neue" w:hAnsi="Helvetica Neue" w:cs="Helvetica Neue"/>
      <w:i/>
      <w:iCs/>
      <w:color w:val="2E74B5"/>
      <w:sz w:val="24"/>
      <w:szCs w:val="24"/>
      <w:u w:color="2E74B5"/>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Pr>
      <w:u w:val="single"/>
    </w:rPr>
  </w:style>
  <w:style w:type="paragraph" w:customStyle="1" w:styleId="HeaderFooter">
    <w:name w:val="Header &amp; Footer"/>
    <w:pPr>
      <w:tabs>
        <w:tab w:val="right" w:pos="9020"/>
      </w:tabs>
    </w:pPr>
    <w:rPr>
      <w:rFonts w:ascii="Helvetica Neue" w:hAnsi="Helvetica Neue" w:cs="Arial Unicode MS"/>
      <w:color w:val="000000"/>
      <w:sz w:val="24"/>
      <w:szCs w:val="24"/>
      <w14:textOutline w14:w="0" w14:cap="flat" w14:cmpd="sng" w14:algn="ctr">
        <w14:noFill/>
        <w14:prstDash w14:val="solid"/>
        <w14:bevel/>
      </w14:textOutline>
    </w:rPr>
  </w:style>
  <w:style w:type="paragraph" w:styleId="Footer">
    <w:name w:val="footer"/>
    <w:link w:val="FooterChar"/>
    <w:uiPriority w:val="99"/>
    <w:pPr>
      <w:tabs>
        <w:tab w:val="center" w:pos="4680"/>
        <w:tab w:val="right" w:pos="9360"/>
      </w:tabs>
    </w:pPr>
    <w:rPr>
      <w:rFonts w:ascii="Calibri" w:eastAsia="Calibri" w:hAnsi="Calibri" w:cs="Calibri"/>
      <w:color w:val="000000"/>
      <w:sz w:val="22"/>
      <w:szCs w:val="22"/>
      <w:u w:color="000000"/>
    </w:rPr>
  </w:style>
  <w:style w:type="paragraph" w:customStyle="1" w:styleId="BodyA">
    <w:name w:val="Body A"/>
    <w:pPr>
      <w:spacing w:after="160" w:line="259" w:lineRule="auto"/>
    </w:pPr>
    <w:rPr>
      <w:rFonts w:ascii="Calibri" w:eastAsia="Calibri" w:hAnsi="Calibri" w:cs="Calibri"/>
      <w:color w:val="000000"/>
      <w:sz w:val="22"/>
      <w:szCs w:val="22"/>
      <w:u w:color="000000"/>
    </w:rPr>
  </w:style>
  <w:style w:type="paragraph" w:styleId="TOCHeading">
    <w:name w:val="TOC Heading"/>
    <w:next w:val="BodyA"/>
    <w:pPr>
      <w:keepNext/>
      <w:keepLines/>
      <w:spacing w:before="240" w:line="259" w:lineRule="auto"/>
    </w:pPr>
    <w:rPr>
      <w:rFonts w:ascii="Calibri Light" w:eastAsia="Calibri Light" w:hAnsi="Calibri Light" w:cs="Calibri Light"/>
      <w:color w:val="2E74B5"/>
      <w:sz w:val="32"/>
      <w:szCs w:val="32"/>
      <w:u w:color="2E74B5"/>
    </w:rPr>
  </w:style>
  <w:style w:type="paragraph" w:customStyle="1" w:styleId="TOC1parent">
    <w:name w:val="TOC 1 parent"/>
    <w:pPr>
      <w:tabs>
        <w:tab w:val="right" w:leader="dot" w:pos="9340"/>
      </w:tabs>
      <w:spacing w:after="100" w:line="360" w:lineRule="auto"/>
      <w:jc w:val="both"/>
    </w:pPr>
    <w:rPr>
      <w:rFonts w:eastAsia="Times New Roman"/>
      <w:color w:val="000000"/>
      <w:sz w:val="22"/>
      <w:szCs w:val="22"/>
      <w:u w:color="000000"/>
    </w:rPr>
  </w:style>
  <w:style w:type="paragraph" w:styleId="TOC1">
    <w:name w:val="toc 1"/>
    <w:basedOn w:val="TOC1parent"/>
    <w:next w:val="TOC1parent"/>
    <w:rPr>
      <w:sz w:val="24"/>
      <w:szCs w:val="24"/>
    </w:rPr>
  </w:style>
  <w:style w:type="paragraph" w:customStyle="1" w:styleId="Heading">
    <w:name w:val="Heading"/>
    <w:next w:val="BodyA"/>
    <w:pPr>
      <w:keepNext/>
      <w:keepLines/>
      <w:spacing w:before="240" w:line="259" w:lineRule="auto"/>
      <w:outlineLvl w:val="0"/>
    </w:pPr>
    <w:rPr>
      <w:rFonts w:ascii="Calibri Light" w:eastAsia="Calibri Light" w:hAnsi="Calibri Light" w:cs="Calibri Light"/>
      <w:color w:val="2E74B5"/>
      <w:sz w:val="32"/>
      <w:szCs w:val="32"/>
      <w:u w:color="2E74B5"/>
      <w14:textOutline w14:w="12700" w14:cap="flat" w14:cmpd="sng" w14:algn="ctr">
        <w14:noFill/>
        <w14:prstDash w14:val="solid"/>
        <w14:miter w14:lim="400000"/>
      </w14:textOutline>
    </w:rPr>
  </w:style>
  <w:style w:type="paragraph" w:customStyle="1" w:styleId="TOC2parent">
    <w:name w:val="TOC 2 parent"/>
    <w:pPr>
      <w:tabs>
        <w:tab w:val="right" w:leader="dot" w:pos="9340"/>
      </w:tabs>
      <w:spacing w:after="100" w:line="259" w:lineRule="auto"/>
      <w:ind w:left="220"/>
      <w:jc w:val="both"/>
    </w:pPr>
    <w:rPr>
      <w:rFonts w:eastAsia="Times New Roman"/>
      <w:color w:val="000000"/>
      <w:sz w:val="22"/>
      <w:szCs w:val="22"/>
      <w:u w:color="000000"/>
    </w:rPr>
  </w:style>
  <w:style w:type="paragraph" w:styleId="TOC2">
    <w:name w:val="toc 2"/>
    <w:basedOn w:val="TOC2parent"/>
    <w:next w:val="TOC2parent"/>
    <w:rPr>
      <w:sz w:val="24"/>
      <w:szCs w:val="24"/>
    </w:rPr>
  </w:style>
  <w:style w:type="paragraph" w:customStyle="1" w:styleId="TOC3parent">
    <w:name w:val="TOC 3 parent"/>
    <w:pPr>
      <w:tabs>
        <w:tab w:val="left" w:pos="660"/>
        <w:tab w:val="right" w:leader="dot" w:pos="9340"/>
      </w:tabs>
      <w:spacing w:after="100" w:line="259" w:lineRule="auto"/>
      <w:jc w:val="both"/>
    </w:pPr>
    <w:rPr>
      <w:rFonts w:eastAsia="Times New Roman"/>
      <w:color w:val="000000"/>
      <w:sz w:val="22"/>
      <w:szCs w:val="22"/>
      <w:u w:color="000000"/>
    </w:rPr>
  </w:style>
  <w:style w:type="paragraph" w:styleId="TOC3">
    <w:name w:val="toc 3"/>
    <w:basedOn w:val="TOC3parent"/>
    <w:next w:val="TOC3parent"/>
    <w:rPr>
      <w:sz w:val="24"/>
      <w:szCs w:val="24"/>
    </w:rPr>
  </w:style>
  <w:style w:type="paragraph" w:customStyle="1" w:styleId="TOC4parent">
    <w:name w:val="TOC 4 parent"/>
    <w:pPr>
      <w:tabs>
        <w:tab w:val="right" w:leader="dot" w:pos="9340"/>
      </w:tabs>
      <w:spacing w:after="120"/>
      <w:ind w:firstLine="240"/>
    </w:pPr>
    <w:rPr>
      <w:rFonts w:ascii="Helvetica Neue" w:eastAsia="Helvetica Neue" w:hAnsi="Helvetica Neue" w:cs="Helvetica Neue"/>
      <w:color w:val="000000"/>
      <w:sz w:val="28"/>
      <w:szCs w:val="28"/>
      <w:u w:color="000000"/>
      <w14:textOutline w14:w="12700" w14:cap="flat" w14:cmpd="sng" w14:algn="ctr">
        <w14:noFill/>
        <w14:prstDash w14:val="solid"/>
        <w14:miter w14:lim="400000"/>
      </w14:textOutline>
    </w:rPr>
  </w:style>
  <w:style w:type="paragraph" w:styleId="TOC4">
    <w:name w:val="toc 4"/>
    <w:basedOn w:val="TOC4parent"/>
    <w:next w:val="TOC4parent"/>
    <w:rPr>
      <w:rFonts w:ascii="Times New Roman" w:eastAsia="Times New Roman" w:hAnsi="Times New Roman" w:cs="Times New Roman"/>
      <w:sz w:val="22"/>
      <w:szCs w:val="22"/>
    </w:rPr>
  </w:style>
  <w:style w:type="paragraph" w:customStyle="1" w:styleId="BodyBA">
    <w:name w:val="Body B A"/>
    <w:rPr>
      <w:rFonts w:eastAsia="Times New Roman"/>
      <w:color w:val="000000"/>
      <w:sz w:val="24"/>
      <w:szCs w:val="24"/>
      <w:u w:color="000000"/>
      <w14:textOutline w14:w="12700" w14:cap="flat" w14:cmpd="sng" w14:algn="ctr">
        <w14:noFill/>
        <w14:prstDash w14:val="solid"/>
        <w14:miter w14:lim="400000"/>
      </w14:textOutline>
    </w:rPr>
  </w:style>
  <w:style w:type="paragraph" w:customStyle="1" w:styleId="Body">
    <w:name w:val="Body"/>
    <w:rPr>
      <w:rFonts w:eastAsia="Times New Roman"/>
      <w:color w:val="000000"/>
      <w:sz w:val="24"/>
      <w:szCs w:val="24"/>
      <w:u w:color="000000"/>
      <w14:textOutline w14:w="0" w14:cap="flat" w14:cmpd="sng" w14:algn="ctr">
        <w14:noFill/>
        <w14:prstDash w14:val="solid"/>
        <w14:bevel/>
      </w14:textOutline>
    </w:rPr>
  </w:style>
  <w:style w:type="paragraph" w:styleId="FootnoteText">
    <w:name w:val="footnote text"/>
    <w:rPr>
      <w:rFonts w:ascii="Calibri" w:eastAsia="Calibri" w:hAnsi="Calibri" w:cs="Calibri"/>
      <w:color w:val="000000"/>
      <w:u w:color="000000"/>
    </w:rPr>
  </w:style>
  <w:style w:type="character" w:customStyle="1" w:styleId="Link">
    <w:name w:val="Link"/>
    <w:rPr>
      <w:outline w:val="0"/>
      <w:color w:val="0000FF"/>
      <w:u w:val="single" w:color="0000FF"/>
    </w:rPr>
  </w:style>
  <w:style w:type="character" w:customStyle="1" w:styleId="Hyperlink0">
    <w:name w:val="Hyperlink.0"/>
    <w:basedOn w:val="Link"/>
    <w:rPr>
      <w:rFonts w:ascii="Times New Roman" w:eastAsia="Times New Roman" w:hAnsi="Times New Roman" w:cs="Times New Roman"/>
      <w:outline w:val="0"/>
      <w:color w:val="0000FF"/>
      <w:u w:val="single" w:color="0000FF"/>
    </w:rPr>
  </w:style>
  <w:style w:type="character" w:customStyle="1" w:styleId="Hyperlink1">
    <w:name w:val="Hyperlink.1"/>
    <w:basedOn w:val="Link"/>
    <w:rPr>
      <w:outline w:val="0"/>
      <w:color w:val="0000FF"/>
      <w:sz w:val="24"/>
      <w:szCs w:val="24"/>
      <w:u w:val="single" w:color="0000FF"/>
    </w:rPr>
  </w:style>
  <w:style w:type="character" w:customStyle="1" w:styleId="None">
    <w:name w:val="None"/>
  </w:style>
  <w:style w:type="character" w:customStyle="1" w:styleId="Hyperlink2">
    <w:name w:val="Hyperlink.2"/>
    <w:basedOn w:val="None"/>
    <w:rPr>
      <w:rFonts w:ascii="Times New Roman" w:eastAsia="Times New Roman" w:hAnsi="Times New Roman" w:cs="Times New Roman"/>
      <w:outline w:val="0"/>
      <w:color w:val="0000FF"/>
      <w:sz w:val="24"/>
      <w:szCs w:val="24"/>
      <w:u w:val="single" w:color="0000FF"/>
    </w:rPr>
  </w:style>
  <w:style w:type="character" w:customStyle="1" w:styleId="Hyperlink3">
    <w:name w:val="Hyperlink.3"/>
    <w:basedOn w:val="None"/>
    <w:rPr>
      <w:outline w:val="0"/>
      <w:color w:val="0000FF"/>
      <w:u w:val="single" w:color="0000FF"/>
    </w:rPr>
  </w:style>
  <w:style w:type="character" w:customStyle="1" w:styleId="NoneA">
    <w:name w:val="None A"/>
  </w:style>
  <w:style w:type="numbering" w:customStyle="1" w:styleId="ImportedStyle1">
    <w:name w:val="Imported Style 1"/>
    <w:pPr>
      <w:numPr>
        <w:numId w:val="2"/>
      </w:numPr>
    </w:pPr>
  </w:style>
  <w:style w:type="character" w:customStyle="1" w:styleId="Hyperlink4">
    <w:name w:val="Hyperlink.4"/>
    <w:basedOn w:val="None"/>
    <w:rPr>
      <w:rFonts w:ascii="Times New Roman" w:eastAsia="Times New Roman" w:hAnsi="Times New Roman" w:cs="Times New Roman"/>
      <w:outline w:val="0"/>
      <w:color w:val="0563C1"/>
      <w:u w:val="single" w:color="0563C1"/>
    </w:rPr>
  </w:style>
  <w:style w:type="character" w:customStyle="1" w:styleId="Hyperlink5">
    <w:name w:val="Hyperlink.5"/>
    <w:basedOn w:val="None"/>
    <w:rPr>
      <w:rFonts w:ascii="Times New Roman" w:eastAsia="Times New Roman" w:hAnsi="Times New Roman" w:cs="Times New Roman"/>
      <w:outline w:val="0"/>
      <w:color w:val="0000FF"/>
      <w:u w:val="single" w:color="0000FF"/>
    </w:rPr>
  </w:style>
  <w:style w:type="paragraph" w:customStyle="1" w:styleId="BodyBAA">
    <w:name w:val="Body B A A"/>
    <w:rPr>
      <w:rFonts w:eastAsia="Times New Roman"/>
      <w:color w:val="000000"/>
      <w:sz w:val="24"/>
      <w:szCs w:val="24"/>
      <w:u w:color="000000"/>
      <w14:textOutline w14:w="12700" w14:cap="flat" w14:cmpd="sng" w14:algn="ctr">
        <w14:noFill/>
        <w14:prstDash w14:val="solid"/>
        <w14:miter w14:lim="400000"/>
      </w14:textOutline>
    </w:rPr>
  </w:style>
  <w:style w:type="paragraph" w:customStyle="1" w:styleId="Footnote">
    <w:name w:val="Footnote"/>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character" w:customStyle="1" w:styleId="Hyperlink6">
    <w:name w:val="Hyperlink.6"/>
    <w:basedOn w:val="None"/>
    <w:rPr>
      <w:rFonts w:ascii="Times New Roman" w:eastAsia="Times New Roman" w:hAnsi="Times New Roman" w:cs="Times New Roman"/>
      <w:outline w:val="0"/>
      <w:color w:val="0000FF"/>
      <w:u w:val="single" w:color="0000FF"/>
    </w:rPr>
  </w:style>
  <w:style w:type="paragraph" w:customStyle="1" w:styleId="BodyC">
    <w:name w:val="Body C"/>
    <w:rPr>
      <w:rFonts w:ascii="Helvetica Neue" w:hAnsi="Helvetica Neue" w:cs="Arial Unicode MS"/>
      <w:color w:val="000000"/>
      <w:sz w:val="22"/>
      <w:szCs w:val="22"/>
      <w:u w:color="000000"/>
      <w14:textOutline w14:w="12700" w14:cap="flat" w14:cmpd="sng" w14:algn="ctr">
        <w14:noFill/>
        <w14:prstDash w14:val="solid"/>
        <w14:miter w14:lim="400000"/>
      </w14:textOutline>
    </w:rPr>
  </w:style>
  <w:style w:type="paragraph" w:customStyle="1" w:styleId="WordDefaultStyleA">
    <w:name w:val="Word Default Style A"/>
    <w:rPr>
      <w:rFonts w:cs="Arial Unicode MS"/>
      <w:color w:val="000000"/>
      <w:u w:color="000000"/>
    </w:rPr>
  </w:style>
  <w:style w:type="numbering" w:customStyle="1" w:styleId="ImportedStyle4">
    <w:name w:val="Imported Style 4"/>
    <w:pPr>
      <w:numPr>
        <w:numId w:val="4"/>
      </w:numPr>
    </w:pPr>
  </w:style>
  <w:style w:type="character" w:customStyle="1" w:styleId="Hyperlink7">
    <w:name w:val="Hyperlink.7"/>
    <w:basedOn w:val="Link"/>
    <w:rPr>
      <w:rFonts w:ascii="Times New Roman" w:eastAsia="Times New Roman" w:hAnsi="Times New Roman" w:cs="Times New Roman"/>
      <w:outline w:val="0"/>
      <w:color w:val="0000FF"/>
      <w:u w:val="single" w:color="0000FF"/>
    </w:rPr>
  </w:style>
  <w:style w:type="paragraph" w:customStyle="1" w:styleId="Default">
    <w:name w:val="Default"/>
    <w:rPr>
      <w:rFonts w:ascii="Helvetica Neue" w:eastAsia="Helvetica Neue" w:hAnsi="Helvetica Neue" w:cs="Helvetica Neue"/>
      <w:color w:val="000000"/>
      <w:sz w:val="22"/>
      <w:szCs w:val="22"/>
      <w:u w:color="000000"/>
      <w14:textOutline w14:w="12700" w14:cap="flat" w14:cmpd="sng" w14:algn="ctr">
        <w14:noFill/>
        <w14:prstDash w14:val="solid"/>
        <w14:miter w14:lim="400000"/>
      </w14:textOutline>
    </w:rPr>
  </w:style>
  <w:style w:type="numbering" w:customStyle="1" w:styleId="ImportedStyle30">
    <w:name w:val="Imported Style 3.0"/>
    <w:pPr>
      <w:numPr>
        <w:numId w:val="6"/>
      </w:numPr>
    </w:pPr>
  </w:style>
  <w:style w:type="numbering" w:customStyle="1" w:styleId="ImportedStyle40">
    <w:name w:val="Imported Style 4.0"/>
    <w:pPr>
      <w:numPr>
        <w:numId w:val="8"/>
      </w:numPr>
    </w:pPr>
  </w:style>
  <w:style w:type="character" w:customStyle="1" w:styleId="Hyperlink8">
    <w:name w:val="Hyperlink.8"/>
    <w:basedOn w:val="None"/>
    <w:rPr>
      <w:outline w:val="0"/>
      <w:color w:val="0000FF"/>
      <w:u w:val="single" w:color="0000FF"/>
    </w:rPr>
  </w:style>
  <w:style w:type="numbering" w:customStyle="1" w:styleId="ImportedStyle5">
    <w:name w:val="Imported Style 5"/>
    <w:pPr>
      <w:numPr>
        <w:numId w:val="10"/>
      </w:numPr>
    </w:pPr>
  </w:style>
  <w:style w:type="numbering" w:customStyle="1" w:styleId="Numbered">
    <w:name w:val="Numbered"/>
    <w:pPr>
      <w:numPr>
        <w:numId w:val="12"/>
      </w:numPr>
    </w:pPr>
  </w:style>
  <w:style w:type="numbering" w:customStyle="1" w:styleId="ImportedStyle6">
    <w:name w:val="Imported Style 6"/>
    <w:pPr>
      <w:numPr>
        <w:numId w:val="15"/>
      </w:numPr>
    </w:pPr>
  </w:style>
  <w:style w:type="numbering" w:customStyle="1" w:styleId="ImportedStyle7">
    <w:name w:val="Imported Style 7"/>
    <w:pPr>
      <w:numPr>
        <w:numId w:val="17"/>
      </w:numPr>
    </w:pPr>
  </w:style>
  <w:style w:type="numbering" w:customStyle="1" w:styleId="ImportedStyle9">
    <w:name w:val="Imported Style 9"/>
    <w:pPr>
      <w:numPr>
        <w:numId w:val="19"/>
      </w:numPr>
    </w:pPr>
  </w:style>
  <w:style w:type="paragraph" w:styleId="CommentText">
    <w:name w:val="annotation text"/>
    <w:basedOn w:val="Normal"/>
    <w:link w:val="CommentTextChar"/>
    <w:uiPriority w:val="99"/>
    <w:semiHidden/>
    <w:unhideWhenUsed/>
    <w:rPr>
      <w:sz w:val="20"/>
      <w:szCs w:val="20"/>
    </w:rPr>
  </w:style>
  <w:style w:type="character" w:customStyle="1" w:styleId="CommentTextChar">
    <w:name w:val="Comment Text Char"/>
    <w:basedOn w:val="DefaultParagraphFont"/>
    <w:link w:val="CommentText"/>
    <w:uiPriority w:val="99"/>
    <w:semiHidden/>
  </w:style>
  <w:style w:type="character" w:styleId="CommentReference">
    <w:name w:val="annotation reference"/>
    <w:basedOn w:val="DefaultParagraphFont"/>
    <w:uiPriority w:val="99"/>
    <w:semiHidden/>
    <w:unhideWhenUsed/>
    <w:rPr>
      <w:sz w:val="16"/>
      <w:szCs w:val="16"/>
    </w:rPr>
  </w:style>
  <w:style w:type="paragraph" w:styleId="Header">
    <w:name w:val="header"/>
    <w:basedOn w:val="Normal"/>
    <w:link w:val="HeaderChar"/>
    <w:uiPriority w:val="99"/>
    <w:unhideWhenUsed/>
    <w:rsid w:val="00241DA2"/>
    <w:pPr>
      <w:tabs>
        <w:tab w:val="center" w:pos="4680"/>
        <w:tab w:val="right" w:pos="9360"/>
      </w:tabs>
    </w:pPr>
  </w:style>
  <w:style w:type="character" w:customStyle="1" w:styleId="HeaderChar">
    <w:name w:val="Header Char"/>
    <w:basedOn w:val="DefaultParagraphFont"/>
    <w:link w:val="Header"/>
    <w:uiPriority w:val="99"/>
    <w:rsid w:val="00241DA2"/>
    <w:rPr>
      <w:sz w:val="24"/>
      <w:szCs w:val="24"/>
    </w:rPr>
  </w:style>
  <w:style w:type="character" w:customStyle="1" w:styleId="FooterChar">
    <w:name w:val="Footer Char"/>
    <w:basedOn w:val="DefaultParagraphFont"/>
    <w:link w:val="Footer"/>
    <w:uiPriority w:val="99"/>
    <w:rsid w:val="00241DA2"/>
    <w:rPr>
      <w:rFonts w:ascii="Calibri" w:eastAsia="Calibri" w:hAnsi="Calibri" w:cs="Calibri"/>
      <w:color w:val="000000"/>
      <w:sz w:val="22"/>
      <w:szCs w:val="22"/>
      <w:u w:color="000000"/>
    </w:rPr>
  </w:style>
  <w:style w:type="paragraph" w:styleId="ListParagraph">
    <w:name w:val="List Paragraph"/>
    <w:basedOn w:val="Normal"/>
    <w:uiPriority w:val="34"/>
    <w:qFormat/>
    <w:rsid w:val="00E24D3E"/>
    <w:pPr>
      <w:ind w:left="720"/>
      <w:contextualSpacing/>
    </w:pPr>
  </w:style>
  <w:style w:type="paragraph" w:styleId="BalloonText">
    <w:name w:val="Balloon Text"/>
    <w:basedOn w:val="Normal"/>
    <w:link w:val="BalloonTextChar"/>
    <w:uiPriority w:val="99"/>
    <w:semiHidden/>
    <w:unhideWhenUsed/>
    <w:rsid w:val="0064665A"/>
    <w:rPr>
      <w:rFonts w:ascii="Segoe UI" w:hAnsi="Segoe UI" w:cs="Segoe UI"/>
      <w:sz w:val="18"/>
      <w:szCs w:val="18"/>
    </w:rPr>
  </w:style>
  <w:style w:type="character" w:customStyle="1" w:styleId="BalloonTextChar">
    <w:name w:val="Balloon Text Char"/>
    <w:basedOn w:val="DefaultParagraphFont"/>
    <w:link w:val="BalloonText"/>
    <w:uiPriority w:val="99"/>
    <w:semiHidden/>
    <w:rsid w:val="0064665A"/>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file>

<file path=word/_rels/document.xml.rels><?xml version="1.0" encoding="UTF-8" standalone="yes"?>
<Relationships xmlns="http://schemas.openxmlformats.org/package/2006/relationships"><Relationship Id="rId13" Type="http://schemas.openxmlformats.org/officeDocument/2006/relationships/hyperlink" Target="https://www.icc-cpi.int/CourtRecords/CR2011_06779.PDF" TargetMode="External"/><Relationship Id="rId18" Type="http://schemas.openxmlformats.org/officeDocument/2006/relationships/hyperlink" Target="http://www.worldcourts.com/icc/eng/decisions/2012.03.07_Prosecutor_v_Gaddafi.pdf" TargetMode="External"/><Relationship Id="rId26" Type="http://schemas.openxmlformats.org/officeDocument/2006/relationships/hyperlink" Target="https://reliefweb.int/sites/reilefweb.int/files/resources/8F6CFFA4B85256D2C0070B9AE-christianaid-sdn-30apr.p" TargetMode="External"/><Relationship Id="rId39" Type="http://schemas.openxmlformats.org/officeDocument/2006/relationships/hyperlink" Target="https://iccforum.com/africa" TargetMode="External"/><Relationship Id="rId21" Type="http://schemas.openxmlformats.org/officeDocument/2006/relationships/hyperlink" Target="https://www.icc-cpi.int/CourtRecords/CR2015_02745.PDF" TargetMode="External"/><Relationship Id="rId34" Type="http://schemas.openxmlformats.org/officeDocument/2006/relationships/hyperlink" Target="https://www.bbc.com/news/world-africa-47961424" TargetMode="External"/><Relationship Id="rId42" Type="http://schemas.openxmlformats.org/officeDocument/2006/relationships/theme" Target="theme/theme1.xml"/><Relationship Id="rId7" Type="http://schemas.openxmlformats.org/officeDocument/2006/relationships/endnotes" Target="endnotes.xml"/><Relationship Id="rId2" Type="http://schemas.openxmlformats.org/officeDocument/2006/relationships/numbering" Target="numbering.xml"/><Relationship Id="rId16" Type="http://schemas.openxmlformats.org/officeDocument/2006/relationships/hyperlink" Target="https://www.icc-cpi.int/CaseInformationSheets/RutoSangEng.pdf" TargetMode="External"/><Relationship Id="rId20" Type="http://schemas.openxmlformats.org/officeDocument/2006/relationships/hyperlink" Target="https://www.icc-cpi.int/CaseInformationSheets/albashirEng.pdf" TargetMode="External"/><Relationship Id="rId29" Type="http://schemas.openxmlformats.org/officeDocument/2006/relationships/hyperlink" Target="https://www.washingtonpost.com/news/monkey-cage/wp/2017/03/06/is-the-international-criminal-court-biased-against-africans-kenyan-victims-dont-think-so/" TargetMode="External"/><Relationship Id="rId41"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icc-cpi.int/CourtRecords/CR2010_02409.PDF" TargetMode="External"/><Relationship Id="rId24" Type="http://schemas.openxmlformats.org/officeDocument/2006/relationships/footer" Target="footer1.xml"/><Relationship Id="rId32" Type="http://schemas.openxmlformats.org/officeDocument/2006/relationships/hyperlink" Target="http://www.coalitionfortheicc.org/news/20171107/asp-2017-state-cooperation-crucial-effective-icc" TargetMode="External"/><Relationship Id="rId37" Type="http://schemas.openxmlformats.org/officeDocument/2006/relationships/hyperlink" Target="https://www.theguardian.com/world/2007/dec/31/kenya.haroonsiddique" TargetMode="External"/><Relationship Id="rId40" Type="http://schemas.openxmlformats.org/officeDocument/2006/relationships/hyperlink" Target="https://www.icc-cpi.int/pages/item.aspx?name=pr557" TargetMode="External"/><Relationship Id="rId5" Type="http://schemas.openxmlformats.org/officeDocument/2006/relationships/webSettings" Target="webSettings.xml"/><Relationship Id="rId15" Type="http://schemas.openxmlformats.org/officeDocument/2006/relationships/hyperlink" Target="https://www.icc-cpi.int/CourtRecords/CR2016_06654.PDF" TargetMode="External"/><Relationship Id="rId23" Type="http://schemas.openxmlformats.org/officeDocument/2006/relationships/hyperlink" Target="https://www.icc-cpi.int/CourtRecords/CR2010_04825.PDF" TargetMode="External"/><Relationship Id="rId28" Type="http://schemas.openxmlformats.org/officeDocument/2006/relationships/hyperlink" Target="https://www.law.kuleuven.be/iir/nl/onderzoek/working-papers/WP81e.pdf" TargetMode="External"/><Relationship Id="rId36" Type="http://schemas.openxmlformats.org/officeDocument/2006/relationships/hyperlink" Target="https://www.standardmedia.co.ke/article/2000062030/why-kenya-au-plot-against-icc-may-stall" TargetMode="External"/><Relationship Id="rId10" Type="http://schemas.openxmlformats.org/officeDocument/2006/relationships/hyperlink" Target="https://www.icc-cpi.int/CourtRecords/CR2007_05160.PDF" TargetMode="External"/><Relationship Id="rId19" Type="http://schemas.openxmlformats.org/officeDocument/2006/relationships/hyperlink" Target="https://www.icc-cpi.int/CaseInformationSheets/HarunKushaybEng.pdf" TargetMode="External"/><Relationship Id="rId31" Type="http://schemas.openxmlformats.org/officeDocument/2006/relationships/hyperlink" Target="https://www.reuters.com/article/us-warcrimes-sudan-macbeth-sb/sudans-un-envoy-invokes-macbeth-to-condemn-icc-idUSTRE5236DU20090304" TargetMode="External"/><Relationship Id="rId4" Type="http://schemas.openxmlformats.org/officeDocument/2006/relationships/settings" Target="settings.xml"/><Relationship Id="rId9" Type="http://schemas.openxmlformats.org/officeDocument/2006/relationships/hyperlink" Target="https://www.icc-cpi.int/CourtRecords/CR2008_04180.PDF" TargetMode="External"/><Relationship Id="rId14" Type="http://schemas.openxmlformats.org/officeDocument/2006/relationships/hyperlink" Target="https://www.icc-cpi.int/CaseInformationSheets/kenyattaEng.pdf" TargetMode="External"/><Relationship Id="rId22" Type="http://schemas.openxmlformats.org/officeDocument/2006/relationships/hyperlink" Target="https://www.icc-cpi.int/CourtRecords/CR2009_01514.PDF" TargetMode="External"/><Relationship Id="rId27" Type="http://schemas.openxmlformats.org/officeDocument/2006/relationships/hyperlink" Target="https://www.brookings.edu/wp-content/uploads/2016/07/03-foresight-international-criminal-court-africa-mbaku-1.pdf" TargetMode="External"/><Relationship Id="rId30" Type="http://schemas.openxmlformats.org/officeDocument/2006/relationships/hyperlink" Target="https://www.mcclatchydc.com/news/nation-world/world/article24477214.html" TargetMode="External"/><Relationship Id="rId35" Type="http://schemas.openxmlformats.org/officeDocument/2006/relationships/hyperlink" Target="http://www.the-star.co.ke/news/article-106098/march-4-polls-and-icc-cases" TargetMode="External"/><Relationship Id="rId8" Type="http://schemas.openxmlformats.org/officeDocument/2006/relationships/hyperlink" Target="https://www.icc-cpi.int/CourtRecords/CR2010_10640.PDF" TargetMode="External"/><Relationship Id="rId3" Type="http://schemas.openxmlformats.org/officeDocument/2006/relationships/styles" Target="styles.xml"/><Relationship Id="rId12" Type="http://schemas.openxmlformats.org/officeDocument/2006/relationships/hyperlink" Target="http://www.icccpi.int/CourtRecords/CR2009_08645.PDF" TargetMode="External"/><Relationship Id="rId17" Type="http://schemas.openxmlformats.org/officeDocument/2006/relationships/hyperlink" Target="https://www.icc-cpi.int/CourtRecords/CR2012_01004.PDF" TargetMode="External"/><Relationship Id="rId25" Type="http://schemas.openxmlformats.org/officeDocument/2006/relationships/hyperlink" Target="http://www.zaoerv.de/69_2009/69_2009_1_b_123_154.pdf" TargetMode="External"/><Relationship Id="rId33" Type="http://schemas.openxmlformats.org/officeDocument/2006/relationships/hyperlink" Target="https://www.foreignaffairs.com/reviews/capsule-review/2010-11-01/rational-theory-international-relations-logic-competition-and" TargetMode="External"/><Relationship Id="rId38" Type="http://schemas.openxmlformats.org/officeDocument/2006/relationships/hyperlink" Target="https://www.theguardian.com/world/2008/dec/04/sudan-darfur-human-rights-war-crimes" TargetMode="External"/></Relationships>
</file>

<file path=word/_rels/footnotes.xml.rels><?xml version="1.0" encoding="UTF-8" standalone="yes"?>
<Relationships xmlns="http://schemas.openxmlformats.org/package/2006/relationships"><Relationship Id="rId26" Type="http://schemas.openxmlformats.org/officeDocument/2006/relationships/hyperlink" Target="http://www.icc-cpi.int/CourtRecords/CR2010_02409.PDF" TargetMode="External"/><Relationship Id="rId21" Type="http://schemas.openxmlformats.org/officeDocument/2006/relationships/hyperlink" Target="https://asp.icc-cpi.int/en_menus/asp/states%252525252520parties/african%252525252520states/Pages/kenya.aspx" TargetMode="External"/><Relationship Id="rId42" Type="http://schemas.openxmlformats.org/officeDocument/2006/relationships/hyperlink" Target="https://www.icc-cpi.int/CaseInformationSheets/kenyattaEng.pdf" TargetMode="External"/><Relationship Id="rId47" Type="http://schemas.openxmlformats.org/officeDocument/2006/relationships/hyperlink" Target="https://www.standardmedia.co.ke/article/2000062030/why-kenya-au-plot-against-icc-may-stall" TargetMode="External"/><Relationship Id="rId63" Type="http://schemas.openxmlformats.org/officeDocument/2006/relationships/hyperlink" Target="https://www.bbc.com/news/world-africa-47961424" TargetMode="External"/><Relationship Id="rId68" Type="http://schemas.openxmlformats.org/officeDocument/2006/relationships/hyperlink" Target="https://iccforum.com/africa" TargetMode="External"/><Relationship Id="rId7" Type="http://schemas.openxmlformats.org/officeDocument/2006/relationships/hyperlink" Target="https://www.icc-cpi.int/CourtRecords/CR2016_06654.PDF" TargetMode="External"/><Relationship Id="rId2" Type="http://schemas.openxmlformats.org/officeDocument/2006/relationships/hyperlink" Target="https://www.icc-cpi.int/CaseInformationSheets/kenyattaEng.pdf" TargetMode="External"/><Relationship Id="rId16" Type="http://schemas.openxmlformats.org/officeDocument/2006/relationships/hyperlink" Target="https://www.mcclatchydc.com/news/nation-world/world/article24477214.html" TargetMode="External"/><Relationship Id="rId29" Type="http://schemas.openxmlformats.org/officeDocument/2006/relationships/hyperlink" Target="https://www.icc-cpi.int/CaseInformationSheets/kenyattaEng.pdf" TargetMode="External"/><Relationship Id="rId11" Type="http://schemas.openxmlformats.org/officeDocument/2006/relationships/hyperlink" Target="https://www.icc-cpi.int/CourtRecords/CR2008_04180.PDF" TargetMode="External"/><Relationship Id="rId24" Type="http://schemas.openxmlformats.org/officeDocument/2006/relationships/hyperlink" Target="https://www.icc-cpi.int/CourtRecords/CR2011_06779.PDF" TargetMode="External"/><Relationship Id="rId32" Type="http://schemas.openxmlformats.org/officeDocument/2006/relationships/hyperlink" Target="https://www.icc-cpi.int/CourtRecords/CR2012_01004.PDF" TargetMode="External"/><Relationship Id="rId37" Type="http://schemas.openxmlformats.org/officeDocument/2006/relationships/hyperlink" Target="https://www.icc-cpi.int/CaseInformationSheets/RutoSangEng.pdf" TargetMode="External"/><Relationship Id="rId40" Type="http://schemas.openxmlformats.org/officeDocument/2006/relationships/hyperlink" Target="https://www.icc-cpi.int/CourtRecords/CR2012_01004.PDF" TargetMode="External"/><Relationship Id="rId45" Type="http://schemas.openxmlformats.org/officeDocument/2006/relationships/hyperlink" Target="https://www.icc-cpi.int/CaseInformationSheets/kenyattaEng.pdf" TargetMode="External"/><Relationship Id="rId53" Type="http://schemas.openxmlformats.org/officeDocument/2006/relationships/hyperlink" Target="https://www.law.kuleuven.be/iir/nl/onderzoek/working-papers/WP81e.pdf" TargetMode="External"/><Relationship Id="rId58" Type="http://schemas.openxmlformats.org/officeDocument/2006/relationships/hyperlink" Target="https://www.icc-cpi.int/CaseInformationSheets/albashirEng.pdf" TargetMode="External"/><Relationship Id="rId66" Type="http://schemas.openxmlformats.org/officeDocument/2006/relationships/hyperlink" Target="https://www.brookings.edu/wp-content/uploads/2016/07/03-foresight-international-criminal-court-africa-mbaku-1.pdf" TargetMode="External"/><Relationship Id="rId5" Type="http://schemas.openxmlformats.org/officeDocument/2006/relationships/hyperlink" Target="https://www.icc-cpi.int/CourtRecords/CR2015_02745.PDF" TargetMode="External"/><Relationship Id="rId61" Type="http://schemas.openxmlformats.org/officeDocument/2006/relationships/hyperlink" Target="https://www.icc-cpi.int/CourtRecords/CR2010_04825.PDF" TargetMode="External"/><Relationship Id="rId19" Type="http://schemas.openxmlformats.org/officeDocument/2006/relationships/hyperlink" Target="http://www.icccpi.int/CourtRecords/CR2009_08645.PDF" TargetMode="External"/><Relationship Id="rId14" Type="http://schemas.openxmlformats.org/officeDocument/2006/relationships/hyperlink" Target="https://www.africaportal.org/documents/8435/Paper237.pdf" TargetMode="External"/><Relationship Id="rId22" Type="http://schemas.openxmlformats.org/officeDocument/2006/relationships/hyperlink" Target="https://asp.icc-cpi.int/en_menus/asp/states%252525252520parties/african%252525252520states/Pages/kenya.aspx" TargetMode="External"/><Relationship Id="rId27" Type="http://schemas.openxmlformats.org/officeDocument/2006/relationships/hyperlink" Target="http://www.icc-cpi.int/CourtRecords/CR2010_02409.PDF" TargetMode="External"/><Relationship Id="rId30" Type="http://schemas.openxmlformats.org/officeDocument/2006/relationships/hyperlink" Target="https://www.icccpi.int/Pages/item.aspx?name=pr615" TargetMode="External"/><Relationship Id="rId35" Type="http://schemas.openxmlformats.org/officeDocument/2006/relationships/hyperlink" Target="https://www.icc-cpi.int/CaseInformationSheets/RutoSangEng.pdf" TargetMode="External"/><Relationship Id="rId43" Type="http://schemas.openxmlformats.org/officeDocument/2006/relationships/hyperlink" Target="https://www.icc-cpi.int/CaseInformationSheets/kenyattaEng.pdf" TargetMode="External"/><Relationship Id="rId48" Type="http://schemas.openxmlformats.org/officeDocument/2006/relationships/hyperlink" Target="https://www.washingtonpost.com/news/monkey-cage/wp/2017/03/06/is-the-international-criminal-court-biased-against-africans-kenyan-victims-dont-think-so/" TargetMode="External"/><Relationship Id="rId56" Type="http://schemas.openxmlformats.org/officeDocument/2006/relationships/hyperlink" Target="https://reliefweb.int/sites/reilefweb.int/files/resources/8F6CFFA4B85256D2C0070B9AE-christianaid-sdn-30apr.p" TargetMode="External"/><Relationship Id="rId64" Type="http://schemas.openxmlformats.org/officeDocument/2006/relationships/hyperlink" Target="https://www.theguardian.com/world/2008/dec/04/sudan-darfur-human-rights-war-crimes" TargetMode="External"/><Relationship Id="rId69" Type="http://schemas.openxmlformats.org/officeDocument/2006/relationships/hyperlink" Target="https://iccforum.com/africa" TargetMode="External"/><Relationship Id="rId8" Type="http://schemas.openxmlformats.org/officeDocument/2006/relationships/hyperlink" Target="https://www.icc-cpi.int/CourtRecords/CR2015_02745.PDF" TargetMode="External"/><Relationship Id="rId51" Type="http://schemas.openxmlformats.org/officeDocument/2006/relationships/hyperlink" Target="https://www.washingtonpost.com/news/monkey-cage/wp/2017/03/06/is-the-international-criminal-court-biased-against-africans-kenyan-victims-dont-think-so/" TargetMode="External"/><Relationship Id="rId3" Type="http://schemas.openxmlformats.org/officeDocument/2006/relationships/hyperlink" Target="https://www.icc-cpi.int/CourtRecords/CR2009_01514.PDF" TargetMode="External"/><Relationship Id="rId12" Type="http://schemas.openxmlformats.org/officeDocument/2006/relationships/hyperlink" Target="https://www.icc-cpi.int/CourtRecords/CR2007_05160.PDF" TargetMode="External"/><Relationship Id="rId17" Type="http://schemas.openxmlformats.org/officeDocument/2006/relationships/hyperlink" Target="https://www.opensocietyfoundations.org/sites/default/files/briefing-paper-kenya-ruto-sang-%25252525252020130909.pdf" TargetMode="External"/><Relationship Id="rId25" Type="http://schemas.openxmlformats.org/officeDocument/2006/relationships/hyperlink" Target="http://www.icccpi.int/CourtRecords/CR2009_08645.PDF" TargetMode="External"/><Relationship Id="rId33" Type="http://schemas.openxmlformats.org/officeDocument/2006/relationships/hyperlink" Target="https://www.icc-cpi.int/CourtRecords/CR2012_01004.PDF" TargetMode="External"/><Relationship Id="rId38" Type="http://schemas.openxmlformats.org/officeDocument/2006/relationships/hyperlink" Target="https://www.icc-cpi.int/CaseInformationSheets/RutoSangEng.pdf" TargetMode="External"/><Relationship Id="rId46" Type="http://schemas.openxmlformats.org/officeDocument/2006/relationships/hyperlink" Target="https://www.washingtonpost.com/news/monkey-cage/wp/2017/03/06/is-the-international-criminal-court-biased-against-africans-kenyan-victims-dont-think-so/" TargetMode="External"/><Relationship Id="rId59" Type="http://schemas.openxmlformats.org/officeDocument/2006/relationships/hyperlink" Target="https://www.icc-cpi.int/CourtRecords/CR2009_01514.PDF" TargetMode="External"/><Relationship Id="rId67" Type="http://schemas.openxmlformats.org/officeDocument/2006/relationships/hyperlink" Target="https://www.bbc.com/news/world-africa-47961424" TargetMode="External"/><Relationship Id="rId20" Type="http://schemas.openxmlformats.org/officeDocument/2006/relationships/hyperlink" Target="http://www.icccpi.int/CourtRecords/CR2009_08645.PDF" TargetMode="External"/><Relationship Id="rId41" Type="http://schemas.openxmlformats.org/officeDocument/2006/relationships/hyperlink" Target="https://www.icc-cpi.int/CourtRecords/CR2012_01004.PDF" TargetMode="External"/><Relationship Id="rId54" Type="http://schemas.openxmlformats.org/officeDocument/2006/relationships/hyperlink" Target="http://www.zaoerv.de/69_2009/69_2009_1_b_123_154.pdf" TargetMode="External"/><Relationship Id="rId62" Type="http://schemas.openxmlformats.org/officeDocument/2006/relationships/hyperlink" Target="https://www.icc-cpi.int/pages/item.aspx?name=pr557" TargetMode="External"/><Relationship Id="rId1" Type="http://schemas.openxmlformats.org/officeDocument/2006/relationships/hyperlink" Target="https://www.icc-cpi.int/CaseInformationSheets/RutoSangEng.pdf" TargetMode="External"/><Relationship Id="rId6" Type="http://schemas.openxmlformats.org/officeDocument/2006/relationships/hyperlink" Target="https://www.icc-cpi.int/CourtRecords/CR2016_06654.PDF" TargetMode="External"/><Relationship Id="rId15" Type="http://schemas.openxmlformats.org/officeDocument/2006/relationships/hyperlink" Target="https://www.theguardian.com/world/2007/dec/31/kenya.haroonsiddique" TargetMode="External"/><Relationship Id="rId23" Type="http://schemas.openxmlformats.org/officeDocument/2006/relationships/hyperlink" Target="http://www.icc-cpi.int/CourtRecords/CR2010_02409.PDF" TargetMode="External"/><Relationship Id="rId28" Type="http://schemas.openxmlformats.org/officeDocument/2006/relationships/hyperlink" Target="https://www.icc-cpi.int/CaseInformationSheets/RutoSangEng.pdf" TargetMode="External"/><Relationship Id="rId36" Type="http://schemas.openxmlformats.org/officeDocument/2006/relationships/hyperlink" Target="https://www.icc-cpi.int/CaseInformationSheets/RutoSangEng.pdf" TargetMode="External"/><Relationship Id="rId49" Type="http://schemas.openxmlformats.org/officeDocument/2006/relationships/hyperlink" Target="https://www.foreignaffairs.com/reviews/capsule-review/2010-11-01/rational-theory-international-relations-logic-competition-and" TargetMode="External"/><Relationship Id="rId57" Type="http://schemas.openxmlformats.org/officeDocument/2006/relationships/hyperlink" Target="https://www.icc-cpi.int/CaseInformationSheets/HarunKushaybEng.pdf" TargetMode="External"/><Relationship Id="rId10" Type="http://schemas.openxmlformats.org/officeDocument/2006/relationships/hyperlink" Target="http://www.worldcourts.com/icc/eng/decisions/2012.03.07_Prosecutor_v_Gaddafi.pdf" TargetMode="External"/><Relationship Id="rId31" Type="http://schemas.openxmlformats.org/officeDocument/2006/relationships/hyperlink" Target="https://www.icc-cpi.int/CourtRecords/CR2012_01004.PDF" TargetMode="External"/><Relationship Id="rId44" Type="http://schemas.openxmlformats.org/officeDocument/2006/relationships/hyperlink" Target="https://www.icc-cpi.int/CaseInformationSheets/kenyattaEng.pdf" TargetMode="External"/><Relationship Id="rId52" Type="http://schemas.openxmlformats.org/officeDocument/2006/relationships/hyperlink" Target="https://www.nytimes.com/2016/06/26/magazine/international-criminal-court-moreno-ocampo-the-prosecutor-and-the-president.html" TargetMode="External"/><Relationship Id="rId60" Type="http://schemas.openxmlformats.org/officeDocument/2006/relationships/hyperlink" Target="https://www.icc-cpi.int/CourtRecords/CR2010_04825.PDF" TargetMode="External"/><Relationship Id="rId65" Type="http://schemas.openxmlformats.org/officeDocument/2006/relationships/hyperlink" Target="https://www.reuters.com/article/us-warcrimes-sudan-macbeth-sb/sudans-un-envoy-invokes-macbeth-to-condemn-icc-idUSTRE5236DU20090304" TargetMode="External"/><Relationship Id="rId4" Type="http://schemas.openxmlformats.org/officeDocument/2006/relationships/hyperlink" Target="http://www.coalitionfortheicc.org/news/20171107/asp-2017-state-cooperation-crucial-effective-icc" TargetMode="External"/><Relationship Id="rId9" Type="http://schemas.openxmlformats.org/officeDocument/2006/relationships/hyperlink" Target="https://www.law.kuleuven.be/iir/nl/onderzoek/working-papers/WP81e.pdf" TargetMode="External"/><Relationship Id="rId13" Type="http://schemas.openxmlformats.org/officeDocument/2006/relationships/hyperlink" Target="https://www.icc-cpi.int/CourtRecords/CR2010_10640.PDF" TargetMode="External"/><Relationship Id="rId18" Type="http://schemas.openxmlformats.org/officeDocument/2006/relationships/hyperlink" Target="https://www.africaportal.org/documents/8435/Paper237.pdf" TargetMode="External"/><Relationship Id="rId39" Type="http://schemas.openxmlformats.org/officeDocument/2006/relationships/hyperlink" Target="https://www.icc-cpi.int/CourtRecords/CR2012_01004.PDF" TargetMode="External"/><Relationship Id="rId34" Type="http://schemas.openxmlformats.org/officeDocument/2006/relationships/hyperlink" Target="https://www.icc-cpi.int/CaseInformationSheets/RutoSangEng.pdf" TargetMode="External"/><Relationship Id="rId50" Type="http://schemas.openxmlformats.org/officeDocument/2006/relationships/hyperlink" Target="https://www.washingtonpost.com/news/monkey-cage/wp/2017/03/06/is-the-international-criminal-court-biased-against-africans-kenyan-victims-dont-think-so/" TargetMode="External"/><Relationship Id="rId55" Type="http://schemas.openxmlformats.org/officeDocument/2006/relationships/hyperlink" Target="http://www.zaoerv.de/69_2009/69_2009_1_b_123_154.pdf" TargetMode="External"/></Relationships>
</file>

<file path=word/theme/theme1.xml><?xml version="1.0" encoding="utf-8"?>
<a:theme xmlns:a="http://schemas.openxmlformats.org/drawingml/2006/main" name="Office Theme">
  <a:themeElements>
    <a:clrScheme name="Office Theme">
      <a:dk1>
        <a:srgbClr val="000000"/>
      </a:dk1>
      <a:lt1>
        <a:srgbClr val="FFFFFF"/>
      </a:lt1>
      <a:dk2>
        <a:srgbClr val="A7A7A7"/>
      </a:dk2>
      <a:lt2>
        <a:srgbClr val="535353"/>
      </a:lt2>
      <a:accent1>
        <a:srgbClr val="5B9BD5"/>
      </a:accent1>
      <a:accent2>
        <a:srgbClr val="ED7D31"/>
      </a:accent2>
      <a:accent3>
        <a:srgbClr val="A5A5A5"/>
      </a:accent3>
      <a:accent4>
        <a:srgbClr val="FFC000"/>
      </a:accent4>
      <a:accent5>
        <a:srgbClr val="4472C4"/>
      </a:accent5>
      <a:accent6>
        <a:srgbClr val="70AD47"/>
      </a:accent6>
      <a:hlink>
        <a:srgbClr val="0000FF"/>
      </a:hlink>
      <a:folHlink>
        <a:srgbClr val="FF00FF"/>
      </a:folHlink>
    </a:clrScheme>
    <a:fontScheme name="Office Theme">
      <a:majorFont>
        <a:latin typeface="Helvetica Neue"/>
        <a:ea typeface="Helvetica Neue"/>
        <a:cs typeface="Helvetica Neue"/>
      </a:majorFont>
      <a:minorFont>
        <a:latin typeface="Helvetica Neue"/>
        <a:ea typeface="Helvetica Neue"/>
        <a:cs typeface="Helvetica Neu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29999"/>
              </a:schemeClr>
            </a:gs>
            <a:gs pos="100000">
              <a:schemeClr val="phClr">
                <a:tint val="50000"/>
                <a:shade val="100000"/>
                <a:satMod val="350000"/>
              </a:schemeClr>
            </a:gs>
          </a:gsLst>
          <a:lin ang="16200000" scaled="0"/>
        </a:gradFill>
      </a:fillStyleLst>
      <a:lnStyleLst>
        <a:ln w="9525" cap="flat" cmpd="sng" algn="ctr">
          <a:solidFill>
            <a:schemeClr val="phClr">
              <a:shade val="95000"/>
              <a:satMod val="104999"/>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effectStyle>
        <a:effectStyle>
          <a:effectLst/>
        </a:effectStyle>
        <a:effectStyle>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solidFill>
          <a:srgbClr val="FFFFFF"/>
        </a:solidFill>
        <a:ln w="25400" cap="flat">
          <a:solidFill>
            <a:schemeClr val="accent1"/>
          </a:solidFill>
          <a:prstDash val="solid"/>
          <a:round/>
        </a:ln>
        <a:effectLst/>
        <a:sp3d/>
      </a:spPr>
      <a:bodyPr rot="0" spcFirstLastPara="1" vertOverflow="overflow" horzOverflow="overflow" vert="horz" wrap="square" lIns="45718" tIns="45718" rIns="45718" bIns="45718" numCol="1" spcCol="38100" rtlCol="0" anchor="ctr">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spDef>
    <a:lnDef>
      <a:spPr>
        <a:noFill/>
        <a:ln w="25400" cap="flat">
          <a:solidFill>
            <a:schemeClr val="accent1"/>
          </a:solidFill>
          <a:prstDash val="solid"/>
          <a:round/>
        </a:ln>
        <a:effectLst/>
        <a:sp3d/>
      </a:spPr>
      <a:bodyPr rot="0" spcFirstLastPara="1" vertOverflow="overflow" horzOverflow="overflow" vert="horz" wrap="square" lIns="91439" tIns="45719" rIns="91439" bIns="45719" numCol="1" spcCol="38100" rtlCol="0" anchor="t">
        <a:noAutofit/>
      </a:bodyPr>
      <a:lstStyle>
        <a:def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lnDef>
    <a:txDef>
      <a:spPr>
        <a:noFill/>
        <a:ln w="12700" cap="flat">
          <a:noFill/>
          <a:miter lim="400000"/>
        </a:ln>
        <a:effectLst/>
        <a:sp3d/>
      </a:spPr>
      <a:bodyPr rot="0" spcFirstLastPara="1" vertOverflow="overflow" horzOverflow="overflow" vert="horz" wrap="square" lIns="45718" tIns="45718" rIns="45718" bIns="45718" numCol="1" spcCol="38100" rtlCol="0" anchor="t">
        <a:spAutoFit/>
      </a:bodyPr>
      <a:lstStyle>
        <a:defPPr marL="0" marR="0" indent="0" algn="l" defTabSz="914400" rtl="0" fontAlgn="auto" latinLnBrk="0"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latin typeface="+mn-lt"/>
            <a:ea typeface="+mn-ea"/>
            <a:cs typeface="+mn-cs"/>
            <a:sym typeface="Helvetica Neue"/>
          </a:defRPr>
        </a:defPPr>
        <a:lvl1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1pPr>
        <a:lvl2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2pPr>
        <a:lvl3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3pPr>
        <a:lvl4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4pPr>
        <a:lvl5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5pPr>
        <a:lvl6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6pPr>
        <a:lvl7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7pPr>
        <a:lvl8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8pPr>
        <a:lvl9pPr marL="0" marR="0" indent="0" algn="l" defTabSz="914400" rtl="0" fontAlgn="auto" latinLnBrk="1" hangingPunct="0">
          <a:lnSpc>
            <a:spcPct val="100000"/>
          </a:lnSpc>
          <a:spcBef>
            <a:spcPts val="0"/>
          </a:spcBef>
          <a:spcAft>
            <a:spcPts val="0"/>
          </a:spcAft>
          <a:buClrTx/>
          <a:buSzTx/>
          <a:buFontTx/>
          <a:buNone/>
          <a:tabLst/>
          <a:defRPr kumimoji="0" sz="1800" b="0" i="0" u="none" strike="noStrike" cap="none" spc="0" normalizeH="0" baseline="0">
            <a:ln>
              <a:noFill/>
            </a:ln>
            <a:solidFill>
              <a:srgbClr val="000000"/>
            </a:solidFill>
            <a:effectLst/>
            <a:uFillTx/>
          </a:defRPr>
        </a:lvl9pPr>
      </a:lstStyle>
      <a:style>
        <a:lnRef idx="0">
          <a:scrgbClr r="0" g="0" b="0"/>
        </a:lnRef>
        <a:fillRef idx="0">
          <a:scrgbClr r="0" g="0" b="0"/>
        </a:fillRef>
        <a:effectRef idx="0">
          <a:scrgbClr r="0" g="0" b="0"/>
        </a:effectRef>
        <a:fontRef idx="none"/>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FE0D801-95F3-4999-ACE8-B5E3F280E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411</TotalTime>
  <Pages>54</Pages>
  <Words>13103</Words>
  <Characters>72988</Characters>
  <Application>Microsoft Office Word</Application>
  <DocSecurity>0</DocSecurity>
  <Lines>1237</Lines>
  <Paragraphs>503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85588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Celine Tanui</cp:lastModifiedBy>
  <cp:revision>6</cp:revision>
  <cp:lastPrinted>2019-11-29T08:29:00Z</cp:lastPrinted>
  <dcterms:created xsi:type="dcterms:W3CDTF">2019-11-29T01:34:00Z</dcterms:created>
  <dcterms:modified xsi:type="dcterms:W3CDTF">2019-11-29T08:39:00Z</dcterms:modified>
</cp:coreProperties>
</file>