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ink/ink6.xml" ContentType="application/inkml+xml"/>
  <Override PartName="/word/ink/ink7.xml" ContentType="application/inkml+xml"/>
  <Override PartName="/word/ink/ink8.xml" ContentType="application/inkml+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CABAF4" w14:textId="0F30BD5A" w:rsidR="000D56BA" w:rsidRPr="005759DA" w:rsidRDefault="007D5AF6" w:rsidP="005A6684">
      <w:pPr>
        <w:spacing w:line="276" w:lineRule="auto"/>
        <w:rPr>
          <w:b/>
          <w:bCs/>
        </w:rPr>
      </w:pPr>
      <w:r w:rsidRPr="0019386F">
        <w:rPr>
          <w:b/>
          <w:bCs/>
          <w:sz w:val="28"/>
          <w:szCs w:val="28"/>
        </w:rPr>
        <w:t>A CLOSE LOOK AT LEGAL TRANSPLANTATION: IT’S EFFECT ON KENYAN CUSTOMARY MARRIAGES</w:t>
      </w:r>
      <w:r w:rsidR="000D56BA" w:rsidRPr="005759DA">
        <w:rPr>
          <w:b/>
          <w:bCs/>
        </w:rPr>
        <w:tab/>
      </w:r>
    </w:p>
    <w:p w14:paraId="440E0CF0" w14:textId="77777777" w:rsidR="007D5AF6" w:rsidRDefault="007D5AF6" w:rsidP="000D56BA"/>
    <w:p w14:paraId="0BFAAA77" w14:textId="0BB55DF1" w:rsidR="005A6684" w:rsidRPr="00FE388C" w:rsidRDefault="005A6684" w:rsidP="005A6684">
      <w:pPr>
        <w:jc w:val="center"/>
      </w:pPr>
      <w:r w:rsidRPr="00FE388C">
        <w:t xml:space="preserve">Submitted in partial </w:t>
      </w:r>
      <w:r w:rsidR="000C0C35" w:rsidRPr="00FE388C">
        <w:t>fulfilment</w:t>
      </w:r>
      <w:r w:rsidRPr="00FE388C">
        <w:t xml:space="preserve"> of the requirements of the </w:t>
      </w:r>
      <w:r>
        <w:t xml:space="preserve">Bachelor of </w:t>
      </w:r>
      <w:r w:rsidRPr="00FE388C">
        <w:t xml:space="preserve">Laws Degree, </w:t>
      </w:r>
      <w:r>
        <w:t>Strathmore University Law School</w:t>
      </w:r>
    </w:p>
    <w:p w14:paraId="2A6A5486" w14:textId="5C2CA892" w:rsidR="005A6684" w:rsidRDefault="005A6684" w:rsidP="005A6684"/>
    <w:p w14:paraId="384BCB32" w14:textId="77777777" w:rsidR="005A6684" w:rsidRPr="00FE388C" w:rsidRDefault="005A6684" w:rsidP="005A6684"/>
    <w:p w14:paraId="4C39627C" w14:textId="77777777" w:rsidR="005A6684" w:rsidRPr="00FE388C" w:rsidRDefault="005A6684" w:rsidP="005A6684">
      <w:pPr>
        <w:jc w:val="center"/>
      </w:pPr>
      <w:r w:rsidRPr="00FE388C">
        <w:t>By</w:t>
      </w:r>
    </w:p>
    <w:p w14:paraId="508405AA" w14:textId="3763DAE7" w:rsidR="005A6684" w:rsidRPr="00FE388C" w:rsidRDefault="00B925E9" w:rsidP="005A6684">
      <w:pPr>
        <w:jc w:val="center"/>
      </w:pPr>
      <w:r>
        <w:t>A</w:t>
      </w:r>
      <w:r w:rsidR="00847C0B">
        <w:t>mber</w:t>
      </w:r>
      <w:r>
        <w:t xml:space="preserve"> S</w:t>
      </w:r>
      <w:r w:rsidR="00847C0B">
        <w:t>hannon</w:t>
      </w:r>
      <w:r>
        <w:t xml:space="preserve"> M</w:t>
      </w:r>
      <w:r w:rsidR="00847C0B">
        <w:t>ogeni</w:t>
      </w:r>
    </w:p>
    <w:p w14:paraId="73DA23B2" w14:textId="5F050B8E" w:rsidR="005A6684" w:rsidRPr="00FE388C" w:rsidRDefault="005A6684" w:rsidP="005A6684">
      <w:pPr>
        <w:jc w:val="center"/>
      </w:pPr>
      <w:r>
        <w:t>101256</w:t>
      </w:r>
    </w:p>
    <w:p w14:paraId="129854CF" w14:textId="77777777" w:rsidR="005A6684" w:rsidRPr="00FE388C" w:rsidRDefault="005A6684" w:rsidP="005A6684">
      <w:pPr>
        <w:jc w:val="center"/>
      </w:pPr>
    </w:p>
    <w:p w14:paraId="78FA4776" w14:textId="7E4FC4D2" w:rsidR="005A6684" w:rsidRPr="00FE388C" w:rsidRDefault="005A6684" w:rsidP="005A6684">
      <w:pPr>
        <w:jc w:val="center"/>
      </w:pPr>
      <w:r w:rsidRPr="00FE388C">
        <w:t>Prepared under the supervision of</w:t>
      </w:r>
    </w:p>
    <w:p w14:paraId="3EC87A1D" w14:textId="249F4D14" w:rsidR="005A6684" w:rsidRDefault="00B925E9" w:rsidP="005A6684">
      <w:pPr>
        <w:jc w:val="center"/>
      </w:pPr>
      <w:r>
        <w:t>D</w:t>
      </w:r>
      <w:r w:rsidR="00847C0B">
        <w:t>r</w:t>
      </w:r>
      <w:r>
        <w:t>. E</w:t>
      </w:r>
      <w:r w:rsidR="00847C0B">
        <w:t>lizabeth</w:t>
      </w:r>
      <w:r>
        <w:t xml:space="preserve"> G</w:t>
      </w:r>
      <w:r w:rsidR="00847C0B">
        <w:t>achenga</w:t>
      </w:r>
      <w:r w:rsidR="00F66586">
        <w:t xml:space="preserve"> </w:t>
      </w:r>
    </w:p>
    <w:p w14:paraId="2E3C1F68" w14:textId="538DB28B" w:rsidR="005A6684" w:rsidRDefault="005A6684" w:rsidP="005A6684">
      <w:pPr>
        <w:jc w:val="center"/>
      </w:pPr>
    </w:p>
    <w:p w14:paraId="7E076F8F" w14:textId="77777777" w:rsidR="005A6684" w:rsidRDefault="005A6684" w:rsidP="005A6684">
      <w:pPr>
        <w:jc w:val="center"/>
      </w:pPr>
    </w:p>
    <w:p w14:paraId="2C016FEC" w14:textId="42E22AA9" w:rsidR="005A6684" w:rsidRDefault="0012212F" w:rsidP="005A6684">
      <w:pPr>
        <w:jc w:val="center"/>
      </w:pPr>
      <w:r>
        <w:t>March</w:t>
      </w:r>
      <w:r w:rsidR="005A6684">
        <w:t xml:space="preserve"> 2021</w:t>
      </w:r>
    </w:p>
    <w:p w14:paraId="4E2F6BDA" w14:textId="07CFC7F8" w:rsidR="005A6684" w:rsidRPr="00FE388C" w:rsidRDefault="003F1A14" w:rsidP="005A6684">
      <w:pPr>
        <w:jc w:val="center"/>
      </w:pPr>
      <w:r>
        <w:t>11,789</w:t>
      </w:r>
      <w:r w:rsidR="005A6684">
        <w:t xml:space="preserve"> words (</w:t>
      </w:r>
      <w:r w:rsidR="005A6684" w:rsidRPr="001C46CE">
        <w:t>excluding footnotes and bibliography)</w:t>
      </w:r>
    </w:p>
    <w:p w14:paraId="0C49701A" w14:textId="77777777" w:rsidR="005A6684" w:rsidRPr="00FE388C" w:rsidRDefault="005A6684" w:rsidP="005A6684"/>
    <w:p w14:paraId="07A7D4AF" w14:textId="3FD974C3" w:rsidR="00CF12B7" w:rsidRPr="005A6684" w:rsidRDefault="00CF12B7" w:rsidP="000D56BA"/>
    <w:p w14:paraId="6FA23C99" w14:textId="235E007B" w:rsidR="000D56BA" w:rsidRDefault="000D56BA" w:rsidP="000D56BA"/>
    <w:p w14:paraId="68453E2E" w14:textId="436F6033" w:rsidR="00CF12B7" w:rsidRDefault="00CF12B7" w:rsidP="000D56BA"/>
    <w:p w14:paraId="22CA572D" w14:textId="477F1A3C" w:rsidR="00CF12B7" w:rsidRDefault="00CF12B7" w:rsidP="000D56BA"/>
    <w:p w14:paraId="1E79207F" w14:textId="2674832A" w:rsidR="00CF12B7" w:rsidRPr="0019386F" w:rsidRDefault="0019386F" w:rsidP="0019386F">
      <w:pPr>
        <w:pStyle w:val="Heading3"/>
      </w:pPr>
      <w:bookmarkStart w:id="0" w:name="_Toc78407960"/>
      <w:r w:rsidRPr="0019386F">
        <w:lastRenderedPageBreak/>
        <w:t>TABLE OF CONTENTS</w:t>
      </w:r>
      <w:bookmarkEnd w:id="0"/>
    </w:p>
    <w:sdt>
      <w:sdtPr>
        <w:rPr>
          <w:rFonts w:eastAsiaTheme="minorHAnsi" w:cstheme="minorBidi"/>
          <w:b w:val="0"/>
          <w:sz w:val="24"/>
          <w:szCs w:val="24"/>
        </w:rPr>
        <w:id w:val="-1873378746"/>
        <w:docPartObj>
          <w:docPartGallery w:val="Table of Contents"/>
          <w:docPartUnique/>
        </w:docPartObj>
      </w:sdtPr>
      <w:sdtEndPr>
        <w:rPr>
          <w:bCs/>
          <w:noProof/>
        </w:rPr>
      </w:sdtEndPr>
      <w:sdtContent>
        <w:p w14:paraId="299A45F5" w14:textId="48B77D36" w:rsidR="00E23D20" w:rsidRPr="00E23D20" w:rsidRDefault="00E23D20">
          <w:pPr>
            <w:pStyle w:val="TOCHeading"/>
            <w:rPr>
              <w:rFonts w:cs="Times New Roman"/>
            </w:rPr>
          </w:pPr>
        </w:p>
        <w:p w14:paraId="6DED023D" w14:textId="64A63480" w:rsidR="0011507C" w:rsidRDefault="00E23D20">
          <w:pPr>
            <w:pStyle w:val="TOC3"/>
            <w:rPr>
              <w:rFonts w:asciiTheme="minorHAnsi" w:eastAsiaTheme="minorEastAsia" w:hAnsiTheme="minorHAnsi"/>
              <w:noProof/>
              <w:sz w:val="22"/>
              <w:szCs w:val="22"/>
              <w:lang w:eastAsia="en-GB"/>
            </w:rPr>
          </w:pPr>
          <w:r>
            <w:fldChar w:fldCharType="begin"/>
          </w:r>
          <w:r>
            <w:instrText xml:space="preserve"> TOC \o "1-3" \h \z \u </w:instrText>
          </w:r>
          <w:r>
            <w:fldChar w:fldCharType="separate"/>
          </w:r>
          <w:hyperlink w:anchor="_Toc78407960" w:history="1">
            <w:r w:rsidR="0011507C" w:rsidRPr="00A3549D">
              <w:rPr>
                <w:rStyle w:val="Hyperlink"/>
                <w:noProof/>
              </w:rPr>
              <w:t>TABLE OF CONTENTS</w:t>
            </w:r>
            <w:r w:rsidR="0011507C">
              <w:rPr>
                <w:noProof/>
                <w:webHidden/>
              </w:rPr>
              <w:tab/>
            </w:r>
            <w:r w:rsidR="0011507C">
              <w:rPr>
                <w:noProof/>
                <w:webHidden/>
              </w:rPr>
              <w:fldChar w:fldCharType="begin"/>
            </w:r>
            <w:r w:rsidR="0011507C">
              <w:rPr>
                <w:noProof/>
                <w:webHidden/>
              </w:rPr>
              <w:instrText xml:space="preserve"> PAGEREF _Toc78407960 \h </w:instrText>
            </w:r>
            <w:r w:rsidR="0011507C">
              <w:rPr>
                <w:noProof/>
                <w:webHidden/>
              </w:rPr>
            </w:r>
            <w:r w:rsidR="0011507C">
              <w:rPr>
                <w:noProof/>
                <w:webHidden/>
              </w:rPr>
              <w:fldChar w:fldCharType="separate"/>
            </w:r>
            <w:r w:rsidR="003F1A14">
              <w:rPr>
                <w:noProof/>
                <w:webHidden/>
              </w:rPr>
              <w:t>ii</w:t>
            </w:r>
            <w:r w:rsidR="0011507C">
              <w:rPr>
                <w:noProof/>
                <w:webHidden/>
              </w:rPr>
              <w:fldChar w:fldCharType="end"/>
            </w:r>
          </w:hyperlink>
        </w:p>
        <w:p w14:paraId="387BD61F" w14:textId="4298202F" w:rsidR="0011507C" w:rsidRDefault="00D3442C">
          <w:pPr>
            <w:pStyle w:val="TOC1"/>
            <w:rPr>
              <w:rFonts w:asciiTheme="minorHAnsi" w:eastAsiaTheme="minorEastAsia" w:hAnsiTheme="minorHAnsi"/>
              <w:b w:val="0"/>
              <w:bCs w:val="0"/>
              <w:sz w:val="22"/>
              <w:szCs w:val="22"/>
              <w:lang w:eastAsia="en-GB"/>
            </w:rPr>
          </w:pPr>
          <w:hyperlink w:anchor="_Toc78407961" w:history="1">
            <w:r w:rsidR="0011507C" w:rsidRPr="00A3549D">
              <w:rPr>
                <w:rStyle w:val="Hyperlink"/>
              </w:rPr>
              <w:t>ACKNOWLEDGEMENTS</w:t>
            </w:r>
            <w:r w:rsidR="0011507C">
              <w:rPr>
                <w:webHidden/>
              </w:rPr>
              <w:tab/>
            </w:r>
            <w:r w:rsidR="0011507C">
              <w:rPr>
                <w:webHidden/>
              </w:rPr>
              <w:fldChar w:fldCharType="begin"/>
            </w:r>
            <w:r w:rsidR="0011507C">
              <w:rPr>
                <w:webHidden/>
              </w:rPr>
              <w:instrText xml:space="preserve"> PAGEREF _Toc78407961 \h </w:instrText>
            </w:r>
            <w:r w:rsidR="0011507C">
              <w:rPr>
                <w:webHidden/>
              </w:rPr>
            </w:r>
            <w:r w:rsidR="0011507C">
              <w:rPr>
                <w:webHidden/>
              </w:rPr>
              <w:fldChar w:fldCharType="separate"/>
            </w:r>
            <w:r w:rsidR="003F1A14">
              <w:rPr>
                <w:webHidden/>
              </w:rPr>
              <w:t>iv</w:t>
            </w:r>
            <w:r w:rsidR="0011507C">
              <w:rPr>
                <w:webHidden/>
              </w:rPr>
              <w:fldChar w:fldCharType="end"/>
            </w:r>
          </w:hyperlink>
        </w:p>
        <w:p w14:paraId="01D235C3" w14:textId="5FA047AD" w:rsidR="0011507C" w:rsidRDefault="00D3442C">
          <w:pPr>
            <w:pStyle w:val="TOC1"/>
            <w:rPr>
              <w:rFonts w:asciiTheme="minorHAnsi" w:eastAsiaTheme="minorEastAsia" w:hAnsiTheme="minorHAnsi"/>
              <w:b w:val="0"/>
              <w:bCs w:val="0"/>
              <w:sz w:val="22"/>
              <w:szCs w:val="22"/>
              <w:lang w:eastAsia="en-GB"/>
            </w:rPr>
          </w:pPr>
          <w:hyperlink w:anchor="_Toc78407962" w:history="1">
            <w:r w:rsidR="0011507C" w:rsidRPr="00A3549D">
              <w:rPr>
                <w:rStyle w:val="Hyperlink"/>
              </w:rPr>
              <w:t>DECLARATION</w:t>
            </w:r>
            <w:r w:rsidR="0011507C">
              <w:rPr>
                <w:webHidden/>
              </w:rPr>
              <w:tab/>
            </w:r>
            <w:r w:rsidR="0011507C">
              <w:rPr>
                <w:webHidden/>
              </w:rPr>
              <w:fldChar w:fldCharType="begin"/>
            </w:r>
            <w:r w:rsidR="0011507C">
              <w:rPr>
                <w:webHidden/>
              </w:rPr>
              <w:instrText xml:space="preserve"> PAGEREF _Toc78407962 \h </w:instrText>
            </w:r>
            <w:r w:rsidR="0011507C">
              <w:rPr>
                <w:webHidden/>
              </w:rPr>
            </w:r>
            <w:r w:rsidR="0011507C">
              <w:rPr>
                <w:webHidden/>
              </w:rPr>
              <w:fldChar w:fldCharType="separate"/>
            </w:r>
            <w:r w:rsidR="003F1A14">
              <w:rPr>
                <w:webHidden/>
              </w:rPr>
              <w:t>v</w:t>
            </w:r>
            <w:r w:rsidR="0011507C">
              <w:rPr>
                <w:webHidden/>
              </w:rPr>
              <w:fldChar w:fldCharType="end"/>
            </w:r>
          </w:hyperlink>
        </w:p>
        <w:p w14:paraId="78652CCA" w14:textId="1EEBFBB2" w:rsidR="0011507C" w:rsidRDefault="00D3442C">
          <w:pPr>
            <w:pStyle w:val="TOC1"/>
            <w:rPr>
              <w:rFonts w:asciiTheme="minorHAnsi" w:eastAsiaTheme="minorEastAsia" w:hAnsiTheme="minorHAnsi"/>
              <w:b w:val="0"/>
              <w:bCs w:val="0"/>
              <w:sz w:val="22"/>
              <w:szCs w:val="22"/>
              <w:lang w:eastAsia="en-GB"/>
            </w:rPr>
          </w:pPr>
          <w:hyperlink w:anchor="_Toc78407963" w:history="1">
            <w:r w:rsidR="0011507C" w:rsidRPr="00A3549D">
              <w:rPr>
                <w:rStyle w:val="Hyperlink"/>
              </w:rPr>
              <w:t>ABSTRACT</w:t>
            </w:r>
            <w:r w:rsidR="0011507C">
              <w:rPr>
                <w:webHidden/>
              </w:rPr>
              <w:tab/>
            </w:r>
            <w:r w:rsidR="0011507C">
              <w:rPr>
                <w:webHidden/>
              </w:rPr>
              <w:fldChar w:fldCharType="begin"/>
            </w:r>
            <w:r w:rsidR="0011507C">
              <w:rPr>
                <w:webHidden/>
              </w:rPr>
              <w:instrText xml:space="preserve"> PAGEREF _Toc78407963 \h </w:instrText>
            </w:r>
            <w:r w:rsidR="0011507C">
              <w:rPr>
                <w:webHidden/>
              </w:rPr>
            </w:r>
            <w:r w:rsidR="0011507C">
              <w:rPr>
                <w:webHidden/>
              </w:rPr>
              <w:fldChar w:fldCharType="separate"/>
            </w:r>
            <w:r w:rsidR="003F1A14">
              <w:rPr>
                <w:webHidden/>
              </w:rPr>
              <w:t>vi</w:t>
            </w:r>
            <w:r w:rsidR="0011507C">
              <w:rPr>
                <w:webHidden/>
              </w:rPr>
              <w:fldChar w:fldCharType="end"/>
            </w:r>
          </w:hyperlink>
        </w:p>
        <w:p w14:paraId="5C742F01" w14:textId="15202ACA" w:rsidR="0011507C" w:rsidRDefault="00D3442C">
          <w:pPr>
            <w:pStyle w:val="TOC1"/>
            <w:rPr>
              <w:rFonts w:asciiTheme="minorHAnsi" w:eastAsiaTheme="minorEastAsia" w:hAnsiTheme="minorHAnsi"/>
              <w:b w:val="0"/>
              <w:bCs w:val="0"/>
              <w:sz w:val="22"/>
              <w:szCs w:val="22"/>
              <w:lang w:eastAsia="en-GB"/>
            </w:rPr>
          </w:pPr>
          <w:hyperlink w:anchor="_Toc78407964" w:history="1">
            <w:r w:rsidR="0011507C" w:rsidRPr="00A3549D">
              <w:rPr>
                <w:rStyle w:val="Hyperlink"/>
              </w:rPr>
              <w:t>LIST OF ABBREVIATIONS</w:t>
            </w:r>
            <w:r w:rsidR="0011507C">
              <w:rPr>
                <w:webHidden/>
              </w:rPr>
              <w:tab/>
            </w:r>
            <w:r w:rsidR="0011507C">
              <w:rPr>
                <w:webHidden/>
              </w:rPr>
              <w:fldChar w:fldCharType="begin"/>
            </w:r>
            <w:r w:rsidR="0011507C">
              <w:rPr>
                <w:webHidden/>
              </w:rPr>
              <w:instrText xml:space="preserve"> PAGEREF _Toc78407964 \h </w:instrText>
            </w:r>
            <w:r w:rsidR="0011507C">
              <w:rPr>
                <w:webHidden/>
              </w:rPr>
            </w:r>
            <w:r w:rsidR="0011507C">
              <w:rPr>
                <w:webHidden/>
              </w:rPr>
              <w:fldChar w:fldCharType="separate"/>
            </w:r>
            <w:r w:rsidR="003F1A14">
              <w:rPr>
                <w:webHidden/>
              </w:rPr>
              <w:t>vii</w:t>
            </w:r>
            <w:r w:rsidR="0011507C">
              <w:rPr>
                <w:webHidden/>
              </w:rPr>
              <w:fldChar w:fldCharType="end"/>
            </w:r>
          </w:hyperlink>
        </w:p>
        <w:p w14:paraId="703C203D" w14:textId="04FCA5AF" w:rsidR="0011507C" w:rsidRDefault="00D3442C">
          <w:pPr>
            <w:pStyle w:val="TOC1"/>
            <w:rPr>
              <w:rFonts w:asciiTheme="minorHAnsi" w:eastAsiaTheme="minorEastAsia" w:hAnsiTheme="minorHAnsi"/>
              <w:b w:val="0"/>
              <w:bCs w:val="0"/>
              <w:sz w:val="22"/>
              <w:szCs w:val="22"/>
              <w:lang w:eastAsia="en-GB"/>
            </w:rPr>
          </w:pPr>
          <w:hyperlink w:anchor="_Toc78407965" w:history="1">
            <w:r w:rsidR="0011507C" w:rsidRPr="00A3549D">
              <w:rPr>
                <w:rStyle w:val="Hyperlink"/>
              </w:rPr>
              <w:t>LIST OF CASES</w:t>
            </w:r>
            <w:r w:rsidR="0011507C">
              <w:rPr>
                <w:webHidden/>
              </w:rPr>
              <w:tab/>
            </w:r>
            <w:r w:rsidR="0011507C">
              <w:rPr>
                <w:webHidden/>
              </w:rPr>
              <w:fldChar w:fldCharType="begin"/>
            </w:r>
            <w:r w:rsidR="0011507C">
              <w:rPr>
                <w:webHidden/>
              </w:rPr>
              <w:instrText xml:space="preserve"> PAGEREF _Toc78407965 \h </w:instrText>
            </w:r>
            <w:r w:rsidR="0011507C">
              <w:rPr>
                <w:webHidden/>
              </w:rPr>
            </w:r>
            <w:r w:rsidR="0011507C">
              <w:rPr>
                <w:webHidden/>
              </w:rPr>
              <w:fldChar w:fldCharType="separate"/>
            </w:r>
            <w:r w:rsidR="003F1A14">
              <w:rPr>
                <w:webHidden/>
              </w:rPr>
              <w:t>viii</w:t>
            </w:r>
            <w:r w:rsidR="0011507C">
              <w:rPr>
                <w:webHidden/>
              </w:rPr>
              <w:fldChar w:fldCharType="end"/>
            </w:r>
          </w:hyperlink>
        </w:p>
        <w:p w14:paraId="4DADAD0F" w14:textId="4CABD215" w:rsidR="0011507C" w:rsidRDefault="00D3442C">
          <w:pPr>
            <w:pStyle w:val="TOC1"/>
            <w:rPr>
              <w:rFonts w:asciiTheme="minorHAnsi" w:eastAsiaTheme="minorEastAsia" w:hAnsiTheme="minorHAnsi"/>
              <w:b w:val="0"/>
              <w:bCs w:val="0"/>
              <w:sz w:val="22"/>
              <w:szCs w:val="22"/>
              <w:lang w:eastAsia="en-GB"/>
            </w:rPr>
          </w:pPr>
          <w:hyperlink w:anchor="_Toc78407966" w:history="1">
            <w:r w:rsidR="0011507C" w:rsidRPr="00A3549D">
              <w:rPr>
                <w:rStyle w:val="Hyperlink"/>
              </w:rPr>
              <w:t>LIST OF LEGAL INSTRUMENTS</w:t>
            </w:r>
            <w:r w:rsidR="0011507C">
              <w:rPr>
                <w:webHidden/>
              </w:rPr>
              <w:tab/>
            </w:r>
            <w:r w:rsidR="0011507C">
              <w:rPr>
                <w:webHidden/>
              </w:rPr>
              <w:fldChar w:fldCharType="begin"/>
            </w:r>
            <w:r w:rsidR="0011507C">
              <w:rPr>
                <w:webHidden/>
              </w:rPr>
              <w:instrText xml:space="preserve"> PAGEREF _Toc78407966 \h </w:instrText>
            </w:r>
            <w:r w:rsidR="0011507C">
              <w:rPr>
                <w:webHidden/>
              </w:rPr>
            </w:r>
            <w:r w:rsidR="0011507C">
              <w:rPr>
                <w:webHidden/>
              </w:rPr>
              <w:fldChar w:fldCharType="separate"/>
            </w:r>
            <w:r w:rsidR="003F1A14">
              <w:rPr>
                <w:webHidden/>
              </w:rPr>
              <w:t>ix</w:t>
            </w:r>
            <w:r w:rsidR="0011507C">
              <w:rPr>
                <w:webHidden/>
              </w:rPr>
              <w:fldChar w:fldCharType="end"/>
            </w:r>
          </w:hyperlink>
        </w:p>
        <w:p w14:paraId="1AD4FDAE" w14:textId="098F5FB8" w:rsidR="0011507C" w:rsidRDefault="00D3442C">
          <w:pPr>
            <w:pStyle w:val="TOC1"/>
            <w:rPr>
              <w:rFonts w:asciiTheme="minorHAnsi" w:eastAsiaTheme="minorEastAsia" w:hAnsiTheme="minorHAnsi"/>
              <w:b w:val="0"/>
              <w:bCs w:val="0"/>
              <w:sz w:val="22"/>
              <w:szCs w:val="22"/>
              <w:lang w:eastAsia="en-GB"/>
            </w:rPr>
          </w:pPr>
          <w:hyperlink w:anchor="_Toc78407967" w:history="1">
            <w:r w:rsidR="0011507C" w:rsidRPr="00A3549D">
              <w:rPr>
                <w:rStyle w:val="Hyperlink"/>
              </w:rPr>
              <w:t>CHAPTER 1: INTRODUCTION</w:t>
            </w:r>
            <w:r w:rsidR="0011507C">
              <w:rPr>
                <w:webHidden/>
              </w:rPr>
              <w:tab/>
            </w:r>
            <w:r w:rsidR="0011507C">
              <w:rPr>
                <w:webHidden/>
              </w:rPr>
              <w:fldChar w:fldCharType="begin"/>
            </w:r>
            <w:r w:rsidR="0011507C">
              <w:rPr>
                <w:webHidden/>
              </w:rPr>
              <w:instrText xml:space="preserve"> PAGEREF _Toc78407967 \h </w:instrText>
            </w:r>
            <w:r w:rsidR="0011507C">
              <w:rPr>
                <w:webHidden/>
              </w:rPr>
            </w:r>
            <w:r w:rsidR="0011507C">
              <w:rPr>
                <w:webHidden/>
              </w:rPr>
              <w:fldChar w:fldCharType="separate"/>
            </w:r>
            <w:r w:rsidR="003F1A14">
              <w:rPr>
                <w:webHidden/>
              </w:rPr>
              <w:t>1</w:t>
            </w:r>
            <w:r w:rsidR="0011507C">
              <w:rPr>
                <w:webHidden/>
              </w:rPr>
              <w:fldChar w:fldCharType="end"/>
            </w:r>
          </w:hyperlink>
        </w:p>
        <w:p w14:paraId="7814BEE5" w14:textId="2FC49599" w:rsidR="0011507C" w:rsidRDefault="00D3442C">
          <w:pPr>
            <w:pStyle w:val="TOC2"/>
            <w:tabs>
              <w:tab w:val="right" w:leader="dot" w:pos="9350"/>
            </w:tabs>
            <w:rPr>
              <w:rFonts w:asciiTheme="minorHAnsi" w:eastAsiaTheme="minorEastAsia" w:hAnsiTheme="minorHAnsi"/>
              <w:noProof/>
              <w:sz w:val="22"/>
              <w:szCs w:val="22"/>
              <w:lang w:eastAsia="en-GB"/>
            </w:rPr>
          </w:pPr>
          <w:hyperlink w:anchor="_Toc78407968" w:history="1">
            <w:r w:rsidR="0011507C" w:rsidRPr="00A3549D">
              <w:rPr>
                <w:rStyle w:val="Hyperlink"/>
                <w:noProof/>
              </w:rPr>
              <w:t>1.1 BACKGROUND OF THE PROBLEM</w:t>
            </w:r>
            <w:r w:rsidR="0011507C">
              <w:rPr>
                <w:noProof/>
                <w:webHidden/>
              </w:rPr>
              <w:tab/>
            </w:r>
            <w:r w:rsidR="0011507C">
              <w:rPr>
                <w:noProof/>
                <w:webHidden/>
              </w:rPr>
              <w:fldChar w:fldCharType="begin"/>
            </w:r>
            <w:r w:rsidR="0011507C">
              <w:rPr>
                <w:noProof/>
                <w:webHidden/>
              </w:rPr>
              <w:instrText xml:space="preserve"> PAGEREF _Toc78407968 \h </w:instrText>
            </w:r>
            <w:r w:rsidR="0011507C">
              <w:rPr>
                <w:noProof/>
                <w:webHidden/>
              </w:rPr>
            </w:r>
            <w:r w:rsidR="0011507C">
              <w:rPr>
                <w:noProof/>
                <w:webHidden/>
              </w:rPr>
              <w:fldChar w:fldCharType="separate"/>
            </w:r>
            <w:r w:rsidR="003F1A14">
              <w:rPr>
                <w:noProof/>
                <w:webHidden/>
              </w:rPr>
              <w:t>1</w:t>
            </w:r>
            <w:r w:rsidR="0011507C">
              <w:rPr>
                <w:noProof/>
                <w:webHidden/>
              </w:rPr>
              <w:fldChar w:fldCharType="end"/>
            </w:r>
          </w:hyperlink>
        </w:p>
        <w:p w14:paraId="4EEC4A5B" w14:textId="14CC8B3D" w:rsidR="0011507C" w:rsidRDefault="00D3442C">
          <w:pPr>
            <w:pStyle w:val="TOC2"/>
            <w:tabs>
              <w:tab w:val="right" w:leader="dot" w:pos="9350"/>
            </w:tabs>
            <w:rPr>
              <w:rFonts w:asciiTheme="minorHAnsi" w:eastAsiaTheme="minorEastAsia" w:hAnsiTheme="minorHAnsi"/>
              <w:noProof/>
              <w:sz w:val="22"/>
              <w:szCs w:val="22"/>
              <w:lang w:eastAsia="en-GB"/>
            </w:rPr>
          </w:pPr>
          <w:hyperlink w:anchor="_Toc78407969" w:history="1">
            <w:r w:rsidR="0011507C" w:rsidRPr="00A3549D">
              <w:rPr>
                <w:rStyle w:val="Hyperlink"/>
                <w:noProof/>
              </w:rPr>
              <w:t>1.2 STATEMENT OF THE PROBLEM</w:t>
            </w:r>
            <w:r w:rsidR="0011507C">
              <w:rPr>
                <w:noProof/>
                <w:webHidden/>
              </w:rPr>
              <w:tab/>
            </w:r>
            <w:r w:rsidR="0011507C">
              <w:rPr>
                <w:noProof/>
                <w:webHidden/>
              </w:rPr>
              <w:fldChar w:fldCharType="begin"/>
            </w:r>
            <w:r w:rsidR="0011507C">
              <w:rPr>
                <w:noProof/>
                <w:webHidden/>
              </w:rPr>
              <w:instrText xml:space="preserve"> PAGEREF _Toc78407969 \h </w:instrText>
            </w:r>
            <w:r w:rsidR="0011507C">
              <w:rPr>
                <w:noProof/>
                <w:webHidden/>
              </w:rPr>
            </w:r>
            <w:r w:rsidR="0011507C">
              <w:rPr>
                <w:noProof/>
                <w:webHidden/>
              </w:rPr>
              <w:fldChar w:fldCharType="separate"/>
            </w:r>
            <w:r w:rsidR="003F1A14">
              <w:rPr>
                <w:noProof/>
                <w:webHidden/>
              </w:rPr>
              <w:t>2</w:t>
            </w:r>
            <w:r w:rsidR="0011507C">
              <w:rPr>
                <w:noProof/>
                <w:webHidden/>
              </w:rPr>
              <w:fldChar w:fldCharType="end"/>
            </w:r>
          </w:hyperlink>
        </w:p>
        <w:p w14:paraId="59ED65F1" w14:textId="3BC3820F" w:rsidR="0011507C" w:rsidRDefault="00D3442C">
          <w:pPr>
            <w:pStyle w:val="TOC2"/>
            <w:tabs>
              <w:tab w:val="right" w:leader="dot" w:pos="9350"/>
            </w:tabs>
            <w:rPr>
              <w:rFonts w:asciiTheme="minorHAnsi" w:eastAsiaTheme="minorEastAsia" w:hAnsiTheme="minorHAnsi"/>
              <w:noProof/>
              <w:sz w:val="22"/>
              <w:szCs w:val="22"/>
              <w:lang w:eastAsia="en-GB"/>
            </w:rPr>
          </w:pPr>
          <w:hyperlink w:anchor="_Toc78407970" w:history="1">
            <w:r w:rsidR="0011507C" w:rsidRPr="00A3549D">
              <w:rPr>
                <w:rStyle w:val="Hyperlink"/>
                <w:noProof/>
              </w:rPr>
              <w:t>1.3 JUSTIFICATION FOR STUDY</w:t>
            </w:r>
            <w:r w:rsidR="0011507C">
              <w:rPr>
                <w:noProof/>
                <w:webHidden/>
              </w:rPr>
              <w:tab/>
            </w:r>
            <w:r w:rsidR="0011507C">
              <w:rPr>
                <w:noProof/>
                <w:webHidden/>
              </w:rPr>
              <w:fldChar w:fldCharType="begin"/>
            </w:r>
            <w:r w:rsidR="0011507C">
              <w:rPr>
                <w:noProof/>
                <w:webHidden/>
              </w:rPr>
              <w:instrText xml:space="preserve"> PAGEREF _Toc78407970 \h </w:instrText>
            </w:r>
            <w:r w:rsidR="0011507C">
              <w:rPr>
                <w:noProof/>
                <w:webHidden/>
              </w:rPr>
            </w:r>
            <w:r w:rsidR="0011507C">
              <w:rPr>
                <w:noProof/>
                <w:webHidden/>
              </w:rPr>
              <w:fldChar w:fldCharType="separate"/>
            </w:r>
            <w:r w:rsidR="003F1A14">
              <w:rPr>
                <w:noProof/>
                <w:webHidden/>
              </w:rPr>
              <w:t>2</w:t>
            </w:r>
            <w:r w:rsidR="0011507C">
              <w:rPr>
                <w:noProof/>
                <w:webHidden/>
              </w:rPr>
              <w:fldChar w:fldCharType="end"/>
            </w:r>
          </w:hyperlink>
        </w:p>
        <w:p w14:paraId="036CA313" w14:textId="7068BCAC" w:rsidR="0011507C" w:rsidRDefault="00D3442C">
          <w:pPr>
            <w:pStyle w:val="TOC2"/>
            <w:tabs>
              <w:tab w:val="right" w:leader="dot" w:pos="9350"/>
            </w:tabs>
            <w:rPr>
              <w:rFonts w:asciiTheme="minorHAnsi" w:eastAsiaTheme="minorEastAsia" w:hAnsiTheme="minorHAnsi"/>
              <w:noProof/>
              <w:sz w:val="22"/>
              <w:szCs w:val="22"/>
              <w:lang w:eastAsia="en-GB"/>
            </w:rPr>
          </w:pPr>
          <w:hyperlink w:anchor="_Toc78407971" w:history="1">
            <w:r w:rsidR="0011507C" w:rsidRPr="00A3549D">
              <w:rPr>
                <w:rStyle w:val="Hyperlink"/>
                <w:noProof/>
              </w:rPr>
              <w:t>1.4 SIGNIFICANCE OF STUDY</w:t>
            </w:r>
            <w:r w:rsidR="0011507C">
              <w:rPr>
                <w:noProof/>
                <w:webHidden/>
              </w:rPr>
              <w:tab/>
            </w:r>
            <w:r w:rsidR="0011507C">
              <w:rPr>
                <w:noProof/>
                <w:webHidden/>
              </w:rPr>
              <w:fldChar w:fldCharType="begin"/>
            </w:r>
            <w:r w:rsidR="0011507C">
              <w:rPr>
                <w:noProof/>
                <w:webHidden/>
              </w:rPr>
              <w:instrText xml:space="preserve"> PAGEREF _Toc78407971 \h </w:instrText>
            </w:r>
            <w:r w:rsidR="0011507C">
              <w:rPr>
                <w:noProof/>
                <w:webHidden/>
              </w:rPr>
            </w:r>
            <w:r w:rsidR="0011507C">
              <w:rPr>
                <w:noProof/>
                <w:webHidden/>
              </w:rPr>
              <w:fldChar w:fldCharType="separate"/>
            </w:r>
            <w:r w:rsidR="003F1A14">
              <w:rPr>
                <w:noProof/>
                <w:webHidden/>
              </w:rPr>
              <w:t>3</w:t>
            </w:r>
            <w:r w:rsidR="0011507C">
              <w:rPr>
                <w:noProof/>
                <w:webHidden/>
              </w:rPr>
              <w:fldChar w:fldCharType="end"/>
            </w:r>
          </w:hyperlink>
        </w:p>
        <w:p w14:paraId="79B8BF2E" w14:textId="0EA969BA" w:rsidR="0011507C" w:rsidRDefault="00D3442C">
          <w:pPr>
            <w:pStyle w:val="TOC2"/>
            <w:tabs>
              <w:tab w:val="right" w:leader="dot" w:pos="9350"/>
            </w:tabs>
            <w:rPr>
              <w:rFonts w:asciiTheme="minorHAnsi" w:eastAsiaTheme="minorEastAsia" w:hAnsiTheme="minorHAnsi"/>
              <w:noProof/>
              <w:sz w:val="22"/>
              <w:szCs w:val="22"/>
              <w:lang w:eastAsia="en-GB"/>
            </w:rPr>
          </w:pPr>
          <w:hyperlink w:anchor="_Toc78407972" w:history="1">
            <w:r w:rsidR="0011507C" w:rsidRPr="00A3549D">
              <w:rPr>
                <w:rStyle w:val="Hyperlink"/>
                <w:noProof/>
              </w:rPr>
              <w:t>1.5 STATEMENT OF AIM AND OBJECTIVES</w:t>
            </w:r>
            <w:r w:rsidR="0011507C">
              <w:rPr>
                <w:noProof/>
                <w:webHidden/>
              </w:rPr>
              <w:tab/>
            </w:r>
            <w:r w:rsidR="0011507C">
              <w:rPr>
                <w:noProof/>
                <w:webHidden/>
              </w:rPr>
              <w:fldChar w:fldCharType="begin"/>
            </w:r>
            <w:r w:rsidR="0011507C">
              <w:rPr>
                <w:noProof/>
                <w:webHidden/>
              </w:rPr>
              <w:instrText xml:space="preserve"> PAGEREF _Toc78407972 \h </w:instrText>
            </w:r>
            <w:r w:rsidR="0011507C">
              <w:rPr>
                <w:noProof/>
                <w:webHidden/>
              </w:rPr>
            </w:r>
            <w:r w:rsidR="0011507C">
              <w:rPr>
                <w:noProof/>
                <w:webHidden/>
              </w:rPr>
              <w:fldChar w:fldCharType="separate"/>
            </w:r>
            <w:r w:rsidR="003F1A14">
              <w:rPr>
                <w:noProof/>
                <w:webHidden/>
              </w:rPr>
              <w:t>3</w:t>
            </w:r>
            <w:r w:rsidR="0011507C">
              <w:rPr>
                <w:noProof/>
                <w:webHidden/>
              </w:rPr>
              <w:fldChar w:fldCharType="end"/>
            </w:r>
          </w:hyperlink>
        </w:p>
        <w:p w14:paraId="3F8B3927" w14:textId="6D87DA9D" w:rsidR="0011507C" w:rsidRDefault="00D3442C">
          <w:pPr>
            <w:pStyle w:val="TOC2"/>
            <w:tabs>
              <w:tab w:val="right" w:leader="dot" w:pos="9350"/>
            </w:tabs>
            <w:rPr>
              <w:rFonts w:asciiTheme="minorHAnsi" w:eastAsiaTheme="minorEastAsia" w:hAnsiTheme="minorHAnsi"/>
              <w:noProof/>
              <w:sz w:val="22"/>
              <w:szCs w:val="22"/>
              <w:lang w:eastAsia="en-GB"/>
            </w:rPr>
          </w:pPr>
          <w:hyperlink w:anchor="_Toc78407973" w:history="1">
            <w:r w:rsidR="0011507C" w:rsidRPr="00A3549D">
              <w:rPr>
                <w:rStyle w:val="Hyperlink"/>
                <w:noProof/>
              </w:rPr>
              <w:t>1.6 RESEARCH QUESTIONS</w:t>
            </w:r>
            <w:r w:rsidR="0011507C">
              <w:rPr>
                <w:noProof/>
                <w:webHidden/>
              </w:rPr>
              <w:tab/>
            </w:r>
            <w:r w:rsidR="0011507C">
              <w:rPr>
                <w:noProof/>
                <w:webHidden/>
              </w:rPr>
              <w:fldChar w:fldCharType="begin"/>
            </w:r>
            <w:r w:rsidR="0011507C">
              <w:rPr>
                <w:noProof/>
                <w:webHidden/>
              </w:rPr>
              <w:instrText xml:space="preserve"> PAGEREF _Toc78407973 \h </w:instrText>
            </w:r>
            <w:r w:rsidR="0011507C">
              <w:rPr>
                <w:noProof/>
                <w:webHidden/>
              </w:rPr>
            </w:r>
            <w:r w:rsidR="0011507C">
              <w:rPr>
                <w:noProof/>
                <w:webHidden/>
              </w:rPr>
              <w:fldChar w:fldCharType="separate"/>
            </w:r>
            <w:r w:rsidR="003F1A14">
              <w:rPr>
                <w:noProof/>
                <w:webHidden/>
              </w:rPr>
              <w:t>3</w:t>
            </w:r>
            <w:r w:rsidR="0011507C">
              <w:rPr>
                <w:noProof/>
                <w:webHidden/>
              </w:rPr>
              <w:fldChar w:fldCharType="end"/>
            </w:r>
          </w:hyperlink>
        </w:p>
        <w:p w14:paraId="5B1C674E" w14:textId="507D9EE5" w:rsidR="0011507C" w:rsidRDefault="00D3442C">
          <w:pPr>
            <w:pStyle w:val="TOC2"/>
            <w:tabs>
              <w:tab w:val="right" w:leader="dot" w:pos="9350"/>
            </w:tabs>
            <w:rPr>
              <w:rFonts w:asciiTheme="minorHAnsi" w:eastAsiaTheme="minorEastAsia" w:hAnsiTheme="minorHAnsi"/>
              <w:noProof/>
              <w:sz w:val="22"/>
              <w:szCs w:val="22"/>
              <w:lang w:eastAsia="en-GB"/>
            </w:rPr>
          </w:pPr>
          <w:hyperlink w:anchor="_Toc78407974" w:history="1">
            <w:r w:rsidR="0011507C" w:rsidRPr="00A3549D">
              <w:rPr>
                <w:rStyle w:val="Hyperlink"/>
                <w:noProof/>
              </w:rPr>
              <w:t>1.7 RESEARCH METHODOLOGY</w:t>
            </w:r>
            <w:r w:rsidR="0011507C">
              <w:rPr>
                <w:noProof/>
                <w:webHidden/>
              </w:rPr>
              <w:tab/>
            </w:r>
            <w:r w:rsidR="0011507C">
              <w:rPr>
                <w:noProof/>
                <w:webHidden/>
              </w:rPr>
              <w:fldChar w:fldCharType="begin"/>
            </w:r>
            <w:r w:rsidR="0011507C">
              <w:rPr>
                <w:noProof/>
                <w:webHidden/>
              </w:rPr>
              <w:instrText xml:space="preserve"> PAGEREF _Toc78407974 \h </w:instrText>
            </w:r>
            <w:r w:rsidR="0011507C">
              <w:rPr>
                <w:noProof/>
                <w:webHidden/>
              </w:rPr>
            </w:r>
            <w:r w:rsidR="0011507C">
              <w:rPr>
                <w:noProof/>
                <w:webHidden/>
              </w:rPr>
              <w:fldChar w:fldCharType="separate"/>
            </w:r>
            <w:r w:rsidR="003F1A14">
              <w:rPr>
                <w:noProof/>
                <w:webHidden/>
              </w:rPr>
              <w:t>3</w:t>
            </w:r>
            <w:r w:rsidR="0011507C">
              <w:rPr>
                <w:noProof/>
                <w:webHidden/>
              </w:rPr>
              <w:fldChar w:fldCharType="end"/>
            </w:r>
          </w:hyperlink>
        </w:p>
        <w:p w14:paraId="6BB408E1" w14:textId="4FE1FA2B" w:rsidR="0011507C" w:rsidRDefault="00D3442C">
          <w:pPr>
            <w:pStyle w:val="TOC2"/>
            <w:tabs>
              <w:tab w:val="right" w:leader="dot" w:pos="9350"/>
            </w:tabs>
            <w:rPr>
              <w:rFonts w:asciiTheme="minorHAnsi" w:eastAsiaTheme="minorEastAsia" w:hAnsiTheme="minorHAnsi"/>
              <w:noProof/>
              <w:sz w:val="22"/>
              <w:szCs w:val="22"/>
              <w:lang w:eastAsia="en-GB"/>
            </w:rPr>
          </w:pPr>
          <w:hyperlink w:anchor="_Toc78407975" w:history="1">
            <w:r w:rsidR="0011507C" w:rsidRPr="00A3549D">
              <w:rPr>
                <w:rStyle w:val="Hyperlink"/>
                <w:noProof/>
              </w:rPr>
              <w:t>1.8 HYPOTHESES</w:t>
            </w:r>
            <w:r w:rsidR="0011507C">
              <w:rPr>
                <w:noProof/>
                <w:webHidden/>
              </w:rPr>
              <w:tab/>
            </w:r>
            <w:r w:rsidR="0011507C">
              <w:rPr>
                <w:noProof/>
                <w:webHidden/>
              </w:rPr>
              <w:fldChar w:fldCharType="begin"/>
            </w:r>
            <w:r w:rsidR="0011507C">
              <w:rPr>
                <w:noProof/>
                <w:webHidden/>
              </w:rPr>
              <w:instrText xml:space="preserve"> PAGEREF _Toc78407975 \h </w:instrText>
            </w:r>
            <w:r w:rsidR="0011507C">
              <w:rPr>
                <w:noProof/>
                <w:webHidden/>
              </w:rPr>
            </w:r>
            <w:r w:rsidR="0011507C">
              <w:rPr>
                <w:noProof/>
                <w:webHidden/>
              </w:rPr>
              <w:fldChar w:fldCharType="separate"/>
            </w:r>
            <w:r w:rsidR="003F1A14">
              <w:rPr>
                <w:noProof/>
                <w:webHidden/>
              </w:rPr>
              <w:t>4</w:t>
            </w:r>
            <w:r w:rsidR="0011507C">
              <w:rPr>
                <w:noProof/>
                <w:webHidden/>
              </w:rPr>
              <w:fldChar w:fldCharType="end"/>
            </w:r>
          </w:hyperlink>
        </w:p>
        <w:p w14:paraId="74C58F01" w14:textId="6566E553" w:rsidR="0011507C" w:rsidRDefault="00D3442C">
          <w:pPr>
            <w:pStyle w:val="TOC2"/>
            <w:tabs>
              <w:tab w:val="right" w:leader="dot" w:pos="9350"/>
            </w:tabs>
            <w:rPr>
              <w:rFonts w:asciiTheme="minorHAnsi" w:eastAsiaTheme="minorEastAsia" w:hAnsiTheme="minorHAnsi"/>
              <w:noProof/>
              <w:sz w:val="22"/>
              <w:szCs w:val="22"/>
              <w:lang w:eastAsia="en-GB"/>
            </w:rPr>
          </w:pPr>
          <w:hyperlink w:anchor="_Toc78407976" w:history="1">
            <w:r w:rsidR="0011507C" w:rsidRPr="00A3549D">
              <w:rPr>
                <w:rStyle w:val="Hyperlink"/>
                <w:noProof/>
              </w:rPr>
              <w:t>1.9 LIMITATIONS OF STUDY</w:t>
            </w:r>
            <w:r w:rsidR="0011507C">
              <w:rPr>
                <w:noProof/>
                <w:webHidden/>
              </w:rPr>
              <w:tab/>
            </w:r>
            <w:r w:rsidR="0011507C">
              <w:rPr>
                <w:noProof/>
                <w:webHidden/>
              </w:rPr>
              <w:fldChar w:fldCharType="begin"/>
            </w:r>
            <w:r w:rsidR="0011507C">
              <w:rPr>
                <w:noProof/>
                <w:webHidden/>
              </w:rPr>
              <w:instrText xml:space="preserve"> PAGEREF _Toc78407976 \h </w:instrText>
            </w:r>
            <w:r w:rsidR="0011507C">
              <w:rPr>
                <w:noProof/>
                <w:webHidden/>
              </w:rPr>
            </w:r>
            <w:r w:rsidR="0011507C">
              <w:rPr>
                <w:noProof/>
                <w:webHidden/>
              </w:rPr>
              <w:fldChar w:fldCharType="separate"/>
            </w:r>
            <w:r w:rsidR="003F1A14">
              <w:rPr>
                <w:noProof/>
                <w:webHidden/>
              </w:rPr>
              <w:t>4</w:t>
            </w:r>
            <w:r w:rsidR="0011507C">
              <w:rPr>
                <w:noProof/>
                <w:webHidden/>
              </w:rPr>
              <w:fldChar w:fldCharType="end"/>
            </w:r>
          </w:hyperlink>
        </w:p>
        <w:p w14:paraId="5A0C0F86" w14:textId="294EB7AE" w:rsidR="0011507C" w:rsidRDefault="00D3442C">
          <w:pPr>
            <w:pStyle w:val="TOC2"/>
            <w:tabs>
              <w:tab w:val="right" w:leader="dot" w:pos="9350"/>
            </w:tabs>
            <w:rPr>
              <w:rFonts w:asciiTheme="minorHAnsi" w:eastAsiaTheme="minorEastAsia" w:hAnsiTheme="minorHAnsi"/>
              <w:noProof/>
              <w:sz w:val="22"/>
              <w:szCs w:val="22"/>
              <w:lang w:eastAsia="en-GB"/>
            </w:rPr>
          </w:pPr>
          <w:hyperlink w:anchor="_Toc78407977" w:history="1">
            <w:r w:rsidR="0011507C" w:rsidRPr="00A3549D">
              <w:rPr>
                <w:rStyle w:val="Hyperlink"/>
                <w:noProof/>
              </w:rPr>
              <w:t>1.10 CHAPTER BREAKDOWN</w:t>
            </w:r>
            <w:r w:rsidR="0011507C">
              <w:rPr>
                <w:noProof/>
                <w:webHidden/>
              </w:rPr>
              <w:tab/>
            </w:r>
            <w:r w:rsidR="0011507C">
              <w:rPr>
                <w:noProof/>
                <w:webHidden/>
              </w:rPr>
              <w:fldChar w:fldCharType="begin"/>
            </w:r>
            <w:r w:rsidR="0011507C">
              <w:rPr>
                <w:noProof/>
                <w:webHidden/>
              </w:rPr>
              <w:instrText xml:space="preserve"> PAGEREF _Toc78407977 \h </w:instrText>
            </w:r>
            <w:r w:rsidR="0011507C">
              <w:rPr>
                <w:noProof/>
                <w:webHidden/>
              </w:rPr>
            </w:r>
            <w:r w:rsidR="0011507C">
              <w:rPr>
                <w:noProof/>
                <w:webHidden/>
              </w:rPr>
              <w:fldChar w:fldCharType="separate"/>
            </w:r>
            <w:r w:rsidR="003F1A14">
              <w:rPr>
                <w:noProof/>
                <w:webHidden/>
              </w:rPr>
              <w:t>4</w:t>
            </w:r>
            <w:r w:rsidR="0011507C">
              <w:rPr>
                <w:noProof/>
                <w:webHidden/>
              </w:rPr>
              <w:fldChar w:fldCharType="end"/>
            </w:r>
          </w:hyperlink>
        </w:p>
        <w:p w14:paraId="1BBC72C1" w14:textId="53E2110D" w:rsidR="0011507C" w:rsidRDefault="00D3442C">
          <w:pPr>
            <w:pStyle w:val="TOC1"/>
            <w:rPr>
              <w:rFonts w:asciiTheme="minorHAnsi" w:eastAsiaTheme="minorEastAsia" w:hAnsiTheme="minorHAnsi"/>
              <w:b w:val="0"/>
              <w:bCs w:val="0"/>
              <w:sz w:val="22"/>
              <w:szCs w:val="22"/>
              <w:lang w:eastAsia="en-GB"/>
            </w:rPr>
          </w:pPr>
          <w:hyperlink w:anchor="_Toc78407978" w:history="1">
            <w:r w:rsidR="0011507C" w:rsidRPr="00A3549D">
              <w:rPr>
                <w:rStyle w:val="Hyperlink"/>
              </w:rPr>
              <w:t>CHAPTER 2: THEORETICAL FRAMEWORK</w:t>
            </w:r>
            <w:r w:rsidR="0011507C">
              <w:rPr>
                <w:webHidden/>
              </w:rPr>
              <w:tab/>
            </w:r>
            <w:r w:rsidR="0011507C">
              <w:rPr>
                <w:webHidden/>
              </w:rPr>
              <w:fldChar w:fldCharType="begin"/>
            </w:r>
            <w:r w:rsidR="0011507C">
              <w:rPr>
                <w:webHidden/>
              </w:rPr>
              <w:instrText xml:space="preserve"> PAGEREF _Toc78407978 \h </w:instrText>
            </w:r>
            <w:r w:rsidR="0011507C">
              <w:rPr>
                <w:webHidden/>
              </w:rPr>
            </w:r>
            <w:r w:rsidR="0011507C">
              <w:rPr>
                <w:webHidden/>
              </w:rPr>
              <w:fldChar w:fldCharType="separate"/>
            </w:r>
            <w:r w:rsidR="003F1A14">
              <w:rPr>
                <w:webHidden/>
              </w:rPr>
              <w:t>6</w:t>
            </w:r>
            <w:r w:rsidR="0011507C">
              <w:rPr>
                <w:webHidden/>
              </w:rPr>
              <w:fldChar w:fldCharType="end"/>
            </w:r>
          </w:hyperlink>
        </w:p>
        <w:p w14:paraId="278B1F3F" w14:textId="1302248F" w:rsidR="0011507C" w:rsidRDefault="00D3442C">
          <w:pPr>
            <w:pStyle w:val="TOC2"/>
            <w:tabs>
              <w:tab w:val="right" w:leader="dot" w:pos="9350"/>
            </w:tabs>
            <w:rPr>
              <w:rFonts w:asciiTheme="minorHAnsi" w:eastAsiaTheme="minorEastAsia" w:hAnsiTheme="minorHAnsi"/>
              <w:noProof/>
              <w:sz w:val="22"/>
              <w:szCs w:val="22"/>
              <w:lang w:eastAsia="en-GB"/>
            </w:rPr>
          </w:pPr>
          <w:hyperlink w:anchor="_Toc78407979" w:history="1">
            <w:r w:rsidR="0011507C" w:rsidRPr="00A3549D">
              <w:rPr>
                <w:rStyle w:val="Hyperlink"/>
                <w:noProof/>
              </w:rPr>
              <w:t>2.1 THE RELATIONSHIP BETWEEN CULTURE AND LAW</w:t>
            </w:r>
            <w:r w:rsidR="0011507C">
              <w:rPr>
                <w:noProof/>
                <w:webHidden/>
              </w:rPr>
              <w:tab/>
            </w:r>
            <w:r w:rsidR="0011507C">
              <w:rPr>
                <w:noProof/>
                <w:webHidden/>
              </w:rPr>
              <w:fldChar w:fldCharType="begin"/>
            </w:r>
            <w:r w:rsidR="0011507C">
              <w:rPr>
                <w:noProof/>
                <w:webHidden/>
              </w:rPr>
              <w:instrText xml:space="preserve"> PAGEREF _Toc78407979 \h </w:instrText>
            </w:r>
            <w:r w:rsidR="0011507C">
              <w:rPr>
                <w:noProof/>
                <w:webHidden/>
              </w:rPr>
            </w:r>
            <w:r w:rsidR="0011507C">
              <w:rPr>
                <w:noProof/>
                <w:webHidden/>
              </w:rPr>
              <w:fldChar w:fldCharType="separate"/>
            </w:r>
            <w:r w:rsidR="003F1A14">
              <w:rPr>
                <w:noProof/>
                <w:webHidden/>
              </w:rPr>
              <w:t>6</w:t>
            </w:r>
            <w:r w:rsidR="0011507C">
              <w:rPr>
                <w:noProof/>
                <w:webHidden/>
              </w:rPr>
              <w:fldChar w:fldCharType="end"/>
            </w:r>
          </w:hyperlink>
        </w:p>
        <w:p w14:paraId="1F3A7228" w14:textId="644F6C68" w:rsidR="0011507C" w:rsidRDefault="00D3442C">
          <w:pPr>
            <w:pStyle w:val="TOC2"/>
            <w:tabs>
              <w:tab w:val="right" w:leader="dot" w:pos="9350"/>
            </w:tabs>
            <w:rPr>
              <w:rFonts w:asciiTheme="minorHAnsi" w:eastAsiaTheme="minorEastAsia" w:hAnsiTheme="minorHAnsi"/>
              <w:noProof/>
              <w:sz w:val="22"/>
              <w:szCs w:val="22"/>
              <w:lang w:eastAsia="en-GB"/>
            </w:rPr>
          </w:pPr>
          <w:hyperlink w:anchor="_Toc78407980" w:history="1">
            <w:r w:rsidR="0011507C" w:rsidRPr="00A3549D">
              <w:rPr>
                <w:rStyle w:val="Hyperlink"/>
                <w:noProof/>
              </w:rPr>
              <w:t>2.1 CUSTOM THEORY</w:t>
            </w:r>
            <w:r w:rsidR="0011507C">
              <w:rPr>
                <w:noProof/>
                <w:webHidden/>
              </w:rPr>
              <w:tab/>
            </w:r>
            <w:r w:rsidR="0011507C">
              <w:rPr>
                <w:noProof/>
                <w:webHidden/>
              </w:rPr>
              <w:fldChar w:fldCharType="begin"/>
            </w:r>
            <w:r w:rsidR="0011507C">
              <w:rPr>
                <w:noProof/>
                <w:webHidden/>
              </w:rPr>
              <w:instrText xml:space="preserve"> PAGEREF _Toc78407980 \h </w:instrText>
            </w:r>
            <w:r w:rsidR="0011507C">
              <w:rPr>
                <w:noProof/>
                <w:webHidden/>
              </w:rPr>
            </w:r>
            <w:r w:rsidR="0011507C">
              <w:rPr>
                <w:noProof/>
                <w:webHidden/>
              </w:rPr>
              <w:fldChar w:fldCharType="separate"/>
            </w:r>
            <w:r w:rsidR="003F1A14">
              <w:rPr>
                <w:noProof/>
                <w:webHidden/>
              </w:rPr>
              <w:t>8</w:t>
            </w:r>
            <w:r w:rsidR="0011507C">
              <w:rPr>
                <w:noProof/>
                <w:webHidden/>
              </w:rPr>
              <w:fldChar w:fldCharType="end"/>
            </w:r>
          </w:hyperlink>
        </w:p>
        <w:p w14:paraId="203A19D6" w14:textId="287D683E" w:rsidR="0011507C" w:rsidRDefault="00D3442C">
          <w:pPr>
            <w:pStyle w:val="TOC2"/>
            <w:tabs>
              <w:tab w:val="right" w:leader="dot" w:pos="9350"/>
            </w:tabs>
            <w:rPr>
              <w:rFonts w:asciiTheme="minorHAnsi" w:eastAsiaTheme="minorEastAsia" w:hAnsiTheme="minorHAnsi"/>
              <w:noProof/>
              <w:sz w:val="22"/>
              <w:szCs w:val="22"/>
              <w:lang w:eastAsia="en-GB"/>
            </w:rPr>
          </w:pPr>
          <w:hyperlink w:anchor="_Toc78407981" w:history="1">
            <w:r w:rsidR="0011507C" w:rsidRPr="00A3549D">
              <w:rPr>
                <w:rStyle w:val="Hyperlink"/>
                <w:noProof/>
              </w:rPr>
              <w:t>2.2 LEGAL ENGINEERING THEORY</w:t>
            </w:r>
            <w:r w:rsidR="0011507C">
              <w:rPr>
                <w:noProof/>
                <w:webHidden/>
              </w:rPr>
              <w:tab/>
            </w:r>
            <w:r w:rsidR="0011507C">
              <w:rPr>
                <w:noProof/>
                <w:webHidden/>
              </w:rPr>
              <w:fldChar w:fldCharType="begin"/>
            </w:r>
            <w:r w:rsidR="0011507C">
              <w:rPr>
                <w:noProof/>
                <w:webHidden/>
              </w:rPr>
              <w:instrText xml:space="preserve"> PAGEREF _Toc78407981 \h </w:instrText>
            </w:r>
            <w:r w:rsidR="0011507C">
              <w:rPr>
                <w:noProof/>
                <w:webHidden/>
              </w:rPr>
            </w:r>
            <w:r w:rsidR="0011507C">
              <w:rPr>
                <w:noProof/>
                <w:webHidden/>
              </w:rPr>
              <w:fldChar w:fldCharType="separate"/>
            </w:r>
            <w:r w:rsidR="003F1A14">
              <w:rPr>
                <w:noProof/>
                <w:webHidden/>
              </w:rPr>
              <w:t>9</w:t>
            </w:r>
            <w:r w:rsidR="0011507C">
              <w:rPr>
                <w:noProof/>
                <w:webHidden/>
              </w:rPr>
              <w:fldChar w:fldCharType="end"/>
            </w:r>
          </w:hyperlink>
        </w:p>
        <w:p w14:paraId="6FFDEE25" w14:textId="314419E9" w:rsidR="0011507C" w:rsidRDefault="00D3442C">
          <w:pPr>
            <w:pStyle w:val="TOC2"/>
            <w:tabs>
              <w:tab w:val="right" w:leader="dot" w:pos="9350"/>
            </w:tabs>
            <w:rPr>
              <w:rFonts w:asciiTheme="minorHAnsi" w:eastAsiaTheme="minorEastAsia" w:hAnsiTheme="minorHAnsi"/>
              <w:noProof/>
              <w:sz w:val="22"/>
              <w:szCs w:val="22"/>
              <w:lang w:eastAsia="en-GB"/>
            </w:rPr>
          </w:pPr>
          <w:hyperlink w:anchor="_Toc78407982" w:history="1">
            <w:r w:rsidR="0011507C" w:rsidRPr="00A3549D">
              <w:rPr>
                <w:rStyle w:val="Hyperlink"/>
                <w:noProof/>
              </w:rPr>
              <w:t>2.3 HYBRID THEORY</w:t>
            </w:r>
            <w:r w:rsidR="0011507C">
              <w:rPr>
                <w:noProof/>
                <w:webHidden/>
              </w:rPr>
              <w:tab/>
            </w:r>
            <w:r w:rsidR="0011507C">
              <w:rPr>
                <w:noProof/>
                <w:webHidden/>
              </w:rPr>
              <w:fldChar w:fldCharType="begin"/>
            </w:r>
            <w:r w:rsidR="0011507C">
              <w:rPr>
                <w:noProof/>
                <w:webHidden/>
              </w:rPr>
              <w:instrText xml:space="preserve"> PAGEREF _Toc78407982 \h </w:instrText>
            </w:r>
            <w:r w:rsidR="0011507C">
              <w:rPr>
                <w:noProof/>
                <w:webHidden/>
              </w:rPr>
            </w:r>
            <w:r w:rsidR="0011507C">
              <w:rPr>
                <w:noProof/>
                <w:webHidden/>
              </w:rPr>
              <w:fldChar w:fldCharType="separate"/>
            </w:r>
            <w:r w:rsidR="003F1A14">
              <w:rPr>
                <w:noProof/>
                <w:webHidden/>
              </w:rPr>
              <w:t>9</w:t>
            </w:r>
            <w:r w:rsidR="0011507C">
              <w:rPr>
                <w:noProof/>
                <w:webHidden/>
              </w:rPr>
              <w:fldChar w:fldCharType="end"/>
            </w:r>
          </w:hyperlink>
        </w:p>
        <w:p w14:paraId="7BA6059D" w14:textId="2C56548D" w:rsidR="0011507C" w:rsidRDefault="00D3442C">
          <w:pPr>
            <w:pStyle w:val="TOC2"/>
            <w:tabs>
              <w:tab w:val="right" w:leader="dot" w:pos="9350"/>
            </w:tabs>
            <w:rPr>
              <w:rFonts w:asciiTheme="minorHAnsi" w:eastAsiaTheme="minorEastAsia" w:hAnsiTheme="minorHAnsi"/>
              <w:noProof/>
              <w:sz w:val="22"/>
              <w:szCs w:val="22"/>
              <w:lang w:eastAsia="en-GB"/>
            </w:rPr>
          </w:pPr>
          <w:hyperlink w:anchor="_Toc78407983" w:history="1">
            <w:r w:rsidR="0011507C" w:rsidRPr="00A3549D">
              <w:rPr>
                <w:rStyle w:val="Hyperlink"/>
                <w:noProof/>
              </w:rPr>
              <w:t>2.4 SCHOLARLY WORK</w:t>
            </w:r>
            <w:r w:rsidR="0011507C">
              <w:rPr>
                <w:noProof/>
                <w:webHidden/>
              </w:rPr>
              <w:tab/>
            </w:r>
            <w:r w:rsidR="0011507C">
              <w:rPr>
                <w:noProof/>
                <w:webHidden/>
              </w:rPr>
              <w:fldChar w:fldCharType="begin"/>
            </w:r>
            <w:r w:rsidR="0011507C">
              <w:rPr>
                <w:noProof/>
                <w:webHidden/>
              </w:rPr>
              <w:instrText xml:space="preserve"> PAGEREF _Toc78407983 \h </w:instrText>
            </w:r>
            <w:r w:rsidR="0011507C">
              <w:rPr>
                <w:noProof/>
                <w:webHidden/>
              </w:rPr>
            </w:r>
            <w:r w:rsidR="0011507C">
              <w:rPr>
                <w:noProof/>
                <w:webHidden/>
              </w:rPr>
              <w:fldChar w:fldCharType="separate"/>
            </w:r>
            <w:r w:rsidR="003F1A14">
              <w:rPr>
                <w:noProof/>
                <w:webHidden/>
              </w:rPr>
              <w:t>11</w:t>
            </w:r>
            <w:r w:rsidR="0011507C">
              <w:rPr>
                <w:noProof/>
                <w:webHidden/>
              </w:rPr>
              <w:fldChar w:fldCharType="end"/>
            </w:r>
          </w:hyperlink>
        </w:p>
        <w:p w14:paraId="2B3241C3" w14:textId="373C3417" w:rsidR="0011507C" w:rsidRDefault="00D3442C">
          <w:pPr>
            <w:pStyle w:val="TOC1"/>
            <w:rPr>
              <w:rFonts w:asciiTheme="minorHAnsi" w:eastAsiaTheme="minorEastAsia" w:hAnsiTheme="minorHAnsi"/>
              <w:b w:val="0"/>
              <w:bCs w:val="0"/>
              <w:sz w:val="22"/>
              <w:szCs w:val="22"/>
              <w:lang w:eastAsia="en-GB"/>
            </w:rPr>
          </w:pPr>
          <w:hyperlink w:anchor="_Toc78407984" w:history="1">
            <w:r w:rsidR="0011507C" w:rsidRPr="00A3549D">
              <w:rPr>
                <w:rStyle w:val="Hyperlink"/>
              </w:rPr>
              <w:t>CHAPTER 3: UNDERSTANDING THE TRANSPLANTATION OF MARRIAGE LAWS IN KENYA</w:t>
            </w:r>
            <w:r w:rsidR="0011507C">
              <w:rPr>
                <w:webHidden/>
              </w:rPr>
              <w:tab/>
            </w:r>
            <w:r w:rsidR="0011507C">
              <w:rPr>
                <w:webHidden/>
              </w:rPr>
              <w:fldChar w:fldCharType="begin"/>
            </w:r>
            <w:r w:rsidR="0011507C">
              <w:rPr>
                <w:webHidden/>
              </w:rPr>
              <w:instrText xml:space="preserve"> PAGEREF _Toc78407984 \h </w:instrText>
            </w:r>
            <w:r w:rsidR="0011507C">
              <w:rPr>
                <w:webHidden/>
              </w:rPr>
            </w:r>
            <w:r w:rsidR="0011507C">
              <w:rPr>
                <w:webHidden/>
              </w:rPr>
              <w:fldChar w:fldCharType="separate"/>
            </w:r>
            <w:r w:rsidR="003F1A14">
              <w:rPr>
                <w:webHidden/>
              </w:rPr>
              <w:t>15</w:t>
            </w:r>
            <w:r w:rsidR="0011507C">
              <w:rPr>
                <w:webHidden/>
              </w:rPr>
              <w:fldChar w:fldCharType="end"/>
            </w:r>
          </w:hyperlink>
        </w:p>
        <w:p w14:paraId="421194B4" w14:textId="796C2EC3" w:rsidR="0011507C" w:rsidRPr="0011507C" w:rsidRDefault="00D3442C">
          <w:pPr>
            <w:pStyle w:val="TOC3"/>
            <w:rPr>
              <w:rFonts w:asciiTheme="minorHAnsi" w:eastAsiaTheme="minorEastAsia" w:hAnsiTheme="minorHAnsi"/>
              <w:noProof/>
              <w:sz w:val="22"/>
              <w:szCs w:val="22"/>
              <w:lang w:eastAsia="en-GB"/>
            </w:rPr>
          </w:pPr>
          <w:hyperlink w:anchor="_Toc78407985" w:history="1">
            <w:r w:rsidR="0011507C" w:rsidRPr="00A3549D">
              <w:rPr>
                <w:rStyle w:val="Hyperlink"/>
                <w:noProof/>
              </w:rPr>
              <w:t>3.1 DEVELOPMENT OF MARRIAGE LAWS IN KENYA</w:t>
            </w:r>
            <w:r w:rsidR="0011507C">
              <w:rPr>
                <w:noProof/>
                <w:webHidden/>
              </w:rPr>
              <w:tab/>
            </w:r>
            <w:r w:rsidR="0011507C">
              <w:rPr>
                <w:noProof/>
                <w:webHidden/>
              </w:rPr>
              <w:fldChar w:fldCharType="begin"/>
            </w:r>
            <w:r w:rsidR="0011507C">
              <w:rPr>
                <w:noProof/>
                <w:webHidden/>
              </w:rPr>
              <w:instrText xml:space="preserve"> PAGEREF _Toc78407985 \h </w:instrText>
            </w:r>
            <w:r w:rsidR="0011507C">
              <w:rPr>
                <w:noProof/>
                <w:webHidden/>
              </w:rPr>
            </w:r>
            <w:r w:rsidR="0011507C">
              <w:rPr>
                <w:noProof/>
                <w:webHidden/>
              </w:rPr>
              <w:fldChar w:fldCharType="separate"/>
            </w:r>
            <w:r w:rsidR="003F1A14">
              <w:rPr>
                <w:noProof/>
                <w:webHidden/>
              </w:rPr>
              <w:t>15</w:t>
            </w:r>
            <w:r w:rsidR="0011507C">
              <w:rPr>
                <w:noProof/>
                <w:webHidden/>
              </w:rPr>
              <w:fldChar w:fldCharType="end"/>
            </w:r>
          </w:hyperlink>
        </w:p>
        <w:p w14:paraId="3782A671" w14:textId="42A7976B" w:rsidR="0011507C" w:rsidRDefault="00D3442C">
          <w:pPr>
            <w:pStyle w:val="TOC2"/>
            <w:tabs>
              <w:tab w:val="right" w:leader="dot" w:pos="9350"/>
            </w:tabs>
            <w:rPr>
              <w:rFonts w:asciiTheme="minorHAnsi" w:eastAsiaTheme="minorEastAsia" w:hAnsiTheme="minorHAnsi"/>
              <w:noProof/>
              <w:sz w:val="22"/>
              <w:szCs w:val="22"/>
              <w:lang w:eastAsia="en-GB"/>
            </w:rPr>
          </w:pPr>
          <w:hyperlink w:anchor="_Toc78407986" w:history="1">
            <w:r w:rsidR="0011507C" w:rsidRPr="00A3549D">
              <w:rPr>
                <w:rStyle w:val="Hyperlink"/>
                <w:noProof/>
              </w:rPr>
              <w:t>3.1.1.1 BETROTHAL CEREMONIES, DOWRY AND VALIDITY OF CUSTOMARY MARRIAGES</w:t>
            </w:r>
            <w:r w:rsidR="0011507C">
              <w:rPr>
                <w:noProof/>
                <w:webHidden/>
              </w:rPr>
              <w:tab/>
            </w:r>
            <w:r w:rsidR="0011507C">
              <w:rPr>
                <w:noProof/>
                <w:webHidden/>
              </w:rPr>
              <w:fldChar w:fldCharType="begin"/>
            </w:r>
            <w:r w:rsidR="0011507C">
              <w:rPr>
                <w:noProof/>
                <w:webHidden/>
              </w:rPr>
              <w:instrText xml:space="preserve"> PAGEREF _Toc78407986 \h </w:instrText>
            </w:r>
            <w:r w:rsidR="0011507C">
              <w:rPr>
                <w:noProof/>
                <w:webHidden/>
              </w:rPr>
            </w:r>
            <w:r w:rsidR="0011507C">
              <w:rPr>
                <w:noProof/>
                <w:webHidden/>
              </w:rPr>
              <w:fldChar w:fldCharType="separate"/>
            </w:r>
            <w:r w:rsidR="003F1A14">
              <w:rPr>
                <w:noProof/>
                <w:webHidden/>
              </w:rPr>
              <w:t>18</w:t>
            </w:r>
            <w:r w:rsidR="0011507C">
              <w:rPr>
                <w:noProof/>
                <w:webHidden/>
              </w:rPr>
              <w:fldChar w:fldCharType="end"/>
            </w:r>
          </w:hyperlink>
        </w:p>
        <w:p w14:paraId="2A3809DB" w14:textId="758534D5" w:rsidR="0011507C" w:rsidRDefault="00D3442C">
          <w:pPr>
            <w:pStyle w:val="TOC2"/>
            <w:tabs>
              <w:tab w:val="right" w:leader="dot" w:pos="9350"/>
            </w:tabs>
            <w:rPr>
              <w:rFonts w:asciiTheme="minorHAnsi" w:eastAsiaTheme="minorEastAsia" w:hAnsiTheme="minorHAnsi"/>
              <w:noProof/>
              <w:sz w:val="22"/>
              <w:szCs w:val="22"/>
              <w:lang w:eastAsia="en-GB"/>
            </w:rPr>
          </w:pPr>
          <w:hyperlink w:anchor="_Toc78407987" w:history="1">
            <w:r w:rsidR="0011507C" w:rsidRPr="00A3549D">
              <w:rPr>
                <w:rStyle w:val="Hyperlink"/>
                <w:noProof/>
              </w:rPr>
              <w:t>3.1.1.2 DISSOLUTION</w:t>
            </w:r>
            <w:r w:rsidR="0011507C">
              <w:rPr>
                <w:noProof/>
                <w:webHidden/>
              </w:rPr>
              <w:tab/>
            </w:r>
            <w:r w:rsidR="0011507C">
              <w:rPr>
                <w:noProof/>
                <w:webHidden/>
              </w:rPr>
              <w:fldChar w:fldCharType="begin"/>
            </w:r>
            <w:r w:rsidR="0011507C">
              <w:rPr>
                <w:noProof/>
                <w:webHidden/>
              </w:rPr>
              <w:instrText xml:space="preserve"> PAGEREF _Toc78407987 \h </w:instrText>
            </w:r>
            <w:r w:rsidR="0011507C">
              <w:rPr>
                <w:noProof/>
                <w:webHidden/>
              </w:rPr>
            </w:r>
            <w:r w:rsidR="0011507C">
              <w:rPr>
                <w:noProof/>
                <w:webHidden/>
              </w:rPr>
              <w:fldChar w:fldCharType="separate"/>
            </w:r>
            <w:r w:rsidR="003F1A14">
              <w:rPr>
                <w:noProof/>
                <w:webHidden/>
              </w:rPr>
              <w:t>18</w:t>
            </w:r>
            <w:r w:rsidR="0011507C">
              <w:rPr>
                <w:noProof/>
                <w:webHidden/>
              </w:rPr>
              <w:fldChar w:fldCharType="end"/>
            </w:r>
          </w:hyperlink>
        </w:p>
        <w:p w14:paraId="42DED101" w14:textId="0C3C90E1" w:rsidR="0011507C" w:rsidRDefault="00D3442C">
          <w:pPr>
            <w:pStyle w:val="TOC3"/>
            <w:rPr>
              <w:rFonts w:asciiTheme="minorHAnsi" w:eastAsiaTheme="minorEastAsia" w:hAnsiTheme="minorHAnsi"/>
              <w:noProof/>
              <w:sz w:val="22"/>
              <w:szCs w:val="22"/>
              <w:lang w:eastAsia="en-GB"/>
            </w:rPr>
          </w:pPr>
          <w:hyperlink w:anchor="_Toc78407988" w:history="1">
            <w:r w:rsidR="0011507C" w:rsidRPr="00A3549D">
              <w:rPr>
                <w:rStyle w:val="Hyperlink"/>
                <w:noProof/>
              </w:rPr>
              <w:t>3.1.2 COLONIAL ERA</w:t>
            </w:r>
            <w:r w:rsidR="0011507C">
              <w:rPr>
                <w:noProof/>
                <w:webHidden/>
              </w:rPr>
              <w:tab/>
            </w:r>
            <w:r w:rsidR="0011507C">
              <w:rPr>
                <w:noProof/>
                <w:webHidden/>
              </w:rPr>
              <w:fldChar w:fldCharType="begin"/>
            </w:r>
            <w:r w:rsidR="0011507C">
              <w:rPr>
                <w:noProof/>
                <w:webHidden/>
              </w:rPr>
              <w:instrText xml:space="preserve"> PAGEREF _Toc78407988 \h </w:instrText>
            </w:r>
            <w:r w:rsidR="0011507C">
              <w:rPr>
                <w:noProof/>
                <w:webHidden/>
              </w:rPr>
            </w:r>
            <w:r w:rsidR="0011507C">
              <w:rPr>
                <w:noProof/>
                <w:webHidden/>
              </w:rPr>
              <w:fldChar w:fldCharType="separate"/>
            </w:r>
            <w:r w:rsidR="003F1A14">
              <w:rPr>
                <w:noProof/>
                <w:webHidden/>
              </w:rPr>
              <w:t>20</w:t>
            </w:r>
            <w:r w:rsidR="0011507C">
              <w:rPr>
                <w:noProof/>
                <w:webHidden/>
              </w:rPr>
              <w:fldChar w:fldCharType="end"/>
            </w:r>
          </w:hyperlink>
        </w:p>
        <w:p w14:paraId="7904E0E9" w14:textId="21FB8FC8" w:rsidR="0011507C" w:rsidRDefault="00D3442C">
          <w:pPr>
            <w:pStyle w:val="TOC3"/>
            <w:rPr>
              <w:rFonts w:asciiTheme="minorHAnsi" w:eastAsiaTheme="minorEastAsia" w:hAnsiTheme="minorHAnsi"/>
              <w:noProof/>
              <w:sz w:val="22"/>
              <w:szCs w:val="22"/>
              <w:lang w:eastAsia="en-GB"/>
            </w:rPr>
          </w:pPr>
          <w:hyperlink w:anchor="_Toc78407989" w:history="1">
            <w:r w:rsidR="0011507C" w:rsidRPr="00A3549D">
              <w:rPr>
                <w:rStyle w:val="Hyperlink"/>
                <w:noProof/>
              </w:rPr>
              <w:t>3.1.3 POST-INDEPENDENCE</w:t>
            </w:r>
            <w:r w:rsidR="0011507C">
              <w:rPr>
                <w:noProof/>
                <w:webHidden/>
              </w:rPr>
              <w:tab/>
            </w:r>
            <w:r w:rsidR="0011507C">
              <w:rPr>
                <w:noProof/>
                <w:webHidden/>
              </w:rPr>
              <w:fldChar w:fldCharType="begin"/>
            </w:r>
            <w:r w:rsidR="0011507C">
              <w:rPr>
                <w:noProof/>
                <w:webHidden/>
              </w:rPr>
              <w:instrText xml:space="preserve"> PAGEREF _Toc78407989 \h </w:instrText>
            </w:r>
            <w:r w:rsidR="0011507C">
              <w:rPr>
                <w:noProof/>
                <w:webHidden/>
              </w:rPr>
            </w:r>
            <w:r w:rsidR="0011507C">
              <w:rPr>
                <w:noProof/>
                <w:webHidden/>
              </w:rPr>
              <w:fldChar w:fldCharType="separate"/>
            </w:r>
            <w:r w:rsidR="003F1A14">
              <w:rPr>
                <w:noProof/>
                <w:webHidden/>
              </w:rPr>
              <w:t>21</w:t>
            </w:r>
            <w:r w:rsidR="0011507C">
              <w:rPr>
                <w:noProof/>
                <w:webHidden/>
              </w:rPr>
              <w:fldChar w:fldCharType="end"/>
            </w:r>
          </w:hyperlink>
        </w:p>
        <w:p w14:paraId="4B354AC6" w14:textId="6AD6E2FD" w:rsidR="0011507C" w:rsidRDefault="00D3442C">
          <w:pPr>
            <w:pStyle w:val="TOC3"/>
            <w:rPr>
              <w:rFonts w:asciiTheme="minorHAnsi" w:eastAsiaTheme="minorEastAsia" w:hAnsiTheme="minorHAnsi"/>
              <w:noProof/>
              <w:sz w:val="22"/>
              <w:szCs w:val="22"/>
              <w:lang w:eastAsia="en-GB"/>
            </w:rPr>
          </w:pPr>
          <w:hyperlink w:anchor="_Toc78407990" w:history="1">
            <w:r w:rsidR="0011507C" w:rsidRPr="00A3549D">
              <w:rPr>
                <w:rStyle w:val="Hyperlink"/>
                <w:noProof/>
              </w:rPr>
              <w:t>3.1.4 POST 2010 CONSTITUTION</w:t>
            </w:r>
            <w:r w:rsidR="0011507C">
              <w:rPr>
                <w:noProof/>
                <w:webHidden/>
              </w:rPr>
              <w:tab/>
            </w:r>
            <w:r w:rsidR="0011507C">
              <w:rPr>
                <w:noProof/>
                <w:webHidden/>
              </w:rPr>
              <w:fldChar w:fldCharType="begin"/>
            </w:r>
            <w:r w:rsidR="0011507C">
              <w:rPr>
                <w:noProof/>
                <w:webHidden/>
              </w:rPr>
              <w:instrText xml:space="preserve"> PAGEREF _Toc78407990 \h </w:instrText>
            </w:r>
            <w:r w:rsidR="0011507C">
              <w:rPr>
                <w:noProof/>
                <w:webHidden/>
              </w:rPr>
            </w:r>
            <w:r w:rsidR="0011507C">
              <w:rPr>
                <w:noProof/>
                <w:webHidden/>
              </w:rPr>
              <w:fldChar w:fldCharType="separate"/>
            </w:r>
            <w:r w:rsidR="003F1A14">
              <w:rPr>
                <w:noProof/>
                <w:webHidden/>
              </w:rPr>
              <w:t>23</w:t>
            </w:r>
            <w:r w:rsidR="0011507C">
              <w:rPr>
                <w:noProof/>
                <w:webHidden/>
              </w:rPr>
              <w:fldChar w:fldCharType="end"/>
            </w:r>
          </w:hyperlink>
        </w:p>
        <w:p w14:paraId="568258C8" w14:textId="314DB950" w:rsidR="0011507C" w:rsidRDefault="00D3442C">
          <w:pPr>
            <w:pStyle w:val="TOC2"/>
            <w:tabs>
              <w:tab w:val="right" w:leader="dot" w:pos="9350"/>
            </w:tabs>
            <w:rPr>
              <w:rFonts w:asciiTheme="minorHAnsi" w:eastAsiaTheme="minorEastAsia" w:hAnsiTheme="minorHAnsi"/>
              <w:noProof/>
              <w:sz w:val="22"/>
              <w:szCs w:val="22"/>
              <w:lang w:eastAsia="en-GB"/>
            </w:rPr>
          </w:pPr>
          <w:hyperlink w:anchor="_Toc78407991" w:history="1">
            <w:r w:rsidR="0011507C" w:rsidRPr="00A3549D">
              <w:rPr>
                <w:rStyle w:val="Hyperlink"/>
                <w:noProof/>
              </w:rPr>
              <w:t>3.2 THE PLACE OF AFRICAN CUSTOMARY LAW IN KENYA</w:t>
            </w:r>
            <w:r w:rsidR="0011507C">
              <w:rPr>
                <w:noProof/>
                <w:webHidden/>
              </w:rPr>
              <w:tab/>
            </w:r>
            <w:r w:rsidR="0011507C">
              <w:rPr>
                <w:noProof/>
                <w:webHidden/>
              </w:rPr>
              <w:fldChar w:fldCharType="begin"/>
            </w:r>
            <w:r w:rsidR="0011507C">
              <w:rPr>
                <w:noProof/>
                <w:webHidden/>
              </w:rPr>
              <w:instrText xml:space="preserve"> PAGEREF _Toc78407991 \h </w:instrText>
            </w:r>
            <w:r w:rsidR="0011507C">
              <w:rPr>
                <w:noProof/>
                <w:webHidden/>
              </w:rPr>
            </w:r>
            <w:r w:rsidR="0011507C">
              <w:rPr>
                <w:noProof/>
                <w:webHidden/>
              </w:rPr>
              <w:fldChar w:fldCharType="separate"/>
            </w:r>
            <w:r w:rsidR="003F1A14">
              <w:rPr>
                <w:noProof/>
                <w:webHidden/>
              </w:rPr>
              <w:t>25</w:t>
            </w:r>
            <w:r w:rsidR="0011507C">
              <w:rPr>
                <w:noProof/>
                <w:webHidden/>
              </w:rPr>
              <w:fldChar w:fldCharType="end"/>
            </w:r>
          </w:hyperlink>
        </w:p>
        <w:p w14:paraId="6194DC1A" w14:textId="428303DB" w:rsidR="0011507C" w:rsidRDefault="00D3442C">
          <w:pPr>
            <w:pStyle w:val="TOC1"/>
            <w:rPr>
              <w:rFonts w:asciiTheme="minorHAnsi" w:eastAsiaTheme="minorEastAsia" w:hAnsiTheme="minorHAnsi"/>
              <w:b w:val="0"/>
              <w:bCs w:val="0"/>
              <w:sz w:val="22"/>
              <w:szCs w:val="22"/>
              <w:lang w:eastAsia="en-GB"/>
            </w:rPr>
          </w:pPr>
          <w:hyperlink w:anchor="_Toc78407992" w:history="1">
            <w:r w:rsidR="0011507C" w:rsidRPr="00A3549D">
              <w:rPr>
                <w:rStyle w:val="Hyperlink"/>
              </w:rPr>
              <w:t>CHAPTER 4: COMPARING THE DEVELOPMENT OF MARRIAGE LAWS IN KENYA AND IN THE UNITED KINGDOM</w:t>
            </w:r>
            <w:r w:rsidR="0011507C">
              <w:rPr>
                <w:webHidden/>
              </w:rPr>
              <w:tab/>
            </w:r>
            <w:r w:rsidR="0011507C">
              <w:rPr>
                <w:webHidden/>
              </w:rPr>
              <w:fldChar w:fldCharType="begin"/>
            </w:r>
            <w:r w:rsidR="0011507C">
              <w:rPr>
                <w:webHidden/>
              </w:rPr>
              <w:instrText xml:space="preserve"> PAGEREF _Toc78407992 \h </w:instrText>
            </w:r>
            <w:r w:rsidR="0011507C">
              <w:rPr>
                <w:webHidden/>
              </w:rPr>
            </w:r>
            <w:r w:rsidR="0011507C">
              <w:rPr>
                <w:webHidden/>
              </w:rPr>
              <w:fldChar w:fldCharType="separate"/>
            </w:r>
            <w:r w:rsidR="003F1A14">
              <w:rPr>
                <w:webHidden/>
              </w:rPr>
              <w:t>27</w:t>
            </w:r>
            <w:r w:rsidR="0011507C">
              <w:rPr>
                <w:webHidden/>
              </w:rPr>
              <w:fldChar w:fldCharType="end"/>
            </w:r>
          </w:hyperlink>
        </w:p>
        <w:p w14:paraId="26CCBD6B" w14:textId="7193EFF0" w:rsidR="0011507C" w:rsidRDefault="00D3442C">
          <w:pPr>
            <w:pStyle w:val="TOC2"/>
            <w:tabs>
              <w:tab w:val="right" w:leader="dot" w:pos="9350"/>
            </w:tabs>
            <w:rPr>
              <w:rFonts w:asciiTheme="minorHAnsi" w:eastAsiaTheme="minorEastAsia" w:hAnsiTheme="minorHAnsi"/>
              <w:noProof/>
              <w:sz w:val="22"/>
              <w:szCs w:val="22"/>
              <w:lang w:eastAsia="en-GB"/>
            </w:rPr>
          </w:pPr>
          <w:hyperlink w:anchor="_Toc78407993" w:history="1">
            <w:r w:rsidR="0011507C" w:rsidRPr="00A3549D">
              <w:rPr>
                <w:rStyle w:val="Hyperlink"/>
                <w:noProof/>
              </w:rPr>
              <w:t>4.1 DEVELOPMENT OF MARRIAGE LAWS IN ENGLAND</w:t>
            </w:r>
            <w:r w:rsidR="0011507C">
              <w:rPr>
                <w:noProof/>
                <w:webHidden/>
              </w:rPr>
              <w:tab/>
            </w:r>
            <w:r w:rsidR="0011507C">
              <w:rPr>
                <w:noProof/>
                <w:webHidden/>
              </w:rPr>
              <w:fldChar w:fldCharType="begin"/>
            </w:r>
            <w:r w:rsidR="0011507C">
              <w:rPr>
                <w:noProof/>
                <w:webHidden/>
              </w:rPr>
              <w:instrText xml:space="preserve"> PAGEREF _Toc78407993 \h </w:instrText>
            </w:r>
            <w:r w:rsidR="0011507C">
              <w:rPr>
                <w:noProof/>
                <w:webHidden/>
              </w:rPr>
            </w:r>
            <w:r w:rsidR="0011507C">
              <w:rPr>
                <w:noProof/>
                <w:webHidden/>
              </w:rPr>
              <w:fldChar w:fldCharType="separate"/>
            </w:r>
            <w:r w:rsidR="003F1A14">
              <w:rPr>
                <w:noProof/>
                <w:webHidden/>
              </w:rPr>
              <w:t>27</w:t>
            </w:r>
            <w:r w:rsidR="0011507C">
              <w:rPr>
                <w:noProof/>
                <w:webHidden/>
              </w:rPr>
              <w:fldChar w:fldCharType="end"/>
            </w:r>
          </w:hyperlink>
        </w:p>
        <w:p w14:paraId="178B81E6" w14:textId="763D4F3E" w:rsidR="0011507C" w:rsidRDefault="00D3442C">
          <w:pPr>
            <w:pStyle w:val="TOC2"/>
            <w:tabs>
              <w:tab w:val="right" w:leader="dot" w:pos="9350"/>
            </w:tabs>
            <w:rPr>
              <w:rFonts w:asciiTheme="minorHAnsi" w:eastAsiaTheme="minorEastAsia" w:hAnsiTheme="minorHAnsi"/>
              <w:noProof/>
              <w:sz w:val="22"/>
              <w:szCs w:val="22"/>
              <w:lang w:eastAsia="en-GB"/>
            </w:rPr>
          </w:pPr>
          <w:hyperlink w:anchor="_Toc78407994" w:history="1">
            <w:r w:rsidR="0011507C" w:rsidRPr="00A3549D">
              <w:rPr>
                <w:rStyle w:val="Hyperlink"/>
                <w:noProof/>
              </w:rPr>
              <w:t>4.2 CONFLICT CAUSED BY TRANSPLANTED MARRIAGE LAWS</w:t>
            </w:r>
            <w:r w:rsidR="0011507C">
              <w:rPr>
                <w:noProof/>
                <w:webHidden/>
              </w:rPr>
              <w:tab/>
            </w:r>
            <w:r w:rsidR="0011507C">
              <w:rPr>
                <w:noProof/>
                <w:webHidden/>
              </w:rPr>
              <w:fldChar w:fldCharType="begin"/>
            </w:r>
            <w:r w:rsidR="0011507C">
              <w:rPr>
                <w:noProof/>
                <w:webHidden/>
              </w:rPr>
              <w:instrText xml:space="preserve"> PAGEREF _Toc78407994 \h </w:instrText>
            </w:r>
            <w:r w:rsidR="0011507C">
              <w:rPr>
                <w:noProof/>
                <w:webHidden/>
              </w:rPr>
            </w:r>
            <w:r w:rsidR="0011507C">
              <w:rPr>
                <w:noProof/>
                <w:webHidden/>
              </w:rPr>
              <w:fldChar w:fldCharType="separate"/>
            </w:r>
            <w:r w:rsidR="003F1A14">
              <w:rPr>
                <w:noProof/>
                <w:webHidden/>
              </w:rPr>
              <w:t>29</w:t>
            </w:r>
            <w:r w:rsidR="0011507C">
              <w:rPr>
                <w:noProof/>
                <w:webHidden/>
              </w:rPr>
              <w:fldChar w:fldCharType="end"/>
            </w:r>
          </w:hyperlink>
        </w:p>
        <w:p w14:paraId="5E0307BB" w14:textId="496654E7" w:rsidR="0011507C" w:rsidRDefault="00D3442C">
          <w:pPr>
            <w:pStyle w:val="TOC2"/>
            <w:tabs>
              <w:tab w:val="right" w:leader="dot" w:pos="9350"/>
            </w:tabs>
            <w:rPr>
              <w:rFonts w:asciiTheme="minorHAnsi" w:eastAsiaTheme="minorEastAsia" w:hAnsiTheme="minorHAnsi"/>
              <w:noProof/>
              <w:sz w:val="22"/>
              <w:szCs w:val="22"/>
              <w:lang w:eastAsia="en-GB"/>
            </w:rPr>
          </w:pPr>
          <w:hyperlink w:anchor="_Toc78407995" w:history="1">
            <w:r w:rsidR="0011507C" w:rsidRPr="00A3549D">
              <w:rPr>
                <w:rStyle w:val="Hyperlink"/>
                <w:noProof/>
              </w:rPr>
              <w:t>4.3 ARE THE FUSION OF THE DONOR AND RECIPIENT LAWS EFFICIENT?</w:t>
            </w:r>
            <w:r w:rsidR="0011507C">
              <w:rPr>
                <w:noProof/>
                <w:webHidden/>
              </w:rPr>
              <w:tab/>
            </w:r>
            <w:r w:rsidR="0011507C">
              <w:rPr>
                <w:noProof/>
                <w:webHidden/>
              </w:rPr>
              <w:fldChar w:fldCharType="begin"/>
            </w:r>
            <w:r w:rsidR="0011507C">
              <w:rPr>
                <w:noProof/>
                <w:webHidden/>
              </w:rPr>
              <w:instrText xml:space="preserve"> PAGEREF _Toc78407995 \h </w:instrText>
            </w:r>
            <w:r w:rsidR="0011507C">
              <w:rPr>
                <w:noProof/>
                <w:webHidden/>
              </w:rPr>
            </w:r>
            <w:r w:rsidR="0011507C">
              <w:rPr>
                <w:noProof/>
                <w:webHidden/>
              </w:rPr>
              <w:fldChar w:fldCharType="separate"/>
            </w:r>
            <w:r w:rsidR="003F1A14">
              <w:rPr>
                <w:noProof/>
                <w:webHidden/>
              </w:rPr>
              <w:t>32</w:t>
            </w:r>
            <w:r w:rsidR="0011507C">
              <w:rPr>
                <w:noProof/>
                <w:webHidden/>
              </w:rPr>
              <w:fldChar w:fldCharType="end"/>
            </w:r>
          </w:hyperlink>
        </w:p>
        <w:p w14:paraId="354C6D19" w14:textId="62931A72" w:rsidR="0011507C" w:rsidRDefault="00D3442C">
          <w:pPr>
            <w:pStyle w:val="TOC1"/>
            <w:rPr>
              <w:rFonts w:asciiTheme="minorHAnsi" w:eastAsiaTheme="minorEastAsia" w:hAnsiTheme="minorHAnsi"/>
              <w:b w:val="0"/>
              <w:bCs w:val="0"/>
              <w:sz w:val="22"/>
              <w:szCs w:val="22"/>
              <w:lang w:eastAsia="en-GB"/>
            </w:rPr>
          </w:pPr>
          <w:hyperlink w:anchor="_Toc78407996" w:history="1">
            <w:r w:rsidR="0011507C" w:rsidRPr="00A3549D">
              <w:rPr>
                <w:rStyle w:val="Hyperlink"/>
              </w:rPr>
              <w:t>CHAPTER 5: CONCLUSION AND RECOMMENDATIONS</w:t>
            </w:r>
            <w:r w:rsidR="0011507C">
              <w:rPr>
                <w:webHidden/>
              </w:rPr>
              <w:tab/>
            </w:r>
            <w:r w:rsidR="0011507C">
              <w:rPr>
                <w:webHidden/>
              </w:rPr>
              <w:fldChar w:fldCharType="begin"/>
            </w:r>
            <w:r w:rsidR="0011507C">
              <w:rPr>
                <w:webHidden/>
              </w:rPr>
              <w:instrText xml:space="preserve"> PAGEREF _Toc78407996 \h </w:instrText>
            </w:r>
            <w:r w:rsidR="0011507C">
              <w:rPr>
                <w:webHidden/>
              </w:rPr>
            </w:r>
            <w:r w:rsidR="0011507C">
              <w:rPr>
                <w:webHidden/>
              </w:rPr>
              <w:fldChar w:fldCharType="separate"/>
            </w:r>
            <w:r w:rsidR="003F1A14">
              <w:rPr>
                <w:webHidden/>
              </w:rPr>
              <w:t>34</w:t>
            </w:r>
            <w:r w:rsidR="0011507C">
              <w:rPr>
                <w:webHidden/>
              </w:rPr>
              <w:fldChar w:fldCharType="end"/>
            </w:r>
          </w:hyperlink>
        </w:p>
        <w:p w14:paraId="50021B97" w14:textId="4ED96CFD" w:rsidR="0011507C" w:rsidRDefault="00D3442C">
          <w:pPr>
            <w:pStyle w:val="TOC2"/>
            <w:tabs>
              <w:tab w:val="right" w:leader="dot" w:pos="9350"/>
            </w:tabs>
            <w:rPr>
              <w:rFonts w:asciiTheme="minorHAnsi" w:eastAsiaTheme="minorEastAsia" w:hAnsiTheme="minorHAnsi"/>
              <w:noProof/>
              <w:sz w:val="22"/>
              <w:szCs w:val="22"/>
              <w:lang w:eastAsia="en-GB"/>
            </w:rPr>
          </w:pPr>
          <w:hyperlink w:anchor="_Toc78407997" w:history="1">
            <w:r w:rsidR="0011507C" w:rsidRPr="00A3549D">
              <w:rPr>
                <w:rStyle w:val="Hyperlink"/>
                <w:noProof/>
              </w:rPr>
              <w:t>5.1 CONCLUSION</w:t>
            </w:r>
            <w:r w:rsidR="0011507C">
              <w:rPr>
                <w:noProof/>
                <w:webHidden/>
              </w:rPr>
              <w:tab/>
            </w:r>
            <w:r w:rsidR="0011507C">
              <w:rPr>
                <w:noProof/>
                <w:webHidden/>
              </w:rPr>
              <w:fldChar w:fldCharType="begin"/>
            </w:r>
            <w:r w:rsidR="0011507C">
              <w:rPr>
                <w:noProof/>
                <w:webHidden/>
              </w:rPr>
              <w:instrText xml:space="preserve"> PAGEREF _Toc78407997 \h </w:instrText>
            </w:r>
            <w:r w:rsidR="0011507C">
              <w:rPr>
                <w:noProof/>
                <w:webHidden/>
              </w:rPr>
            </w:r>
            <w:r w:rsidR="0011507C">
              <w:rPr>
                <w:noProof/>
                <w:webHidden/>
              </w:rPr>
              <w:fldChar w:fldCharType="separate"/>
            </w:r>
            <w:r w:rsidR="003F1A14">
              <w:rPr>
                <w:noProof/>
                <w:webHidden/>
              </w:rPr>
              <w:t>34</w:t>
            </w:r>
            <w:r w:rsidR="0011507C">
              <w:rPr>
                <w:noProof/>
                <w:webHidden/>
              </w:rPr>
              <w:fldChar w:fldCharType="end"/>
            </w:r>
          </w:hyperlink>
        </w:p>
        <w:p w14:paraId="7BE962F1" w14:textId="06F2BAF1" w:rsidR="0011507C" w:rsidRDefault="00D3442C">
          <w:pPr>
            <w:pStyle w:val="TOC2"/>
            <w:tabs>
              <w:tab w:val="right" w:leader="dot" w:pos="9350"/>
            </w:tabs>
            <w:rPr>
              <w:rFonts w:asciiTheme="minorHAnsi" w:eastAsiaTheme="minorEastAsia" w:hAnsiTheme="minorHAnsi"/>
              <w:noProof/>
              <w:sz w:val="22"/>
              <w:szCs w:val="22"/>
              <w:lang w:eastAsia="en-GB"/>
            </w:rPr>
          </w:pPr>
          <w:hyperlink w:anchor="_Toc78407998" w:history="1">
            <w:r w:rsidR="0011507C" w:rsidRPr="00A3549D">
              <w:rPr>
                <w:rStyle w:val="Hyperlink"/>
                <w:noProof/>
              </w:rPr>
              <w:t>5.2 RECOMMENDATIONS</w:t>
            </w:r>
            <w:r w:rsidR="0011507C">
              <w:rPr>
                <w:noProof/>
                <w:webHidden/>
              </w:rPr>
              <w:tab/>
            </w:r>
            <w:r w:rsidR="0011507C">
              <w:rPr>
                <w:noProof/>
                <w:webHidden/>
              </w:rPr>
              <w:fldChar w:fldCharType="begin"/>
            </w:r>
            <w:r w:rsidR="0011507C">
              <w:rPr>
                <w:noProof/>
                <w:webHidden/>
              </w:rPr>
              <w:instrText xml:space="preserve"> PAGEREF _Toc78407998 \h </w:instrText>
            </w:r>
            <w:r w:rsidR="0011507C">
              <w:rPr>
                <w:noProof/>
                <w:webHidden/>
              </w:rPr>
            </w:r>
            <w:r w:rsidR="0011507C">
              <w:rPr>
                <w:noProof/>
                <w:webHidden/>
              </w:rPr>
              <w:fldChar w:fldCharType="separate"/>
            </w:r>
            <w:r w:rsidR="003F1A14">
              <w:rPr>
                <w:noProof/>
                <w:webHidden/>
              </w:rPr>
              <w:t>35</w:t>
            </w:r>
            <w:r w:rsidR="0011507C">
              <w:rPr>
                <w:noProof/>
                <w:webHidden/>
              </w:rPr>
              <w:fldChar w:fldCharType="end"/>
            </w:r>
          </w:hyperlink>
        </w:p>
        <w:p w14:paraId="4385B7C1" w14:textId="2B1CF98A" w:rsidR="0011507C" w:rsidRDefault="00D3442C">
          <w:pPr>
            <w:pStyle w:val="TOC1"/>
            <w:rPr>
              <w:rFonts w:asciiTheme="minorHAnsi" w:eastAsiaTheme="minorEastAsia" w:hAnsiTheme="minorHAnsi"/>
              <w:b w:val="0"/>
              <w:bCs w:val="0"/>
              <w:sz w:val="22"/>
              <w:szCs w:val="22"/>
              <w:lang w:eastAsia="en-GB"/>
            </w:rPr>
          </w:pPr>
          <w:hyperlink w:anchor="_Toc78407999" w:history="1">
            <w:r w:rsidR="0011507C" w:rsidRPr="00A3549D">
              <w:rPr>
                <w:rStyle w:val="Hyperlink"/>
              </w:rPr>
              <w:t>CHAPTER 6: BIBLIOGRAPHY</w:t>
            </w:r>
            <w:r w:rsidR="0011507C">
              <w:rPr>
                <w:webHidden/>
              </w:rPr>
              <w:tab/>
            </w:r>
            <w:r w:rsidR="0011507C">
              <w:rPr>
                <w:webHidden/>
              </w:rPr>
              <w:fldChar w:fldCharType="begin"/>
            </w:r>
            <w:r w:rsidR="0011507C">
              <w:rPr>
                <w:webHidden/>
              </w:rPr>
              <w:instrText xml:space="preserve"> PAGEREF _Toc78407999 \h </w:instrText>
            </w:r>
            <w:r w:rsidR="0011507C">
              <w:rPr>
                <w:webHidden/>
              </w:rPr>
            </w:r>
            <w:r w:rsidR="0011507C">
              <w:rPr>
                <w:webHidden/>
              </w:rPr>
              <w:fldChar w:fldCharType="separate"/>
            </w:r>
            <w:r w:rsidR="003F1A14">
              <w:rPr>
                <w:webHidden/>
              </w:rPr>
              <w:t>36</w:t>
            </w:r>
            <w:r w:rsidR="0011507C">
              <w:rPr>
                <w:webHidden/>
              </w:rPr>
              <w:fldChar w:fldCharType="end"/>
            </w:r>
          </w:hyperlink>
        </w:p>
        <w:p w14:paraId="7BE738DB" w14:textId="74FEAE20" w:rsidR="0011507C" w:rsidRDefault="00D3442C">
          <w:pPr>
            <w:pStyle w:val="TOC2"/>
            <w:tabs>
              <w:tab w:val="right" w:leader="dot" w:pos="9350"/>
            </w:tabs>
            <w:rPr>
              <w:rFonts w:asciiTheme="minorHAnsi" w:eastAsiaTheme="minorEastAsia" w:hAnsiTheme="minorHAnsi"/>
              <w:noProof/>
              <w:sz w:val="22"/>
              <w:szCs w:val="22"/>
              <w:lang w:eastAsia="en-GB"/>
            </w:rPr>
          </w:pPr>
          <w:hyperlink w:anchor="_Toc78408000" w:history="1">
            <w:r w:rsidR="0011507C" w:rsidRPr="00A3549D">
              <w:rPr>
                <w:rStyle w:val="Hyperlink"/>
                <w:noProof/>
              </w:rPr>
              <w:t>6.1 BOOKS</w:t>
            </w:r>
            <w:r w:rsidR="0011507C">
              <w:rPr>
                <w:noProof/>
                <w:webHidden/>
              </w:rPr>
              <w:tab/>
            </w:r>
            <w:r w:rsidR="0011507C">
              <w:rPr>
                <w:noProof/>
                <w:webHidden/>
              </w:rPr>
              <w:fldChar w:fldCharType="begin"/>
            </w:r>
            <w:r w:rsidR="0011507C">
              <w:rPr>
                <w:noProof/>
                <w:webHidden/>
              </w:rPr>
              <w:instrText xml:space="preserve"> PAGEREF _Toc78408000 \h </w:instrText>
            </w:r>
            <w:r w:rsidR="0011507C">
              <w:rPr>
                <w:noProof/>
                <w:webHidden/>
              </w:rPr>
            </w:r>
            <w:r w:rsidR="0011507C">
              <w:rPr>
                <w:noProof/>
                <w:webHidden/>
              </w:rPr>
              <w:fldChar w:fldCharType="separate"/>
            </w:r>
            <w:r w:rsidR="003F1A14">
              <w:rPr>
                <w:noProof/>
                <w:webHidden/>
              </w:rPr>
              <w:t>36</w:t>
            </w:r>
            <w:r w:rsidR="0011507C">
              <w:rPr>
                <w:noProof/>
                <w:webHidden/>
              </w:rPr>
              <w:fldChar w:fldCharType="end"/>
            </w:r>
          </w:hyperlink>
        </w:p>
        <w:p w14:paraId="707D3047" w14:textId="4920B48A" w:rsidR="0011507C" w:rsidRDefault="00D3442C">
          <w:pPr>
            <w:pStyle w:val="TOC2"/>
            <w:tabs>
              <w:tab w:val="right" w:leader="dot" w:pos="9350"/>
            </w:tabs>
            <w:rPr>
              <w:rFonts w:asciiTheme="minorHAnsi" w:eastAsiaTheme="minorEastAsia" w:hAnsiTheme="minorHAnsi"/>
              <w:noProof/>
              <w:sz w:val="22"/>
              <w:szCs w:val="22"/>
              <w:lang w:eastAsia="en-GB"/>
            </w:rPr>
          </w:pPr>
          <w:hyperlink w:anchor="_Toc78408001" w:history="1">
            <w:r w:rsidR="0011507C" w:rsidRPr="00A3549D">
              <w:rPr>
                <w:rStyle w:val="Hyperlink"/>
                <w:noProof/>
              </w:rPr>
              <w:t>6.2 CHAPTERS IN BOOKS</w:t>
            </w:r>
            <w:r w:rsidR="0011507C">
              <w:rPr>
                <w:noProof/>
                <w:webHidden/>
              </w:rPr>
              <w:tab/>
            </w:r>
            <w:r w:rsidR="0011507C">
              <w:rPr>
                <w:noProof/>
                <w:webHidden/>
              </w:rPr>
              <w:fldChar w:fldCharType="begin"/>
            </w:r>
            <w:r w:rsidR="0011507C">
              <w:rPr>
                <w:noProof/>
                <w:webHidden/>
              </w:rPr>
              <w:instrText xml:space="preserve"> PAGEREF _Toc78408001 \h </w:instrText>
            </w:r>
            <w:r w:rsidR="0011507C">
              <w:rPr>
                <w:noProof/>
                <w:webHidden/>
              </w:rPr>
            </w:r>
            <w:r w:rsidR="0011507C">
              <w:rPr>
                <w:noProof/>
                <w:webHidden/>
              </w:rPr>
              <w:fldChar w:fldCharType="separate"/>
            </w:r>
            <w:r w:rsidR="003F1A14">
              <w:rPr>
                <w:noProof/>
                <w:webHidden/>
              </w:rPr>
              <w:t>36</w:t>
            </w:r>
            <w:r w:rsidR="0011507C">
              <w:rPr>
                <w:noProof/>
                <w:webHidden/>
              </w:rPr>
              <w:fldChar w:fldCharType="end"/>
            </w:r>
          </w:hyperlink>
        </w:p>
        <w:p w14:paraId="0DB2046A" w14:textId="4AEA6D6A" w:rsidR="0011507C" w:rsidRDefault="00D3442C">
          <w:pPr>
            <w:pStyle w:val="TOC2"/>
            <w:tabs>
              <w:tab w:val="right" w:leader="dot" w:pos="9350"/>
            </w:tabs>
            <w:rPr>
              <w:rFonts w:asciiTheme="minorHAnsi" w:eastAsiaTheme="minorEastAsia" w:hAnsiTheme="minorHAnsi"/>
              <w:noProof/>
              <w:sz w:val="22"/>
              <w:szCs w:val="22"/>
              <w:lang w:eastAsia="en-GB"/>
            </w:rPr>
          </w:pPr>
          <w:hyperlink w:anchor="_Toc78408002" w:history="1">
            <w:r w:rsidR="0011507C" w:rsidRPr="00A3549D">
              <w:rPr>
                <w:rStyle w:val="Hyperlink"/>
                <w:noProof/>
              </w:rPr>
              <w:t>6.3 JOURNAL ARTICLES</w:t>
            </w:r>
            <w:r w:rsidR="0011507C">
              <w:rPr>
                <w:noProof/>
                <w:webHidden/>
              </w:rPr>
              <w:tab/>
            </w:r>
            <w:r w:rsidR="0011507C">
              <w:rPr>
                <w:noProof/>
                <w:webHidden/>
              </w:rPr>
              <w:fldChar w:fldCharType="begin"/>
            </w:r>
            <w:r w:rsidR="0011507C">
              <w:rPr>
                <w:noProof/>
                <w:webHidden/>
              </w:rPr>
              <w:instrText xml:space="preserve"> PAGEREF _Toc78408002 \h </w:instrText>
            </w:r>
            <w:r w:rsidR="0011507C">
              <w:rPr>
                <w:noProof/>
                <w:webHidden/>
              </w:rPr>
            </w:r>
            <w:r w:rsidR="0011507C">
              <w:rPr>
                <w:noProof/>
                <w:webHidden/>
              </w:rPr>
              <w:fldChar w:fldCharType="separate"/>
            </w:r>
            <w:r w:rsidR="003F1A14">
              <w:rPr>
                <w:noProof/>
                <w:webHidden/>
              </w:rPr>
              <w:t>36</w:t>
            </w:r>
            <w:r w:rsidR="0011507C">
              <w:rPr>
                <w:noProof/>
                <w:webHidden/>
              </w:rPr>
              <w:fldChar w:fldCharType="end"/>
            </w:r>
          </w:hyperlink>
        </w:p>
        <w:p w14:paraId="01600A4A" w14:textId="71179C33" w:rsidR="0011507C" w:rsidRDefault="00D3442C">
          <w:pPr>
            <w:pStyle w:val="TOC2"/>
            <w:tabs>
              <w:tab w:val="right" w:leader="dot" w:pos="9350"/>
            </w:tabs>
            <w:rPr>
              <w:rFonts w:asciiTheme="minorHAnsi" w:eastAsiaTheme="minorEastAsia" w:hAnsiTheme="minorHAnsi"/>
              <w:noProof/>
              <w:sz w:val="22"/>
              <w:szCs w:val="22"/>
              <w:lang w:eastAsia="en-GB"/>
            </w:rPr>
          </w:pPr>
          <w:hyperlink w:anchor="_Toc78408003" w:history="1">
            <w:r w:rsidR="0011507C" w:rsidRPr="00A3549D">
              <w:rPr>
                <w:rStyle w:val="Hyperlink"/>
                <w:noProof/>
              </w:rPr>
              <w:t>6.4 ONLINE RESOURCES</w:t>
            </w:r>
            <w:r w:rsidR="0011507C">
              <w:rPr>
                <w:noProof/>
                <w:webHidden/>
              </w:rPr>
              <w:tab/>
            </w:r>
            <w:r w:rsidR="0011507C">
              <w:rPr>
                <w:noProof/>
                <w:webHidden/>
              </w:rPr>
              <w:fldChar w:fldCharType="begin"/>
            </w:r>
            <w:r w:rsidR="0011507C">
              <w:rPr>
                <w:noProof/>
                <w:webHidden/>
              </w:rPr>
              <w:instrText xml:space="preserve"> PAGEREF _Toc78408003 \h </w:instrText>
            </w:r>
            <w:r w:rsidR="0011507C">
              <w:rPr>
                <w:noProof/>
                <w:webHidden/>
              </w:rPr>
            </w:r>
            <w:r w:rsidR="0011507C">
              <w:rPr>
                <w:noProof/>
                <w:webHidden/>
              </w:rPr>
              <w:fldChar w:fldCharType="separate"/>
            </w:r>
            <w:r w:rsidR="003F1A14">
              <w:rPr>
                <w:noProof/>
                <w:webHidden/>
              </w:rPr>
              <w:t>38</w:t>
            </w:r>
            <w:r w:rsidR="0011507C">
              <w:rPr>
                <w:noProof/>
                <w:webHidden/>
              </w:rPr>
              <w:fldChar w:fldCharType="end"/>
            </w:r>
          </w:hyperlink>
        </w:p>
        <w:p w14:paraId="7B801D59" w14:textId="5C7759B3" w:rsidR="007D5AF6" w:rsidRDefault="00E23D20" w:rsidP="0019386F">
          <w:pPr>
            <w:spacing w:line="276" w:lineRule="auto"/>
          </w:pPr>
          <w:r>
            <w:rPr>
              <w:b/>
              <w:bCs/>
              <w:noProof/>
            </w:rPr>
            <w:fldChar w:fldCharType="end"/>
          </w:r>
        </w:p>
      </w:sdtContent>
    </w:sdt>
    <w:p w14:paraId="0DC0EDB9" w14:textId="3D6C85AF" w:rsidR="007D5AF6" w:rsidRDefault="007D5AF6" w:rsidP="000D56BA"/>
    <w:p w14:paraId="07515C40" w14:textId="574CB646" w:rsidR="007D5AF6" w:rsidRDefault="007D5AF6" w:rsidP="000D56BA"/>
    <w:p w14:paraId="34F99005" w14:textId="6516DB91" w:rsidR="007D5AF6" w:rsidRDefault="007D5AF6" w:rsidP="000D56BA"/>
    <w:p w14:paraId="38F23C04" w14:textId="3FF54656" w:rsidR="007D5AF6" w:rsidRDefault="007D5AF6" w:rsidP="000D56BA"/>
    <w:p w14:paraId="41418B2C" w14:textId="0C08BA0D" w:rsidR="005A6684" w:rsidRPr="00CF3412" w:rsidRDefault="00E23D20" w:rsidP="00CF3412">
      <w:pPr>
        <w:pStyle w:val="Heading1"/>
      </w:pPr>
      <w:bookmarkStart w:id="1" w:name="_Toc78407961"/>
      <w:r w:rsidRPr="00CF3412">
        <w:t>ACKNOWLEDGEMENTS</w:t>
      </w:r>
      <w:bookmarkEnd w:id="1"/>
    </w:p>
    <w:p w14:paraId="1EA7CB13" w14:textId="13BF1760" w:rsidR="00CF3412" w:rsidRDefault="007F0023" w:rsidP="00CF3412">
      <w:r w:rsidRPr="007F0023">
        <w:t xml:space="preserve">I </w:t>
      </w:r>
      <w:r w:rsidR="00CF3412">
        <w:t>would like</w:t>
      </w:r>
      <w:r w:rsidRPr="007F0023">
        <w:t xml:space="preserve"> to thank my supervisor</w:t>
      </w:r>
      <w:r>
        <w:t>, Dr. Elizabeth Gachenga,</w:t>
      </w:r>
      <w:r w:rsidRPr="007F0023">
        <w:t xml:space="preserve"> for the patience, guidance and support</w:t>
      </w:r>
      <w:r>
        <w:t xml:space="preserve"> provided during the writing process</w:t>
      </w:r>
      <w:r w:rsidRPr="007F0023">
        <w:t xml:space="preserve">. </w:t>
      </w:r>
      <w:r>
        <w:t>I would</w:t>
      </w:r>
      <w:r w:rsidR="00B925E9">
        <w:t xml:space="preserve"> also</w:t>
      </w:r>
      <w:r>
        <w:t xml:space="preserve"> like to express gratitude to my parents </w:t>
      </w:r>
      <w:r w:rsidR="00B925E9">
        <w:t xml:space="preserve">and my </w:t>
      </w:r>
      <w:r w:rsidR="00B925E9" w:rsidRPr="00B925E9">
        <w:t>sister</w:t>
      </w:r>
      <w:r w:rsidR="00B925E9">
        <w:t xml:space="preserve">s </w:t>
      </w:r>
      <w:r w:rsidR="00B925E9" w:rsidRPr="00B925E9">
        <w:t xml:space="preserve">for their unwavering support </w:t>
      </w:r>
      <w:r w:rsidR="00B925E9">
        <w:t xml:space="preserve">and </w:t>
      </w:r>
      <w:r w:rsidR="00B925E9" w:rsidRPr="00B925E9">
        <w:t>encouragement throughout the research and writing process.</w:t>
      </w:r>
    </w:p>
    <w:p w14:paraId="66A4DFF3" w14:textId="3BAFD315" w:rsidR="00CF3412" w:rsidRDefault="007F0023" w:rsidP="00CF3412">
      <w:r>
        <w:cr/>
      </w:r>
    </w:p>
    <w:p w14:paraId="63419EF9" w14:textId="677CA832" w:rsidR="00CF3412" w:rsidRDefault="00CF3412" w:rsidP="00CF3412"/>
    <w:p w14:paraId="344D7C07" w14:textId="1B9BE7AB" w:rsidR="00CF3412" w:rsidRDefault="00CF3412" w:rsidP="00CF3412"/>
    <w:p w14:paraId="47135DC4" w14:textId="4D010F74" w:rsidR="00CF3412" w:rsidRDefault="00CF3412" w:rsidP="00CF3412"/>
    <w:p w14:paraId="3CBABA85" w14:textId="629250F0" w:rsidR="00CF3412" w:rsidRDefault="00CF3412" w:rsidP="00CF3412"/>
    <w:p w14:paraId="2237F21D" w14:textId="574FFDBA" w:rsidR="00CF3412" w:rsidRDefault="00CF3412" w:rsidP="00CF3412"/>
    <w:p w14:paraId="32C5B571" w14:textId="65CE86F7" w:rsidR="00CF3412" w:rsidRDefault="00CF3412" w:rsidP="00CF3412"/>
    <w:p w14:paraId="3F1CA68B" w14:textId="492E0327" w:rsidR="00CF3412" w:rsidRDefault="00CF3412" w:rsidP="00CF3412"/>
    <w:p w14:paraId="053BD526" w14:textId="636CCE72" w:rsidR="00CF3412" w:rsidRDefault="00CF3412" w:rsidP="00CF3412"/>
    <w:p w14:paraId="6038DBBB" w14:textId="0052797E" w:rsidR="00CF3412" w:rsidRDefault="00CF3412" w:rsidP="00CF3412"/>
    <w:p w14:paraId="770B811B" w14:textId="0F64DAB4" w:rsidR="00CF3412" w:rsidRDefault="00CF3412" w:rsidP="00CF3412"/>
    <w:p w14:paraId="2B26F0DA" w14:textId="0FF29D49" w:rsidR="00CF3412" w:rsidRDefault="00CF3412" w:rsidP="00CF3412"/>
    <w:p w14:paraId="6988B4EF" w14:textId="3C92369A" w:rsidR="00CF3412" w:rsidRDefault="00CF3412" w:rsidP="00CF3412"/>
    <w:p w14:paraId="50457C80" w14:textId="14C60A14" w:rsidR="00CF3412" w:rsidRDefault="00CF3412" w:rsidP="00CF3412"/>
    <w:p w14:paraId="0C7D5100" w14:textId="3E991529" w:rsidR="00CF3412" w:rsidRDefault="00CF3412" w:rsidP="00CF3412"/>
    <w:p w14:paraId="11CDAD86" w14:textId="1A86A92D" w:rsidR="00CF3412" w:rsidRDefault="00CF3412" w:rsidP="00CF3412"/>
    <w:p w14:paraId="3B14DF5E" w14:textId="77777777" w:rsidR="00CF3412" w:rsidRDefault="00CF3412" w:rsidP="00CF3412"/>
    <w:p w14:paraId="3DFBB4B1" w14:textId="4B23C437" w:rsidR="000D56BA" w:rsidRPr="00CF12B7" w:rsidRDefault="00804F94" w:rsidP="00CF3412">
      <w:pPr>
        <w:pStyle w:val="Heading1"/>
      </w:pPr>
      <w:bookmarkStart w:id="2" w:name="_Toc78407962"/>
      <w:r w:rsidRPr="00CF12B7">
        <w:lastRenderedPageBreak/>
        <w:t>DECLARATION</w:t>
      </w:r>
      <w:bookmarkEnd w:id="2"/>
    </w:p>
    <w:p w14:paraId="7C4FAE8F" w14:textId="45F6BC2F" w:rsidR="000D56BA" w:rsidRPr="000D56BA" w:rsidRDefault="000D56BA" w:rsidP="000D56BA">
      <w:r w:rsidRPr="000D56BA">
        <w:t xml:space="preserve">I, </w:t>
      </w:r>
      <w:r w:rsidR="00CF12B7">
        <w:t>AMBER SHANNON MOGENI</w:t>
      </w:r>
      <w:r w:rsidRPr="000D56BA">
        <w:t xml:space="preserve">, do hereby declare that this research is my original work and that to the best of my knowledge and belief, it has not been previously, in its entirety or in part, been submitted to any other university for a degree or diploma. Other works cited or referred to are accordingly acknowledged. </w:t>
      </w:r>
    </w:p>
    <w:p w14:paraId="17E89000" w14:textId="77777777" w:rsidR="000D56BA" w:rsidRPr="000D56BA" w:rsidRDefault="000D56BA" w:rsidP="000D56BA"/>
    <w:p w14:paraId="4FE900C7" w14:textId="4325F640" w:rsidR="000D56BA" w:rsidRPr="000D56BA" w:rsidRDefault="00FF2171" w:rsidP="000D56BA">
      <w:r>
        <w:rPr>
          <w:noProof/>
        </w:rPr>
        <mc:AlternateContent>
          <mc:Choice Requires="wpi">
            <w:drawing>
              <wp:anchor distT="0" distB="0" distL="114300" distR="114300" simplePos="0" relativeHeight="251673600" behindDoc="0" locked="0" layoutInCell="1" allowOverlap="1" wp14:anchorId="40A1F5D5" wp14:editId="68803711">
                <wp:simplePos x="0" y="0"/>
                <wp:positionH relativeFrom="column">
                  <wp:posOffset>1293495</wp:posOffset>
                </wp:positionH>
                <wp:positionV relativeFrom="paragraph">
                  <wp:posOffset>217805</wp:posOffset>
                </wp:positionV>
                <wp:extent cx="174985" cy="175260"/>
                <wp:effectExtent l="38100" t="38100" r="53975" b="53340"/>
                <wp:wrapNone/>
                <wp:docPr id="68" name="Ink 68"/>
                <wp:cNvGraphicFramePr/>
                <a:graphic xmlns:a="http://schemas.openxmlformats.org/drawingml/2006/main">
                  <a:graphicData uri="http://schemas.microsoft.com/office/word/2010/wordprocessingInk">
                    <w14:contentPart bwMode="auto" r:id="rId8">
                      <w14:nvContentPartPr>
                        <w14:cNvContentPartPr/>
                      </w14:nvContentPartPr>
                      <w14:xfrm>
                        <a:off x="0" y="0"/>
                        <a:ext cx="174985" cy="175260"/>
                      </w14:xfrm>
                    </w14:contentPart>
                  </a:graphicData>
                </a:graphic>
              </wp:anchor>
            </w:drawing>
          </mc:Choice>
          <mc:Fallback>
            <w:pict>
              <v:shapetype w14:anchorId="4E4B0304"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68" o:spid="_x0000_s1026" type="#_x0000_t75" style="position:absolute;margin-left:101.15pt;margin-top:16.45pt;width:15.2pt;height:15.2pt;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">
                <v:imagedata r:id="rId9" o:title=""/>
              </v:shape>
            </w:pict>
          </mc:Fallback>
        </mc:AlternateContent>
      </w:r>
      <w:r>
        <w:rPr>
          <w:noProof/>
        </w:rPr>
        <mc:AlternateContent>
          <mc:Choice Requires="wpi">
            <w:drawing>
              <wp:anchor distT="0" distB="0" distL="114300" distR="114300" simplePos="0" relativeHeight="251671552" behindDoc="0" locked="0" layoutInCell="1" allowOverlap="1" wp14:anchorId="04CF98A7" wp14:editId="36AF9232">
                <wp:simplePos x="0" y="0"/>
                <wp:positionH relativeFrom="column">
                  <wp:posOffset>1380294</wp:posOffset>
                </wp:positionH>
                <wp:positionV relativeFrom="paragraph">
                  <wp:posOffset>198654</wp:posOffset>
                </wp:positionV>
                <wp:extent cx="88560" cy="149400"/>
                <wp:effectExtent l="57150" t="38100" r="45085" b="41275"/>
                <wp:wrapNone/>
                <wp:docPr id="66" name="Ink 66"/>
                <wp:cNvGraphicFramePr/>
                <a:graphic xmlns:a="http://schemas.openxmlformats.org/drawingml/2006/main">
                  <a:graphicData uri="http://schemas.microsoft.com/office/word/2010/wordprocessingInk">
                    <w14:contentPart bwMode="auto" r:id="rId10">
                      <w14:nvContentPartPr>
                        <w14:cNvContentPartPr/>
                      </w14:nvContentPartPr>
                      <w14:xfrm>
                        <a:off x="0" y="0"/>
                        <a:ext cx="88560" cy="149400"/>
                      </w14:xfrm>
                    </w14:contentPart>
                  </a:graphicData>
                </a:graphic>
              </wp:anchor>
            </w:drawing>
          </mc:Choice>
          <mc:Fallback>
            <w:pict>
              <v:shape w14:anchorId="554B1E26" id="Ink 66" o:spid="_x0000_s1026" type="#_x0000_t75" style="position:absolute;margin-left:108pt;margin-top:14.95pt;width:8.35pt;height:13.15pt;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">
                <v:imagedata r:id="rId11" o:title=""/>
              </v:shape>
            </w:pict>
          </mc:Fallback>
        </mc:AlternateContent>
      </w:r>
      <w:r>
        <w:rPr>
          <w:noProof/>
        </w:rPr>
        <mc:AlternateContent>
          <mc:Choice Requires="wpi">
            <w:drawing>
              <wp:anchor distT="0" distB="0" distL="114300" distR="114300" simplePos="0" relativeHeight="251670528" behindDoc="0" locked="0" layoutInCell="1" allowOverlap="1" wp14:anchorId="03B95A89" wp14:editId="4CDD921B">
                <wp:simplePos x="0" y="0"/>
                <wp:positionH relativeFrom="column">
                  <wp:posOffset>1303254</wp:posOffset>
                </wp:positionH>
                <wp:positionV relativeFrom="paragraph">
                  <wp:posOffset>218094</wp:posOffset>
                </wp:positionV>
                <wp:extent cx="4320" cy="52200"/>
                <wp:effectExtent l="57150" t="38100" r="53340" b="43180"/>
                <wp:wrapNone/>
                <wp:docPr id="63" name="Ink 63"/>
                <wp:cNvGraphicFramePr/>
                <a:graphic xmlns:a="http://schemas.openxmlformats.org/drawingml/2006/main">
                  <a:graphicData uri="http://schemas.microsoft.com/office/word/2010/wordprocessingInk">
                    <w14:contentPart bwMode="auto" r:id="rId12">
                      <w14:nvContentPartPr>
                        <w14:cNvContentPartPr/>
                      </w14:nvContentPartPr>
                      <w14:xfrm>
                        <a:off x="0" y="0"/>
                        <a:ext cx="4320" cy="52200"/>
                      </w14:xfrm>
                    </w14:contentPart>
                  </a:graphicData>
                </a:graphic>
              </wp:anchor>
            </w:drawing>
          </mc:Choice>
          <mc:Fallback>
            <w:pict>
              <v:shape w14:anchorId="16C0796D" id="Ink 63" o:spid="_x0000_s1026" type="#_x0000_t75" style="position:absolute;margin-left:101.9pt;margin-top:16.45pt;width:1.8pt;height:5.5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">
                <v:imagedata r:id="rId13" o:title=""/>
              </v:shape>
            </w:pict>
          </mc:Fallback>
        </mc:AlternateContent>
      </w:r>
      <w:r>
        <w:rPr>
          <w:noProof/>
        </w:rPr>
        <mc:AlternateContent>
          <mc:Choice Requires="wpi">
            <w:drawing>
              <wp:anchor distT="0" distB="0" distL="114300" distR="114300" simplePos="0" relativeHeight="251667456" behindDoc="0" locked="0" layoutInCell="1" allowOverlap="1" wp14:anchorId="4AFA2472" wp14:editId="299377DA">
                <wp:simplePos x="0" y="0"/>
                <wp:positionH relativeFrom="column">
                  <wp:posOffset>1205694</wp:posOffset>
                </wp:positionH>
                <wp:positionV relativeFrom="paragraph">
                  <wp:posOffset>363894</wp:posOffset>
                </wp:positionV>
                <wp:extent cx="360" cy="360"/>
                <wp:effectExtent l="38100" t="38100" r="57150" b="57150"/>
                <wp:wrapNone/>
                <wp:docPr id="49" name="Ink 49"/>
                <wp:cNvGraphicFramePr/>
                <a:graphic xmlns:a="http://schemas.openxmlformats.org/drawingml/2006/main">
                  <a:graphicData uri="http://schemas.microsoft.com/office/word/2010/wordprocessingInk">
                    <w14:contentPart bwMode="auto" r:id="rId14">
                      <w14:nvContentPartPr>
                        <w14:cNvContentPartPr/>
                      </w14:nvContentPartPr>
                      <w14:xfrm>
                        <a:off x="0" y="0"/>
                        <a:ext cx="360" cy="360"/>
                      </w14:xfrm>
                    </w14:contentPart>
                  </a:graphicData>
                </a:graphic>
              </wp:anchor>
            </w:drawing>
          </mc:Choice>
          <mc:Fallback>
            <w:pict>
              <v:shape w14:anchorId="3F634B81" id="Ink 49" o:spid="_x0000_s1026" type="#_x0000_t75" style="position:absolute;margin-left:94.25pt;margin-top:27.95pt;width:1.45pt;height:1.45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">
                <v:imagedata r:id="rId15" o:title=""/>
              </v:shape>
            </w:pict>
          </mc:Fallback>
        </mc:AlternateContent>
      </w:r>
      <w:r>
        <w:rPr>
          <w:noProof/>
        </w:rPr>
        <mc:AlternateContent>
          <mc:Choice Requires="wpi">
            <w:drawing>
              <wp:anchor distT="0" distB="0" distL="114300" distR="114300" simplePos="0" relativeHeight="251666432" behindDoc="0" locked="0" layoutInCell="1" allowOverlap="1" wp14:anchorId="1B7759AC" wp14:editId="1022FE85">
                <wp:simplePos x="0" y="0"/>
                <wp:positionH relativeFrom="column">
                  <wp:posOffset>1090134</wp:posOffset>
                </wp:positionH>
                <wp:positionV relativeFrom="paragraph">
                  <wp:posOffset>305934</wp:posOffset>
                </wp:positionV>
                <wp:extent cx="28440" cy="6120"/>
                <wp:effectExtent l="38100" t="57150" r="48260" b="51435"/>
                <wp:wrapNone/>
                <wp:docPr id="48" name="Ink 48"/>
                <wp:cNvGraphicFramePr/>
                <a:graphic xmlns:a="http://schemas.openxmlformats.org/drawingml/2006/main">
                  <a:graphicData uri="http://schemas.microsoft.com/office/word/2010/wordprocessingInk">
                    <w14:contentPart bwMode="auto" r:id="rId16">
                      <w14:nvContentPartPr>
                        <w14:cNvContentPartPr/>
                      </w14:nvContentPartPr>
                      <w14:xfrm>
                        <a:off x="0" y="0"/>
                        <a:ext cx="28440" cy="6120"/>
                      </w14:xfrm>
                    </w14:contentPart>
                  </a:graphicData>
                </a:graphic>
              </wp:anchor>
            </w:drawing>
          </mc:Choice>
          <mc:Fallback>
            <w:pict>
              <v:shape w14:anchorId="2D6AFA74" id="Ink 48" o:spid="_x0000_s1026" type="#_x0000_t75" style="position:absolute;margin-left:85.15pt;margin-top:23.4pt;width:3.7pt;height:1.9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">
                <v:imagedata r:id="rId17" o:title=""/>
              </v:shape>
            </w:pict>
          </mc:Fallback>
        </mc:AlternateContent>
      </w:r>
      <w:r>
        <w:rPr>
          <w:noProof/>
        </w:rPr>
        <mc:AlternateContent>
          <mc:Choice Requires="wpi">
            <w:drawing>
              <wp:anchor distT="0" distB="0" distL="114300" distR="114300" simplePos="0" relativeHeight="251665408" behindDoc="0" locked="0" layoutInCell="1" allowOverlap="1" wp14:anchorId="44AD7CA0" wp14:editId="21C56141">
                <wp:simplePos x="0" y="0"/>
                <wp:positionH relativeFrom="column">
                  <wp:posOffset>1069614</wp:posOffset>
                </wp:positionH>
                <wp:positionV relativeFrom="paragraph">
                  <wp:posOffset>325014</wp:posOffset>
                </wp:positionV>
                <wp:extent cx="4320" cy="20160"/>
                <wp:effectExtent l="57150" t="38100" r="53340" b="56515"/>
                <wp:wrapNone/>
                <wp:docPr id="47" name="Ink 47"/>
                <wp:cNvGraphicFramePr/>
                <a:graphic xmlns:a="http://schemas.openxmlformats.org/drawingml/2006/main">
                  <a:graphicData uri="http://schemas.microsoft.com/office/word/2010/wordprocessingInk">
                    <w14:contentPart bwMode="auto" r:id="rId18">
                      <w14:nvContentPartPr>
                        <w14:cNvContentPartPr/>
                      </w14:nvContentPartPr>
                      <w14:xfrm>
                        <a:off x="0" y="0"/>
                        <a:ext cx="4320" cy="20160"/>
                      </w14:xfrm>
                    </w14:contentPart>
                  </a:graphicData>
                </a:graphic>
              </wp:anchor>
            </w:drawing>
          </mc:Choice>
          <mc:Fallback>
            <w:pict>
              <v:shape w14:anchorId="267D92BA" id="Ink 47" o:spid="_x0000_s1026" type="#_x0000_t75" style="position:absolute;margin-left:83.5pt;margin-top:24.9pt;width:1.8pt;height:3.05pt;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">
                <v:imagedata r:id="rId19" o:title=""/>
              </v:shape>
            </w:pict>
          </mc:Fallback>
        </mc:AlternateContent>
      </w:r>
      <w:r>
        <w:rPr>
          <w:noProof/>
        </w:rPr>
        <mc:AlternateContent>
          <mc:Choice Requires="wpi">
            <w:drawing>
              <wp:anchor distT="0" distB="0" distL="114300" distR="114300" simplePos="0" relativeHeight="251664384" behindDoc="0" locked="0" layoutInCell="1" allowOverlap="1" wp14:anchorId="4542DF98" wp14:editId="05184FCF">
                <wp:simplePos x="0" y="0"/>
                <wp:positionH relativeFrom="column">
                  <wp:posOffset>1045210</wp:posOffset>
                </wp:positionH>
                <wp:positionV relativeFrom="paragraph">
                  <wp:posOffset>222250</wp:posOffset>
                </wp:positionV>
                <wp:extent cx="80455" cy="175260"/>
                <wp:effectExtent l="57150" t="38100" r="53340" b="53340"/>
                <wp:wrapNone/>
                <wp:docPr id="46" name="Ink 46"/>
                <wp:cNvGraphicFramePr/>
                <a:graphic xmlns:a="http://schemas.openxmlformats.org/drawingml/2006/main">
                  <a:graphicData uri="http://schemas.microsoft.com/office/word/2010/wordprocessingInk">
                    <w14:contentPart bwMode="auto" r:id="rId20">
                      <w14:nvContentPartPr>
                        <w14:cNvContentPartPr/>
                      </w14:nvContentPartPr>
                      <w14:xfrm>
                        <a:off x="0" y="0"/>
                        <a:ext cx="80455" cy="175260"/>
                      </w14:xfrm>
                    </w14:contentPart>
                  </a:graphicData>
                </a:graphic>
              </wp:anchor>
            </w:drawing>
          </mc:Choice>
          <mc:Fallback>
            <w:pict>
              <v:shape w14:anchorId="69A08B6D" id="Ink 46" o:spid="_x0000_s1026" type="#_x0000_t75" style="position:absolute;margin-left:81.6pt;margin-top:16.8pt;width:7.75pt;height:15.2pt;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">
                <v:imagedata r:id="rId21" o:title=""/>
              </v:shape>
            </w:pict>
          </mc:Fallback>
        </mc:AlternateContent>
      </w:r>
      <w:r>
        <w:rPr>
          <w:noProof/>
        </w:rPr>
        <mc:AlternateContent>
          <mc:Choice Requires="wpi">
            <w:drawing>
              <wp:anchor distT="0" distB="0" distL="114300" distR="114300" simplePos="0" relativeHeight="251661312" behindDoc="0" locked="0" layoutInCell="1" allowOverlap="1" wp14:anchorId="529F2A0F" wp14:editId="5487BCC6">
                <wp:simplePos x="0" y="0"/>
                <wp:positionH relativeFrom="column">
                  <wp:posOffset>739140</wp:posOffset>
                </wp:positionH>
                <wp:positionV relativeFrom="paragraph">
                  <wp:posOffset>227330</wp:posOffset>
                </wp:positionV>
                <wp:extent cx="204195" cy="175260"/>
                <wp:effectExtent l="38100" t="38100" r="5715" b="53340"/>
                <wp:wrapNone/>
                <wp:docPr id="43" name="Ink 43"/>
                <wp:cNvGraphicFramePr/>
                <a:graphic xmlns:a="http://schemas.openxmlformats.org/drawingml/2006/main">
                  <a:graphicData uri="http://schemas.microsoft.com/office/word/2010/wordprocessingInk">
                    <w14:contentPart bwMode="auto" r:id="rId22">
                      <w14:nvContentPartPr>
                        <w14:cNvContentPartPr/>
                      </w14:nvContentPartPr>
                      <w14:xfrm>
                        <a:off x="0" y="0"/>
                        <a:ext cx="204195" cy="175260"/>
                      </w14:xfrm>
                    </w14:contentPart>
                  </a:graphicData>
                </a:graphic>
              </wp:anchor>
            </w:drawing>
          </mc:Choice>
          <mc:Fallback>
            <w:pict>
              <v:shape w14:anchorId="58A4F647" id="Ink 43" o:spid="_x0000_s1026" type="#_x0000_t75" style="position:absolute;margin-left:57.5pt;margin-top:17.2pt;width:17.5pt;height:15.2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">
                <v:imagedata r:id="rId23" o:title=""/>
              </v:shape>
            </w:pict>
          </mc:Fallback>
        </mc:AlternateContent>
      </w:r>
    </w:p>
    <w:p w14:paraId="38CFB5A6" w14:textId="77777777" w:rsidR="000D56BA" w:rsidRPr="000D56BA" w:rsidRDefault="000D56BA" w:rsidP="000D56BA">
      <w:r w:rsidRPr="000D56BA">
        <w:t>Signed: .......................................................................</w:t>
      </w:r>
    </w:p>
    <w:p w14:paraId="1378759A" w14:textId="4E923C75" w:rsidR="000D56BA" w:rsidRPr="000D56BA" w:rsidRDefault="000D56BA" w:rsidP="000D56BA">
      <w:r w:rsidRPr="000D56BA">
        <w:t xml:space="preserve">Date: </w:t>
      </w:r>
      <w:r w:rsidR="0001508E">
        <w:t>30</w:t>
      </w:r>
      <w:r w:rsidR="0001508E" w:rsidRPr="0001508E">
        <w:rPr>
          <w:vertAlign w:val="superscript"/>
        </w:rPr>
        <w:t>th</w:t>
      </w:r>
      <w:r w:rsidR="0001508E">
        <w:t xml:space="preserve"> August 2021</w:t>
      </w:r>
    </w:p>
    <w:p w14:paraId="0F4455B0" w14:textId="77777777" w:rsidR="000D56BA" w:rsidRPr="000D56BA" w:rsidRDefault="000D56BA" w:rsidP="000D56BA"/>
    <w:p w14:paraId="4B97F204" w14:textId="77777777" w:rsidR="000D56BA" w:rsidRPr="000D56BA" w:rsidRDefault="000D56BA" w:rsidP="000D56BA"/>
    <w:p w14:paraId="1F2C5C52" w14:textId="77777777" w:rsidR="000D56BA" w:rsidRPr="000D56BA" w:rsidRDefault="000D56BA" w:rsidP="000D56BA">
      <w:r w:rsidRPr="000D56BA">
        <w:t xml:space="preserve">This dissertation has been submitted for examination with my approval as University Supervisor. </w:t>
      </w:r>
    </w:p>
    <w:p w14:paraId="03DE799A" w14:textId="77777777" w:rsidR="000D56BA" w:rsidRPr="000D56BA" w:rsidRDefault="000D56BA" w:rsidP="000D56BA"/>
    <w:p w14:paraId="08EBCB30" w14:textId="77777777" w:rsidR="000D56BA" w:rsidRPr="000D56BA" w:rsidRDefault="000D56BA" w:rsidP="000D56BA"/>
    <w:p w14:paraId="58DE936E" w14:textId="089AF69E" w:rsidR="000D56BA" w:rsidRPr="000D56BA" w:rsidRDefault="00CF12B7" w:rsidP="000D56BA">
      <w:r w:rsidRPr="000D56BA">
        <w:t>Signed: ..........................................................................</w:t>
      </w:r>
    </w:p>
    <w:p w14:paraId="6DCAB621" w14:textId="2FEAC6B0" w:rsidR="000D56BA" w:rsidRPr="000D56BA" w:rsidRDefault="0001508E" w:rsidP="000D56BA">
      <w:r>
        <w:t>Dr. Elizabeth Gachenga</w:t>
      </w:r>
    </w:p>
    <w:p w14:paraId="14BA01A8" w14:textId="77777777" w:rsidR="000D56BA" w:rsidRPr="000D56BA" w:rsidRDefault="000D56BA" w:rsidP="000D56BA">
      <w:pPr>
        <w:rPr>
          <w:b/>
          <w:bCs/>
        </w:rPr>
      </w:pPr>
    </w:p>
    <w:p w14:paraId="5ED32497" w14:textId="77777777" w:rsidR="00CF12B7" w:rsidRDefault="00CF12B7" w:rsidP="0006618D">
      <w:pPr>
        <w:rPr>
          <w:b/>
          <w:bCs/>
        </w:rPr>
      </w:pPr>
    </w:p>
    <w:p w14:paraId="6C261879" w14:textId="77777777" w:rsidR="00CF12B7" w:rsidRDefault="00CF12B7" w:rsidP="0006618D">
      <w:pPr>
        <w:rPr>
          <w:b/>
          <w:bCs/>
        </w:rPr>
      </w:pPr>
    </w:p>
    <w:p w14:paraId="02C20EAB" w14:textId="2AE11190" w:rsidR="00CF12B7" w:rsidRDefault="00CF12B7" w:rsidP="0006618D">
      <w:pPr>
        <w:rPr>
          <w:b/>
          <w:bCs/>
        </w:rPr>
      </w:pPr>
    </w:p>
    <w:p w14:paraId="176B94C9" w14:textId="77777777" w:rsidR="00CA2791" w:rsidRDefault="00CA2791" w:rsidP="0006618D">
      <w:pPr>
        <w:rPr>
          <w:b/>
          <w:bCs/>
        </w:rPr>
      </w:pPr>
    </w:p>
    <w:p w14:paraId="273865BD" w14:textId="77777777" w:rsidR="00CF3412" w:rsidRDefault="00CF3412" w:rsidP="0006618D">
      <w:pPr>
        <w:rPr>
          <w:b/>
          <w:bCs/>
        </w:rPr>
      </w:pPr>
    </w:p>
    <w:p w14:paraId="019A2885" w14:textId="6BDD72D2" w:rsidR="002720B4" w:rsidRDefault="002720B4" w:rsidP="00E23D20">
      <w:pPr>
        <w:pStyle w:val="Heading1"/>
      </w:pPr>
      <w:bookmarkStart w:id="3" w:name="_Toc78407963"/>
      <w:r>
        <w:lastRenderedPageBreak/>
        <w:t>ABSTRACT</w:t>
      </w:r>
      <w:bookmarkEnd w:id="3"/>
    </w:p>
    <w:p w14:paraId="1DC0B48E" w14:textId="3D8039CB" w:rsidR="007D5AF6" w:rsidRDefault="000C0C35" w:rsidP="0006618D">
      <w:r w:rsidRPr="000C0C35">
        <w:t xml:space="preserve">Legal transplantation has had a great effect on the application of law in Kenya. The elevation and superimposition of foreign laws degraded the place of African customary law. </w:t>
      </w:r>
      <w:r w:rsidR="00CA2791" w:rsidRPr="00CA2791">
        <w:t>T</w:t>
      </w:r>
      <w:r w:rsidR="00727C16">
        <w:t>he purpose of t</w:t>
      </w:r>
      <w:r w:rsidR="00CA2791" w:rsidRPr="00CA2791">
        <w:t xml:space="preserve">his study </w:t>
      </w:r>
      <w:r w:rsidR="00727C16">
        <w:t>is to</w:t>
      </w:r>
      <w:r w:rsidR="00CA2791" w:rsidRPr="00CA2791">
        <w:t xml:space="preserve"> analyse and differentiate the effect that transplantation has had on customary marriage laws</w:t>
      </w:r>
      <w:r w:rsidR="00CA2791">
        <w:t xml:space="preserve"> by e</w:t>
      </w:r>
      <w:r w:rsidR="00F532E6" w:rsidRPr="00F532E6">
        <w:t>xamin</w:t>
      </w:r>
      <w:r w:rsidR="00CA2791">
        <w:t>ing</w:t>
      </w:r>
      <w:r w:rsidR="00F532E6" w:rsidRPr="00F532E6">
        <w:t xml:space="preserve"> the transplanted laws that brought conflict and determin</w:t>
      </w:r>
      <w:r w:rsidR="00CA2791">
        <w:t>ing</w:t>
      </w:r>
      <w:r w:rsidR="00F532E6" w:rsidRPr="00F532E6">
        <w:t xml:space="preserve"> the </w:t>
      </w:r>
      <w:r w:rsidR="00CA2791">
        <w:t>extent to which these laws are efficient in the Kenyan context. The analysis in the study</w:t>
      </w:r>
      <w:r w:rsidR="00456447">
        <w:t xml:space="preserve"> will take a comparative approach in examining </w:t>
      </w:r>
      <w:r w:rsidR="00456447" w:rsidRPr="002720B4">
        <w:t>the</w:t>
      </w:r>
      <w:r w:rsidR="002720B4" w:rsidRPr="002720B4">
        <w:t xml:space="preserve"> </w:t>
      </w:r>
      <w:r w:rsidR="00CA2791">
        <w:t xml:space="preserve">development of </w:t>
      </w:r>
      <w:r w:rsidR="002720B4" w:rsidRPr="002720B4">
        <w:t>marriage systems in Kenya</w:t>
      </w:r>
      <w:r w:rsidR="00456447">
        <w:t xml:space="preserve"> and </w:t>
      </w:r>
      <w:r w:rsidR="00CA2791">
        <w:t xml:space="preserve">the development of </w:t>
      </w:r>
      <w:r w:rsidR="00727C16">
        <w:t>British marriage systems</w:t>
      </w:r>
      <w:r w:rsidR="00456447">
        <w:t>. It will also evaluate</w:t>
      </w:r>
      <w:r w:rsidR="002720B4" w:rsidRPr="002720B4">
        <w:t xml:space="preserve"> the extent to which transplantation has affected Kenya’s marriage law system</w:t>
      </w:r>
      <w:r w:rsidR="00CA2791">
        <w:t xml:space="preserve"> and discuss the conflicts that have been caused as a result of transplantation</w:t>
      </w:r>
      <w:r w:rsidR="002720B4" w:rsidRPr="002720B4">
        <w:t>.</w:t>
      </w:r>
      <w:r w:rsidR="00456447">
        <w:t xml:space="preserve"> In particular, the study argues that legal transplantation is only suitable in certain areas of law. </w:t>
      </w:r>
      <w:r w:rsidR="00727C16">
        <w:t>I</w:t>
      </w:r>
      <w:r w:rsidR="00456447">
        <w:t>t uses Kahn-Freund’s hybrid theory to further assert that transplantation is not suitable in</w:t>
      </w:r>
      <w:r w:rsidR="00727C16">
        <w:t xml:space="preserve"> marriage law. </w:t>
      </w:r>
    </w:p>
    <w:p w14:paraId="2523D43F" w14:textId="6A9237A5" w:rsidR="00727C16" w:rsidRDefault="00727C16" w:rsidP="0006618D"/>
    <w:p w14:paraId="066DAF14" w14:textId="2A304CE6" w:rsidR="00727C16" w:rsidRDefault="00727C16" w:rsidP="0006618D"/>
    <w:p w14:paraId="1A02F005" w14:textId="7B60BDAB" w:rsidR="00727C16" w:rsidRDefault="00727C16" w:rsidP="0006618D"/>
    <w:p w14:paraId="49593312" w14:textId="62A149EE" w:rsidR="00727C16" w:rsidRDefault="00727C16" w:rsidP="0006618D"/>
    <w:p w14:paraId="609E1403" w14:textId="4E9F5F19" w:rsidR="00727C16" w:rsidRDefault="00727C16" w:rsidP="0006618D"/>
    <w:p w14:paraId="53102F54" w14:textId="75074BB9" w:rsidR="00727C16" w:rsidRDefault="00727C16" w:rsidP="0006618D"/>
    <w:p w14:paraId="33F0F304" w14:textId="474EF8F1" w:rsidR="00727C16" w:rsidRDefault="00727C16" w:rsidP="0006618D"/>
    <w:p w14:paraId="3BB1190E" w14:textId="5D8912B5" w:rsidR="00727C16" w:rsidRDefault="00727C16" w:rsidP="0006618D"/>
    <w:p w14:paraId="6E9FA203" w14:textId="6F68BFF7" w:rsidR="00727C16" w:rsidRDefault="00727C16" w:rsidP="0006618D"/>
    <w:p w14:paraId="2099558D" w14:textId="4DB1B11E" w:rsidR="00727C16" w:rsidRDefault="00727C16" w:rsidP="0006618D"/>
    <w:p w14:paraId="34E4A36A" w14:textId="10A96A02" w:rsidR="00727C16" w:rsidRDefault="00727C16" w:rsidP="0006618D"/>
    <w:p w14:paraId="4E54948F" w14:textId="4C71284B" w:rsidR="00727C16" w:rsidRDefault="00727C16" w:rsidP="0006618D"/>
    <w:p w14:paraId="2C23A4A2" w14:textId="77777777" w:rsidR="00727C16" w:rsidRDefault="00727C16" w:rsidP="0006618D"/>
    <w:p w14:paraId="10B278BE" w14:textId="17AFD539" w:rsidR="00804F94" w:rsidRDefault="00E23D20" w:rsidP="00E23D20">
      <w:pPr>
        <w:pStyle w:val="Heading1"/>
      </w:pPr>
      <w:bookmarkStart w:id="4" w:name="_Toc78407964"/>
      <w:r>
        <w:lastRenderedPageBreak/>
        <w:t>LIST OF ABBREVIATIONS</w:t>
      </w:r>
      <w:bookmarkEnd w:id="4"/>
    </w:p>
    <w:p w14:paraId="6F462227" w14:textId="266F97E6" w:rsidR="00DC3998" w:rsidRDefault="00DC3998" w:rsidP="00727C16">
      <w:r w:rsidRPr="00DC3998">
        <w:t xml:space="preserve">CJ – </w:t>
      </w:r>
      <w:r w:rsidR="006E432D">
        <w:t>C</w:t>
      </w:r>
      <w:r w:rsidRPr="00DC3998">
        <w:t xml:space="preserve">hief </w:t>
      </w:r>
      <w:r w:rsidR="006E432D">
        <w:t>J</w:t>
      </w:r>
      <w:r w:rsidRPr="00DC3998">
        <w:t>ustice</w:t>
      </w:r>
    </w:p>
    <w:p w14:paraId="6F2C5A0C" w14:textId="384FD856" w:rsidR="00804F94" w:rsidRDefault="00DC3998" w:rsidP="00DC3998">
      <w:r>
        <w:t xml:space="preserve">NGO – </w:t>
      </w:r>
      <w:r w:rsidR="006E432D">
        <w:t>N</w:t>
      </w:r>
      <w:r>
        <w:t>on-</w:t>
      </w:r>
      <w:r w:rsidR="006E432D">
        <w:t>G</w:t>
      </w:r>
      <w:r>
        <w:t xml:space="preserve">overnmental </w:t>
      </w:r>
      <w:r w:rsidR="006E432D">
        <w:t>O</w:t>
      </w:r>
      <w:r>
        <w:t>rganisation</w:t>
      </w:r>
    </w:p>
    <w:p w14:paraId="515C0F06" w14:textId="52CA3448" w:rsidR="00B03EAE" w:rsidRDefault="00B03EAE" w:rsidP="00DC3998">
      <w:r>
        <w:t xml:space="preserve">UK – </w:t>
      </w:r>
      <w:r w:rsidR="000A169B">
        <w:t>United Kingdom</w:t>
      </w:r>
    </w:p>
    <w:p w14:paraId="2CCB106B" w14:textId="0541B03E" w:rsidR="00DC3998" w:rsidRDefault="00DC3998" w:rsidP="00DC3998"/>
    <w:p w14:paraId="4412E60F" w14:textId="40E2AC1B" w:rsidR="00DC3998" w:rsidRDefault="00DC3998" w:rsidP="00DC3998"/>
    <w:p w14:paraId="52F16F95" w14:textId="3272198F" w:rsidR="00DC3998" w:rsidRDefault="00DC3998" w:rsidP="00DC3998"/>
    <w:p w14:paraId="5E4B4BDA" w14:textId="17430DB9" w:rsidR="00DC3998" w:rsidRDefault="00DC3998" w:rsidP="00DC3998"/>
    <w:p w14:paraId="02723439" w14:textId="52EA8E5B" w:rsidR="00DC3998" w:rsidRDefault="00DC3998" w:rsidP="00DC3998"/>
    <w:p w14:paraId="0B642974" w14:textId="7A31971F" w:rsidR="00DC3998" w:rsidRDefault="00DC3998" w:rsidP="00DC3998"/>
    <w:p w14:paraId="5B7F808A" w14:textId="35690621" w:rsidR="00DC3998" w:rsidRDefault="00DC3998" w:rsidP="00DC3998"/>
    <w:p w14:paraId="191CE839" w14:textId="499A1D17" w:rsidR="00DC3998" w:rsidRDefault="00DC3998" w:rsidP="00DC3998"/>
    <w:p w14:paraId="385ADD10" w14:textId="51055ADE" w:rsidR="00DC3998" w:rsidRDefault="00DC3998" w:rsidP="00DC3998"/>
    <w:p w14:paraId="557BD043" w14:textId="659C056E" w:rsidR="00DC3998" w:rsidRDefault="00DC3998" w:rsidP="00DC3998"/>
    <w:p w14:paraId="2D8949A5" w14:textId="74BFD3E3" w:rsidR="00DC3998" w:rsidRDefault="00DC3998" w:rsidP="00DC3998"/>
    <w:p w14:paraId="7E30A9A4" w14:textId="7C259855" w:rsidR="00DC3998" w:rsidRDefault="00DC3998" w:rsidP="00DC3998"/>
    <w:p w14:paraId="4951F53B" w14:textId="3D6D774F" w:rsidR="00DC3998" w:rsidRDefault="00DC3998" w:rsidP="00DC3998"/>
    <w:p w14:paraId="2B86D6C9" w14:textId="20FEDD22" w:rsidR="00DC3998" w:rsidRDefault="00DC3998" w:rsidP="00DC3998"/>
    <w:p w14:paraId="6C761726" w14:textId="35BDD9E6" w:rsidR="00DC3998" w:rsidRDefault="00DC3998" w:rsidP="00DC3998"/>
    <w:p w14:paraId="4F5D1A1B" w14:textId="6D598251" w:rsidR="00DC3998" w:rsidRDefault="00DC3998" w:rsidP="00DC3998"/>
    <w:p w14:paraId="1DE951A4" w14:textId="53292131" w:rsidR="00DC3998" w:rsidRDefault="00DC3998" w:rsidP="00DC3998"/>
    <w:p w14:paraId="6BEB3B4D" w14:textId="7CC516F0" w:rsidR="00DC3998" w:rsidRDefault="00DC3998" w:rsidP="00DC3998"/>
    <w:p w14:paraId="300DF5FE" w14:textId="77777777" w:rsidR="00DC3998" w:rsidRDefault="00DC3998" w:rsidP="00DC3998"/>
    <w:p w14:paraId="39605C4B" w14:textId="65AD71E1" w:rsidR="00804F94" w:rsidRDefault="00E23D20" w:rsidP="00E23D20">
      <w:pPr>
        <w:pStyle w:val="Heading1"/>
      </w:pPr>
      <w:bookmarkStart w:id="5" w:name="_Toc78407965"/>
      <w:r>
        <w:lastRenderedPageBreak/>
        <w:t>LIST OF CASES</w:t>
      </w:r>
      <w:bookmarkEnd w:id="5"/>
    </w:p>
    <w:p w14:paraId="2D4685B0" w14:textId="7341FD66" w:rsidR="00277863" w:rsidRDefault="00277863" w:rsidP="00096A28">
      <w:bookmarkStart w:id="6" w:name="_Hlk65767971"/>
      <w:proofErr w:type="spellStart"/>
      <w:r>
        <w:t>Benjawa</w:t>
      </w:r>
      <w:proofErr w:type="spellEnd"/>
      <w:r>
        <w:t xml:space="preserve"> </w:t>
      </w:r>
      <w:proofErr w:type="spellStart"/>
      <w:r>
        <w:t>Jembe</w:t>
      </w:r>
      <w:proofErr w:type="spellEnd"/>
      <w:r>
        <w:t xml:space="preserve"> v Priscilla Nyondo (1912) 4 EALR 160</w:t>
      </w:r>
    </w:p>
    <w:bookmarkEnd w:id="6"/>
    <w:p w14:paraId="29CBB4DC" w14:textId="4142731A" w:rsidR="00096A28" w:rsidRPr="00096A28" w:rsidRDefault="00096A28" w:rsidP="00096A28">
      <w:r w:rsidRPr="00096A28">
        <w:t>Cole v Cole (1898) Supreme court of Nigeria</w:t>
      </w:r>
    </w:p>
    <w:p w14:paraId="769A69D6" w14:textId="2AF12281" w:rsidR="00096A28" w:rsidRDefault="00096A28" w:rsidP="00096A28">
      <w:r w:rsidRPr="00096A28">
        <w:t xml:space="preserve">Ernest Kinyanjui Kimani v </w:t>
      </w:r>
      <w:proofErr w:type="spellStart"/>
      <w:r w:rsidRPr="00096A28">
        <w:t>Muiru</w:t>
      </w:r>
      <w:proofErr w:type="spellEnd"/>
      <w:r w:rsidRPr="00096A28">
        <w:t xml:space="preserve"> </w:t>
      </w:r>
      <w:proofErr w:type="spellStart"/>
      <w:r w:rsidRPr="00096A28">
        <w:t>Gikanga</w:t>
      </w:r>
      <w:proofErr w:type="spellEnd"/>
      <w:r w:rsidRPr="00096A28">
        <w:t xml:space="preserve"> and another (1965) EA 735</w:t>
      </w:r>
    </w:p>
    <w:p w14:paraId="7FC58AF2" w14:textId="45A32FA2" w:rsidR="00277863" w:rsidRPr="00096A28" w:rsidRDefault="00277863" w:rsidP="00096A28">
      <w:r w:rsidRPr="00277863">
        <w:t xml:space="preserve">Fatuma Binti </w:t>
      </w:r>
      <w:proofErr w:type="spellStart"/>
      <w:r w:rsidRPr="00277863">
        <w:t>Athuma</w:t>
      </w:r>
      <w:proofErr w:type="spellEnd"/>
      <w:r w:rsidRPr="00277863">
        <w:t xml:space="preserve"> v Ali Baka</w:t>
      </w:r>
      <w:r>
        <w:t xml:space="preserve"> (1918) EALR 171</w:t>
      </w:r>
    </w:p>
    <w:p w14:paraId="072EDD77" w14:textId="77777777" w:rsidR="00096A28" w:rsidRPr="00096A28" w:rsidRDefault="00096A28" w:rsidP="00096A28">
      <w:proofErr w:type="spellStart"/>
      <w:r w:rsidRPr="00096A28">
        <w:t>Gwao</w:t>
      </w:r>
      <w:proofErr w:type="spellEnd"/>
      <w:r w:rsidRPr="00096A28">
        <w:t xml:space="preserve"> bin </w:t>
      </w:r>
      <w:proofErr w:type="spellStart"/>
      <w:r w:rsidRPr="00096A28">
        <w:t>Kilimo</w:t>
      </w:r>
      <w:proofErr w:type="spellEnd"/>
      <w:r w:rsidRPr="00096A28">
        <w:t xml:space="preserve"> v </w:t>
      </w:r>
      <w:proofErr w:type="spellStart"/>
      <w:r w:rsidRPr="00096A28">
        <w:t>Kisunda</w:t>
      </w:r>
      <w:proofErr w:type="spellEnd"/>
      <w:r w:rsidRPr="00096A28">
        <w:t xml:space="preserve"> bin </w:t>
      </w:r>
      <w:proofErr w:type="spellStart"/>
      <w:r w:rsidRPr="00096A28">
        <w:t>Ifuti</w:t>
      </w:r>
      <w:proofErr w:type="spellEnd"/>
      <w:r w:rsidRPr="00096A28">
        <w:t xml:space="preserve"> (1938) High court of Tanganyika</w:t>
      </w:r>
    </w:p>
    <w:p w14:paraId="5A9D4CC7" w14:textId="77777777" w:rsidR="00096A28" w:rsidRPr="00096A28" w:rsidRDefault="00096A28" w:rsidP="00096A28">
      <w:r w:rsidRPr="00096A28">
        <w:t>Hyde v Hyde (1866) English court of probate and divorce</w:t>
      </w:r>
    </w:p>
    <w:p w14:paraId="17052184" w14:textId="77777777" w:rsidR="00096A28" w:rsidRPr="00096A28" w:rsidRDefault="00096A28" w:rsidP="00096A28">
      <w:proofErr w:type="spellStart"/>
      <w:r w:rsidRPr="00096A28">
        <w:t>Luburu</w:t>
      </w:r>
      <w:proofErr w:type="spellEnd"/>
      <w:r w:rsidRPr="00096A28">
        <w:t xml:space="preserve"> </w:t>
      </w:r>
      <w:proofErr w:type="spellStart"/>
      <w:r w:rsidRPr="00096A28">
        <w:t>M’imanyara</w:t>
      </w:r>
      <w:proofErr w:type="spellEnd"/>
      <w:r w:rsidRPr="00096A28">
        <w:t xml:space="preserve"> v Daniel </w:t>
      </w:r>
      <w:proofErr w:type="spellStart"/>
      <w:r w:rsidRPr="00096A28">
        <w:t>Murungi</w:t>
      </w:r>
      <w:proofErr w:type="spellEnd"/>
      <w:r w:rsidRPr="00096A28">
        <w:t xml:space="preserve"> </w:t>
      </w:r>
    </w:p>
    <w:p w14:paraId="40A32AED" w14:textId="475A9516" w:rsidR="00DC3998" w:rsidRDefault="00096A28" w:rsidP="00DC3998">
      <w:r>
        <w:t xml:space="preserve">Mary </w:t>
      </w:r>
      <w:proofErr w:type="spellStart"/>
      <w:r w:rsidR="00DC3998">
        <w:t>Rono</w:t>
      </w:r>
      <w:proofErr w:type="spellEnd"/>
      <w:r w:rsidR="00DC3998">
        <w:t xml:space="preserve"> v </w:t>
      </w:r>
      <w:r>
        <w:t xml:space="preserve">Jane </w:t>
      </w:r>
      <w:proofErr w:type="spellStart"/>
      <w:r w:rsidR="00DC3998">
        <w:t>Rono</w:t>
      </w:r>
      <w:proofErr w:type="spellEnd"/>
      <w:r w:rsidR="00B62015">
        <w:t xml:space="preserve"> (2005) 1 EA 363</w:t>
      </w:r>
    </w:p>
    <w:p w14:paraId="488C9420" w14:textId="77777777" w:rsidR="00096A28" w:rsidRPr="00096A28" w:rsidRDefault="00096A28" w:rsidP="00096A28">
      <w:proofErr w:type="spellStart"/>
      <w:r w:rsidRPr="00096A28">
        <w:t>Nyali</w:t>
      </w:r>
      <w:proofErr w:type="spellEnd"/>
      <w:r w:rsidRPr="00096A28">
        <w:t xml:space="preserve"> Ltd v Attorney General (1955) 1 All E.R 646</w:t>
      </w:r>
    </w:p>
    <w:p w14:paraId="49A97361" w14:textId="77777777" w:rsidR="00096A28" w:rsidRPr="00096A28" w:rsidRDefault="00096A28" w:rsidP="00096A28">
      <w:r w:rsidRPr="00096A28">
        <w:t xml:space="preserve">R v </w:t>
      </w:r>
      <w:proofErr w:type="spellStart"/>
      <w:r w:rsidRPr="00096A28">
        <w:t>Amkeyo</w:t>
      </w:r>
      <w:proofErr w:type="spellEnd"/>
      <w:r w:rsidRPr="00096A28">
        <w:t xml:space="preserve"> (1917) KLR 14</w:t>
      </w:r>
    </w:p>
    <w:p w14:paraId="4469EE9F" w14:textId="282D9A57" w:rsidR="00DC3998" w:rsidRDefault="00DC3998" w:rsidP="00DC3998">
      <w:r>
        <w:t xml:space="preserve">R v </w:t>
      </w:r>
      <w:proofErr w:type="spellStart"/>
      <w:r>
        <w:t>Mwakio</w:t>
      </w:r>
      <w:proofErr w:type="spellEnd"/>
      <w:r>
        <w:t xml:space="preserve"> </w:t>
      </w:r>
      <w:proofErr w:type="spellStart"/>
      <w:r>
        <w:t>Asani</w:t>
      </w:r>
      <w:proofErr w:type="spellEnd"/>
      <w:r w:rsidR="00096A28">
        <w:t xml:space="preserve"> (1932) 14 KLR 145</w:t>
      </w:r>
    </w:p>
    <w:p w14:paraId="35BB3783" w14:textId="51E79CBD" w:rsidR="00EC0E65" w:rsidRDefault="00EC0E65" w:rsidP="00DC3998">
      <w:r>
        <w:t xml:space="preserve">R v Mohammed </w:t>
      </w:r>
      <w:proofErr w:type="spellStart"/>
      <w:r>
        <w:t>Abdow</w:t>
      </w:r>
      <w:proofErr w:type="spellEnd"/>
      <w:r>
        <w:t xml:space="preserve"> Mohammed</w:t>
      </w:r>
      <w:r w:rsidR="00B62015">
        <w:t xml:space="preserve"> (2013) eKLR</w:t>
      </w:r>
    </w:p>
    <w:p w14:paraId="31D263AE" w14:textId="23235332" w:rsidR="00B62015" w:rsidRDefault="00B62015" w:rsidP="00EC0E65">
      <w:r>
        <w:t xml:space="preserve">Re </w:t>
      </w:r>
      <w:proofErr w:type="spellStart"/>
      <w:r>
        <w:t>Reunji’s</w:t>
      </w:r>
      <w:proofErr w:type="spellEnd"/>
      <w:r>
        <w:t xml:space="preserve"> estate (1977) KLR 21</w:t>
      </w:r>
    </w:p>
    <w:p w14:paraId="74CD457F" w14:textId="77777777" w:rsidR="00804F94" w:rsidRDefault="00804F94" w:rsidP="00E23D20">
      <w:pPr>
        <w:pStyle w:val="Heading1"/>
      </w:pPr>
    </w:p>
    <w:p w14:paraId="72457925" w14:textId="77777777" w:rsidR="00804F94" w:rsidRDefault="00804F94" w:rsidP="00E23D20">
      <w:pPr>
        <w:pStyle w:val="Heading1"/>
      </w:pPr>
    </w:p>
    <w:p w14:paraId="785FE57A" w14:textId="77777777" w:rsidR="00804F94" w:rsidRDefault="00804F94" w:rsidP="00E23D20">
      <w:pPr>
        <w:pStyle w:val="Heading1"/>
      </w:pPr>
    </w:p>
    <w:p w14:paraId="4392A68C" w14:textId="77777777" w:rsidR="00804F94" w:rsidRDefault="00804F94" w:rsidP="00E23D20">
      <w:pPr>
        <w:pStyle w:val="Heading1"/>
      </w:pPr>
    </w:p>
    <w:p w14:paraId="7AD8AEA1" w14:textId="6703247B" w:rsidR="00EC0E65" w:rsidRDefault="00EC0E65" w:rsidP="00EC0E65"/>
    <w:p w14:paraId="7E9B680F" w14:textId="2AF3FE70" w:rsidR="00EC0E65" w:rsidRDefault="00EC0E65" w:rsidP="00EC0E65"/>
    <w:p w14:paraId="2D8B1B13" w14:textId="139C964B" w:rsidR="00EC0E65" w:rsidRDefault="00EC0E65" w:rsidP="00EC0E65"/>
    <w:p w14:paraId="793E65BA" w14:textId="5DA1149F" w:rsidR="00EC0E65" w:rsidRDefault="00EC0E65" w:rsidP="00EC0E65"/>
    <w:p w14:paraId="4E823D99" w14:textId="77777777" w:rsidR="00EC0E65" w:rsidRPr="00EC0E65" w:rsidRDefault="00EC0E65" w:rsidP="00EC0E65"/>
    <w:p w14:paraId="17597D2B" w14:textId="1F7F4CD5" w:rsidR="007D5AF6" w:rsidRDefault="00E23D20" w:rsidP="00E23D20">
      <w:pPr>
        <w:pStyle w:val="Heading1"/>
      </w:pPr>
      <w:bookmarkStart w:id="7" w:name="_Toc78407966"/>
      <w:r>
        <w:t>LIST OF LEGAL INSTRUMENTS</w:t>
      </w:r>
      <w:bookmarkEnd w:id="7"/>
    </w:p>
    <w:p w14:paraId="5C262B48" w14:textId="78EF0576" w:rsidR="006E432D" w:rsidRPr="006E432D" w:rsidRDefault="006E432D" w:rsidP="006E432D">
      <w:pPr>
        <w:rPr>
          <w:iCs/>
        </w:rPr>
      </w:pPr>
      <w:r w:rsidRPr="006E432D">
        <w:rPr>
          <w:iCs/>
        </w:rPr>
        <w:t>Civil Partnership Act, 2004</w:t>
      </w:r>
      <w:r w:rsidR="00277863">
        <w:rPr>
          <w:iCs/>
        </w:rPr>
        <w:t xml:space="preserve"> (U.K)</w:t>
      </w:r>
    </w:p>
    <w:p w14:paraId="5B199478" w14:textId="77777777" w:rsidR="006E432D" w:rsidRPr="006E432D" w:rsidRDefault="006E432D" w:rsidP="006E432D">
      <w:pPr>
        <w:rPr>
          <w:iCs/>
        </w:rPr>
      </w:pPr>
      <w:r w:rsidRPr="006E432D">
        <w:rPr>
          <w:iCs/>
        </w:rPr>
        <w:t>Constitution of Kenya</w:t>
      </w:r>
      <w:r w:rsidRPr="006E432D">
        <w:rPr>
          <w:i/>
          <w:iCs/>
        </w:rPr>
        <w:t xml:space="preserve"> </w:t>
      </w:r>
      <w:r w:rsidRPr="006E432D">
        <w:rPr>
          <w:iCs/>
        </w:rPr>
        <w:t>(2010)</w:t>
      </w:r>
    </w:p>
    <w:p w14:paraId="7E8DDDE4" w14:textId="77777777" w:rsidR="008E27D1" w:rsidRDefault="00BD6F92" w:rsidP="00BD6F92">
      <w:pPr>
        <w:rPr>
          <w:iCs/>
        </w:rPr>
      </w:pPr>
      <w:r w:rsidRPr="00BD6F92">
        <w:rPr>
          <w:iCs/>
        </w:rPr>
        <w:t xml:space="preserve">East African Order in Council </w:t>
      </w:r>
      <w:r>
        <w:rPr>
          <w:iCs/>
        </w:rPr>
        <w:t>(</w:t>
      </w:r>
      <w:r w:rsidRPr="00BD6F92">
        <w:rPr>
          <w:iCs/>
        </w:rPr>
        <w:t>No. 19 of 1904</w:t>
      </w:r>
      <w:r>
        <w:rPr>
          <w:iCs/>
        </w:rPr>
        <w:t>)</w:t>
      </w:r>
    </w:p>
    <w:p w14:paraId="0BD343E7" w14:textId="7CC52CCB" w:rsidR="00BD6F92" w:rsidRDefault="00BD6F92" w:rsidP="00BD6F92">
      <w:pPr>
        <w:rPr>
          <w:iCs/>
        </w:rPr>
      </w:pPr>
      <w:r w:rsidRPr="00BD6F92">
        <w:rPr>
          <w:iCs/>
        </w:rPr>
        <w:t xml:space="preserve">East African Order in Council </w:t>
      </w:r>
      <w:r>
        <w:rPr>
          <w:iCs/>
        </w:rPr>
        <w:t>(</w:t>
      </w:r>
      <w:r w:rsidRPr="00BD6F92">
        <w:rPr>
          <w:iCs/>
        </w:rPr>
        <w:t>No. 14 of 1961</w:t>
      </w:r>
      <w:r>
        <w:rPr>
          <w:iCs/>
        </w:rPr>
        <w:t>)</w:t>
      </w:r>
    </w:p>
    <w:p w14:paraId="33546853" w14:textId="01EA28F5" w:rsidR="006E432D" w:rsidRDefault="006E432D" w:rsidP="00BD6F92">
      <w:pPr>
        <w:rPr>
          <w:iCs/>
        </w:rPr>
      </w:pPr>
      <w:r w:rsidRPr="006E432D">
        <w:rPr>
          <w:iCs/>
        </w:rPr>
        <w:t>Judicature Act (Act No 14 of 1977)</w:t>
      </w:r>
    </w:p>
    <w:p w14:paraId="5E438315" w14:textId="4297CFCB" w:rsidR="00E0142E" w:rsidRDefault="00E0142E" w:rsidP="00E0142E">
      <w:r w:rsidRPr="00E0142E">
        <w:rPr>
          <w:iCs/>
        </w:rPr>
        <w:t>Marriage Act</w:t>
      </w:r>
      <w:r w:rsidRPr="00E0142E">
        <w:rPr>
          <w:i/>
        </w:rPr>
        <w:t xml:space="preserve"> </w:t>
      </w:r>
      <w:r w:rsidRPr="00E0142E">
        <w:t>(Act No 4 of 2014)</w:t>
      </w:r>
    </w:p>
    <w:p w14:paraId="550B72AA" w14:textId="269CF2F6" w:rsidR="00277863" w:rsidRPr="00E0142E" w:rsidRDefault="00277863" w:rsidP="00E0142E">
      <w:r>
        <w:t>Marriage Act 1949 (U.K)</w:t>
      </w:r>
    </w:p>
    <w:p w14:paraId="6BAE9B27" w14:textId="781D0D33" w:rsidR="00E0142E" w:rsidRPr="00E0142E" w:rsidRDefault="00E0142E" w:rsidP="00E0142E">
      <w:r w:rsidRPr="00E0142E">
        <w:rPr>
          <w:iCs/>
        </w:rPr>
        <w:t>Magistrates’ Court Act,</w:t>
      </w:r>
      <w:r w:rsidRPr="00E0142E">
        <w:t xml:space="preserve"> (Act No 26 of 2015)</w:t>
      </w:r>
    </w:p>
    <w:p w14:paraId="641B725F" w14:textId="1B08DB07" w:rsidR="008E27D1" w:rsidRDefault="008E27D1" w:rsidP="0006618D">
      <w:r w:rsidRPr="008E27D1">
        <w:t>Marriage (same sex couples) Act, 2013</w:t>
      </w:r>
      <w:r w:rsidR="00277863">
        <w:t xml:space="preserve"> (U.K)</w:t>
      </w:r>
    </w:p>
    <w:p w14:paraId="70D74686" w14:textId="42C58F1C" w:rsidR="00277863" w:rsidRPr="008E27D1" w:rsidRDefault="00277863" w:rsidP="0006618D">
      <w:r>
        <w:t>Mohammedan Marriage, Divorce and Succession Act (No. 34 of 1920)</w:t>
      </w:r>
    </w:p>
    <w:p w14:paraId="705501B1" w14:textId="77777777" w:rsidR="006E432D" w:rsidRPr="006E432D" w:rsidRDefault="006E432D" w:rsidP="006E432D">
      <w:r w:rsidRPr="006E432D">
        <w:rPr>
          <w:iCs/>
        </w:rPr>
        <w:t>Native Courts Regulations Ordinance</w:t>
      </w:r>
      <w:r w:rsidRPr="006E432D">
        <w:t xml:space="preserve"> (No. 15 of 1897)</w:t>
      </w:r>
    </w:p>
    <w:p w14:paraId="412AE22A" w14:textId="77777777" w:rsidR="007D5AF6" w:rsidRDefault="007D5AF6" w:rsidP="0006618D">
      <w:pPr>
        <w:rPr>
          <w:b/>
          <w:bCs/>
        </w:rPr>
      </w:pPr>
    </w:p>
    <w:p w14:paraId="3AD76A71" w14:textId="77777777" w:rsidR="007D5AF6" w:rsidRDefault="007D5AF6" w:rsidP="0006618D">
      <w:pPr>
        <w:rPr>
          <w:b/>
          <w:bCs/>
        </w:rPr>
      </w:pPr>
    </w:p>
    <w:p w14:paraId="348A8DB0" w14:textId="77777777" w:rsidR="007D5AF6" w:rsidRDefault="007D5AF6" w:rsidP="0006618D">
      <w:pPr>
        <w:rPr>
          <w:b/>
          <w:bCs/>
        </w:rPr>
      </w:pPr>
    </w:p>
    <w:p w14:paraId="08E48C6B" w14:textId="77777777" w:rsidR="007D5AF6" w:rsidRDefault="007D5AF6" w:rsidP="0006618D">
      <w:pPr>
        <w:rPr>
          <w:b/>
          <w:bCs/>
        </w:rPr>
      </w:pPr>
    </w:p>
    <w:p w14:paraId="6185B3EB" w14:textId="77777777" w:rsidR="007D5AF6" w:rsidRDefault="007D5AF6" w:rsidP="0006618D">
      <w:pPr>
        <w:rPr>
          <w:b/>
          <w:bCs/>
        </w:rPr>
      </w:pPr>
    </w:p>
    <w:p w14:paraId="753F7E1C" w14:textId="77777777" w:rsidR="007D5AF6" w:rsidRDefault="007D5AF6" w:rsidP="0006618D">
      <w:pPr>
        <w:rPr>
          <w:b/>
          <w:bCs/>
        </w:rPr>
      </w:pPr>
    </w:p>
    <w:p w14:paraId="6D531BE1" w14:textId="77777777" w:rsidR="007D5AF6" w:rsidRDefault="007D5AF6" w:rsidP="0006618D">
      <w:pPr>
        <w:rPr>
          <w:b/>
          <w:bCs/>
        </w:rPr>
      </w:pPr>
    </w:p>
    <w:p w14:paraId="3F9F8771" w14:textId="77777777" w:rsidR="007D5AF6" w:rsidRDefault="007D5AF6" w:rsidP="0006618D">
      <w:pPr>
        <w:rPr>
          <w:b/>
          <w:bCs/>
        </w:rPr>
      </w:pPr>
    </w:p>
    <w:p w14:paraId="3A7ADF7F" w14:textId="77777777" w:rsidR="00E0142E" w:rsidRDefault="00E0142E" w:rsidP="0006618D">
      <w:pPr>
        <w:rPr>
          <w:b/>
          <w:bCs/>
        </w:rPr>
        <w:sectPr w:rsidR="00E0142E" w:rsidSect="00E0142E">
          <w:footerReference w:type="default" r:id="rId24"/>
          <w:pgSz w:w="12240" w:h="15840"/>
          <w:pgMar w:top="1440" w:right="1440" w:bottom="1440" w:left="1440" w:header="720" w:footer="720" w:gutter="0"/>
          <w:pgNumType w:fmt="lowerRoman" w:start="1"/>
          <w:cols w:space="720"/>
          <w:docGrid w:linePitch="360"/>
        </w:sectPr>
      </w:pPr>
    </w:p>
    <w:p w14:paraId="44CF6B28" w14:textId="3A850B3E" w:rsidR="0006618D" w:rsidRPr="00E7205E" w:rsidRDefault="0006618D" w:rsidP="00E7205E">
      <w:pPr>
        <w:pStyle w:val="Heading1"/>
        <w:rPr>
          <w:lang w:val="en-US"/>
        </w:rPr>
      </w:pPr>
      <w:bookmarkStart w:id="8" w:name="_Toc78407967"/>
      <w:r w:rsidRPr="0006618D">
        <w:lastRenderedPageBreak/>
        <w:t>CHAPTER 1: INTRODUCTION</w:t>
      </w:r>
      <w:bookmarkEnd w:id="8"/>
    </w:p>
    <w:p w14:paraId="644EB545" w14:textId="619E8B08" w:rsidR="0006618D" w:rsidRPr="0006618D" w:rsidRDefault="0006618D" w:rsidP="00E23D20">
      <w:pPr>
        <w:pStyle w:val="Heading2"/>
      </w:pPr>
      <w:bookmarkStart w:id="9" w:name="_Toc78407968"/>
      <w:r w:rsidRPr="0006618D">
        <w:t>1.1 BACKGROUND OF THE PROBLEM</w:t>
      </w:r>
      <w:bookmarkEnd w:id="9"/>
    </w:p>
    <w:p w14:paraId="3A8D0CCE" w14:textId="00F8CA33" w:rsidR="0006618D" w:rsidRPr="0006618D" w:rsidRDefault="0006618D" w:rsidP="0006618D">
      <w:r w:rsidRPr="0006618D">
        <w:t xml:space="preserve">The contention of the transplantation of legal systems has circulated among scholars such as Alan Watson and F. Von Savigny. Legal transplantation </w:t>
      </w:r>
      <w:r w:rsidR="00EC0E65">
        <w:t>is defined as</w:t>
      </w:r>
      <w:r w:rsidRPr="0006618D">
        <w:t xml:space="preserve"> </w:t>
      </w:r>
      <w:r w:rsidR="00F611B6">
        <w:t>‘t</w:t>
      </w:r>
      <w:r w:rsidRPr="0006618D">
        <w:t>he transfer of rules, principles and legal concepts from one or more than one legal system to another</w:t>
      </w:r>
      <w:r w:rsidR="00F611B6">
        <w:t>’</w:t>
      </w:r>
      <w:r w:rsidRPr="0006618D">
        <w:t>.</w:t>
      </w:r>
      <w:r w:rsidRPr="0006618D">
        <w:rPr>
          <w:vertAlign w:val="superscript"/>
        </w:rPr>
        <w:footnoteReference w:id="2"/>
      </w:r>
      <w:r w:rsidRPr="0006618D">
        <w:t xml:space="preserve"> It was first coined by </w:t>
      </w:r>
      <w:proofErr w:type="gramStart"/>
      <w:r w:rsidRPr="0006618D">
        <w:t>Scottish-American</w:t>
      </w:r>
      <w:proofErr w:type="gramEnd"/>
      <w:r w:rsidRPr="0006618D">
        <w:t xml:space="preserve"> legal scholar Alan Watson in the 1970s in </w:t>
      </w:r>
      <w:r w:rsidRPr="0006618D">
        <w:rPr>
          <w:i/>
          <w:iCs/>
        </w:rPr>
        <w:t xml:space="preserve">Legal transplants: An approach to comparative </w:t>
      </w:r>
      <w:proofErr w:type="spellStart"/>
      <w:r w:rsidRPr="0006618D">
        <w:rPr>
          <w:i/>
          <w:iCs/>
        </w:rPr>
        <w:t>law</w:t>
      </w:r>
      <w:r w:rsidRPr="0006618D">
        <w:t>.</w:t>
      </w:r>
      <w:r w:rsidR="00F611B6">
        <w:t>’</w:t>
      </w:r>
      <w:r w:rsidRPr="0006618D">
        <w:t>The</w:t>
      </w:r>
      <w:proofErr w:type="spellEnd"/>
      <w:r w:rsidRPr="0006618D">
        <w:t xml:space="preserve"> legal system borrowing laws is referred to as the recipient system while the legal system lending laws is referred to as the donor system</w:t>
      </w:r>
      <w:r w:rsidR="00F611B6">
        <w:t>’</w:t>
      </w:r>
      <w:r w:rsidRPr="0006618D">
        <w:t xml:space="preserve">. </w:t>
      </w:r>
      <w:r w:rsidRPr="0006618D">
        <w:rPr>
          <w:vertAlign w:val="superscript"/>
        </w:rPr>
        <w:footnoteReference w:id="3"/>
      </w:r>
      <w:r w:rsidRPr="0006618D">
        <w:t xml:space="preserve"> In this case, Kenya is the recipient system and </w:t>
      </w:r>
      <w:r w:rsidR="006A465C">
        <w:t>Britain</w:t>
      </w:r>
      <w:r w:rsidRPr="0006618D">
        <w:t xml:space="preserve"> is the donor system.</w:t>
      </w:r>
    </w:p>
    <w:p w14:paraId="50311486" w14:textId="0B950B49" w:rsidR="0006618D" w:rsidRPr="0006618D" w:rsidRDefault="0006618D" w:rsidP="0006618D">
      <w:r w:rsidRPr="0006618D">
        <w:t xml:space="preserve">Kenya was subject to British colonial rule in 1895, with the empire establishing the East Africa Protectorate. Prior to the arrival of the British, the indigenous communities already had their own system of governance.  </w:t>
      </w:r>
      <w:r w:rsidR="00F611B6">
        <w:t>‘I</w:t>
      </w:r>
      <w:r w:rsidRPr="0006618D">
        <w:t>n traditional African society, men from the same geographical area came together and formed tribes. These tribes formulated laws based on customs and beliefs for the common good</w:t>
      </w:r>
      <w:r w:rsidR="00F611B6">
        <w:t>’</w:t>
      </w:r>
      <w:r w:rsidRPr="0006618D">
        <w:t>.</w:t>
      </w:r>
      <w:r w:rsidRPr="0006618D">
        <w:rPr>
          <w:vertAlign w:val="superscript"/>
        </w:rPr>
        <w:footnoteReference w:id="4"/>
      </w:r>
      <w:r w:rsidRPr="0006618D">
        <w:t xml:space="preserve"> </w:t>
      </w:r>
      <w:r w:rsidR="00F611B6">
        <w:t>‘</w:t>
      </w:r>
      <w:r w:rsidRPr="0006618D">
        <w:t>These customs applied to members of communit</w:t>
      </w:r>
      <w:r w:rsidR="00F611B6">
        <w:t xml:space="preserve">ies like </w:t>
      </w:r>
      <w:r w:rsidRPr="0006618D">
        <w:t>the jurisdiction of the law in modern day. These laws and customs are now referred to as African customary law</w:t>
      </w:r>
      <w:r w:rsidR="00F611B6">
        <w:t>’</w:t>
      </w:r>
      <w:r w:rsidRPr="0006618D">
        <w:t>.</w:t>
      </w:r>
      <w:r w:rsidRPr="0006618D">
        <w:rPr>
          <w:vertAlign w:val="superscript"/>
        </w:rPr>
        <w:footnoteReference w:id="5"/>
      </w:r>
    </w:p>
    <w:p w14:paraId="6251D85C" w14:textId="77777777" w:rsidR="00EC0E65" w:rsidRDefault="0006618D" w:rsidP="0006618D">
      <w:r w:rsidRPr="0006618D">
        <w:t xml:space="preserve">The British imposed English law on the indigenous people, with the creation of a racially stratified dual legal system, with one system of law for Africans and the other for non-Africans. Customary law was </w:t>
      </w:r>
      <w:r w:rsidR="00EC0E65">
        <w:t xml:space="preserve">the law that </w:t>
      </w:r>
      <w:r w:rsidRPr="0006618D">
        <w:t>appl</w:t>
      </w:r>
      <w:r w:rsidR="00EC0E65">
        <w:t>ied</w:t>
      </w:r>
      <w:r w:rsidRPr="0006618D">
        <w:t xml:space="preserve"> to natives and was considered </w:t>
      </w:r>
      <w:r w:rsidR="00EC0E65">
        <w:t xml:space="preserve">to be </w:t>
      </w:r>
      <w:r w:rsidRPr="0006618D">
        <w:t>inferior.</w:t>
      </w:r>
      <w:r w:rsidR="00EC0E65">
        <w:t xml:space="preserve"> </w:t>
      </w:r>
    </w:p>
    <w:p w14:paraId="7A27ADEC" w14:textId="75830866" w:rsidR="0006618D" w:rsidRPr="0006618D" w:rsidRDefault="00F611B6" w:rsidP="0006618D">
      <w:r>
        <w:t>‘</w:t>
      </w:r>
      <w:r w:rsidR="0006618D" w:rsidRPr="0006618D">
        <w:t>Native tribunals were established and run by ostensible traditional authorities to apply native law and custom</w:t>
      </w:r>
      <w:r w:rsidR="00EC0E65">
        <w:t>s</w:t>
      </w:r>
      <w:r w:rsidR="0006618D" w:rsidRPr="0006618D">
        <w:t xml:space="preserve"> to Africans</w:t>
      </w:r>
      <w:r w:rsidR="00EC0E65">
        <w:t>,</w:t>
      </w:r>
      <w:r w:rsidR="0006618D" w:rsidRPr="0006618D">
        <w:t xml:space="preserve"> while English courts run by British magistrates and judges administered the received English law to govern non-Africans</w:t>
      </w:r>
      <w:r>
        <w:t>’</w:t>
      </w:r>
      <w:r w:rsidR="0006618D" w:rsidRPr="0006618D">
        <w:t>.</w:t>
      </w:r>
      <w:r w:rsidR="0006618D" w:rsidRPr="0006618D">
        <w:rPr>
          <w:vertAlign w:val="superscript"/>
        </w:rPr>
        <w:footnoteReference w:id="6"/>
      </w:r>
      <w:r w:rsidR="0006618D" w:rsidRPr="0006618D">
        <w:t xml:space="preserve"> The law did not have equal protection of rights. The East Africa Order-In-Council created a tripartite system of courts in 1897, with the tribunal courts being at the bottom of the hierarchy followed by the Muslim courts and the</w:t>
      </w:r>
      <w:r w:rsidR="00EC0E65">
        <w:t>n the</w:t>
      </w:r>
      <w:r w:rsidR="0006618D" w:rsidRPr="0006618D">
        <w:t xml:space="preserve"> settler’s </w:t>
      </w:r>
      <w:r w:rsidR="0006618D" w:rsidRPr="0006618D">
        <w:lastRenderedPageBreak/>
        <w:t>courts at the top.</w:t>
      </w:r>
      <w:r w:rsidR="0006618D" w:rsidRPr="0006618D">
        <w:rPr>
          <w:vertAlign w:val="superscript"/>
        </w:rPr>
        <w:footnoteReference w:id="7"/>
      </w:r>
      <w:r w:rsidR="0006618D" w:rsidRPr="0006618D">
        <w:t xml:space="preserve"> The state courts would interpret the customary law and apply it to cases of personal relations such as family law, land tenure and succession. English common law and statute law governed criminal law, contracts and torts. </w:t>
      </w:r>
    </w:p>
    <w:p w14:paraId="5F482A92" w14:textId="3FCA670B" w:rsidR="0006618D" w:rsidRPr="0006618D" w:rsidRDefault="0006618D" w:rsidP="0006618D">
      <w:r w:rsidRPr="0006618D">
        <w:t xml:space="preserve">This imposition of British laws reduced the significance of the customary laws of the indigenous communities, and by disregarding these customs, questioned their validity. This is evident in the fact that common law, doctrines of equity and statutes of general application are ranked higher than African customary law. </w:t>
      </w:r>
      <w:r w:rsidR="00F611B6">
        <w:t>‘C</w:t>
      </w:r>
      <w:r w:rsidRPr="0006618D">
        <w:t xml:space="preserve">olonialists placed limitations on </w:t>
      </w:r>
      <w:r w:rsidR="00E86FC5">
        <w:t>the</w:t>
      </w:r>
      <w:r w:rsidRPr="0006618D">
        <w:t xml:space="preserve"> application</w:t>
      </w:r>
      <w:r w:rsidR="00E86FC5">
        <w:t xml:space="preserve"> of customary law</w:t>
      </w:r>
      <w:r w:rsidR="00F611B6">
        <w:t>’</w:t>
      </w:r>
      <w:r w:rsidRPr="0006618D">
        <w:t>.</w:t>
      </w:r>
      <w:r w:rsidRPr="0006618D">
        <w:rPr>
          <w:vertAlign w:val="superscript"/>
        </w:rPr>
        <w:footnoteReference w:id="8"/>
      </w:r>
      <w:r w:rsidRPr="0006618D">
        <w:t xml:space="preserve"> This paper will examine the effect of transplantation on African customary law and culture, specifically focussing on and analysing the effect that transplantation has had on the customary marriage system and analysing the marriage systems available today.</w:t>
      </w:r>
    </w:p>
    <w:p w14:paraId="6E961C58" w14:textId="08384B8C" w:rsidR="0006618D" w:rsidRPr="0006618D" w:rsidRDefault="0006618D" w:rsidP="00E23D20">
      <w:pPr>
        <w:pStyle w:val="Heading2"/>
      </w:pPr>
      <w:bookmarkStart w:id="13" w:name="_Toc78407969"/>
      <w:r w:rsidRPr="0006618D">
        <w:t>1.2 STATEMENT OF THE PROBLEM</w:t>
      </w:r>
      <w:bookmarkEnd w:id="13"/>
      <w:r w:rsidRPr="0006618D">
        <w:t xml:space="preserve"> </w:t>
      </w:r>
    </w:p>
    <w:p w14:paraId="0FCA5F19" w14:textId="095C2020" w:rsidR="0006618D" w:rsidRPr="0006618D" w:rsidRDefault="00F611B6" w:rsidP="0006618D">
      <w:bookmarkStart w:id="14" w:name="_Hlk61280957"/>
      <w:r>
        <w:t>‘</w:t>
      </w:r>
      <w:r w:rsidR="00E86FC5" w:rsidRPr="00E86FC5">
        <w:t xml:space="preserve">The history of a system of law is </w:t>
      </w:r>
      <w:r>
        <w:t xml:space="preserve">to great extent </w:t>
      </w:r>
      <w:r w:rsidR="00E86FC5" w:rsidRPr="00E86FC5">
        <w:t>borrowing legal materials from another system and incorporating it into your own country’s situation</w:t>
      </w:r>
      <w:r>
        <w:t>’</w:t>
      </w:r>
      <w:r w:rsidR="00E86FC5" w:rsidRPr="00E86FC5">
        <w:t>.</w:t>
      </w:r>
      <w:r w:rsidR="00E86FC5" w:rsidRPr="00E86FC5">
        <w:rPr>
          <w:vertAlign w:val="superscript"/>
        </w:rPr>
        <w:footnoteReference w:id="9"/>
      </w:r>
      <w:r w:rsidR="00E86FC5" w:rsidRPr="00E86FC5">
        <w:t xml:space="preserve"> </w:t>
      </w:r>
      <w:r w:rsidR="00E86FC5">
        <w:t>An effective legal transplant is meant to complement the local laws of the recipient state. In Kenya, transplantation of laws was carried out during colonisation</w:t>
      </w:r>
      <w:r w:rsidR="00D21AD8">
        <w:t xml:space="preserve">, with the British </w:t>
      </w:r>
      <w:r w:rsidR="00D21AD8" w:rsidRPr="00D21AD8">
        <w:t>impos</w:t>
      </w:r>
      <w:r w:rsidR="00D21AD8">
        <w:t>ing</w:t>
      </w:r>
      <w:r w:rsidR="00D21AD8" w:rsidRPr="00D21AD8">
        <w:t xml:space="preserve"> a codified version of their common law system in the colony</w:t>
      </w:r>
      <w:r w:rsidR="00E86FC5">
        <w:t>.</w:t>
      </w:r>
      <w:r w:rsidR="008F791B">
        <w:rPr>
          <w:rStyle w:val="FootnoteReference"/>
        </w:rPr>
        <w:footnoteReference w:id="10"/>
      </w:r>
      <w:r w:rsidR="00E86FC5">
        <w:t xml:space="preserve"> The </w:t>
      </w:r>
      <w:r w:rsidR="00D21AD8">
        <w:t xml:space="preserve">problem this study seeks to investigate is whether transplantation in the marriage system has been effective. </w:t>
      </w:r>
      <w:r w:rsidR="009E2FC4">
        <w:t xml:space="preserve">In response to this problem, </w:t>
      </w:r>
      <w:r w:rsidR="00D21AD8">
        <w:t>t</w:t>
      </w:r>
      <w:r w:rsidR="0006618D" w:rsidRPr="0006618D">
        <w:t xml:space="preserve">his </w:t>
      </w:r>
      <w:r w:rsidR="00D21AD8">
        <w:t xml:space="preserve">study </w:t>
      </w:r>
      <w:r w:rsidR="0006618D" w:rsidRPr="0006618D">
        <w:t>will examine the extent that transplantation has affected Kenya’s marriage law system</w:t>
      </w:r>
      <w:r w:rsidR="008F791B">
        <w:t xml:space="preserve"> and through a comparative study of the development of marriage laws in Kenya and in </w:t>
      </w:r>
      <w:r w:rsidR="006A465C">
        <w:t>the United Kingdom (U.K)</w:t>
      </w:r>
      <w:r w:rsidR="008F791B">
        <w:t>, evaluate whether the Kenyan model is desirable</w:t>
      </w:r>
      <w:r w:rsidR="0006618D" w:rsidRPr="0006618D">
        <w:t>.</w:t>
      </w:r>
      <w:r w:rsidR="008F791B">
        <w:t xml:space="preserve"> It will also discuss the place of culture and customs in communities, in an effort to demonstrate the importance of traditional practices in marriages.</w:t>
      </w:r>
      <w:r w:rsidR="0006618D" w:rsidRPr="0006618D">
        <w:t xml:space="preserve"> </w:t>
      </w:r>
    </w:p>
    <w:p w14:paraId="61AEF0C3" w14:textId="0C00CE80" w:rsidR="0006618D" w:rsidRPr="0006618D" w:rsidRDefault="0006618D" w:rsidP="00E23D20">
      <w:pPr>
        <w:pStyle w:val="Heading2"/>
      </w:pPr>
      <w:bookmarkStart w:id="15" w:name="_Toc78407970"/>
      <w:bookmarkEnd w:id="14"/>
      <w:r w:rsidRPr="0006618D">
        <w:t>1.3 JUSTIFICATION FOR STUDY</w:t>
      </w:r>
      <w:bookmarkEnd w:id="15"/>
    </w:p>
    <w:p w14:paraId="0F5748E7" w14:textId="4395B5D0" w:rsidR="0006618D" w:rsidRPr="0006618D" w:rsidRDefault="0006618D" w:rsidP="0006618D">
      <w:r w:rsidRPr="0006618D">
        <w:t>This study has significant academic relevance. It will contribute to further understanding the effect that legal transplantation has had on</w:t>
      </w:r>
      <w:r w:rsidR="001044EB">
        <w:t xml:space="preserve"> Kenyan marriage laws</w:t>
      </w:r>
      <w:r w:rsidRPr="0006618D">
        <w:t>.</w:t>
      </w:r>
      <w:r w:rsidR="00EB0890">
        <w:t xml:space="preserve"> </w:t>
      </w:r>
      <w:r w:rsidRPr="0006618D">
        <w:t xml:space="preserve">The </w:t>
      </w:r>
      <w:r w:rsidR="00E86FC5">
        <w:t xml:space="preserve">British </w:t>
      </w:r>
      <w:r w:rsidRPr="0006618D">
        <w:t xml:space="preserve">superimposed many laws </w:t>
      </w:r>
      <w:r w:rsidR="008F791B">
        <w:t xml:space="preserve">that </w:t>
      </w:r>
      <w:r w:rsidRPr="0006618D">
        <w:t>affect</w:t>
      </w:r>
      <w:r w:rsidR="008F791B">
        <w:t>ed</w:t>
      </w:r>
      <w:r w:rsidRPr="0006618D">
        <w:t xml:space="preserve"> the cu</w:t>
      </w:r>
      <w:r w:rsidR="008F791B">
        <w:t>stomary</w:t>
      </w:r>
      <w:r w:rsidRPr="0006618D">
        <w:t xml:space="preserve"> laws that existed </w:t>
      </w:r>
      <w:r w:rsidR="00E86FC5">
        <w:t xml:space="preserve">in Kenya </w:t>
      </w:r>
      <w:r w:rsidRPr="0006618D">
        <w:t>prior to</w:t>
      </w:r>
      <w:r w:rsidR="008F791B">
        <w:t xml:space="preserve"> colonisa</w:t>
      </w:r>
      <w:r w:rsidRPr="0006618D">
        <w:t xml:space="preserve">tion. The research will </w:t>
      </w:r>
      <w:r w:rsidRPr="0006618D">
        <w:lastRenderedPageBreak/>
        <w:t xml:space="preserve">consider whether transplantation </w:t>
      </w:r>
      <w:r w:rsidR="00EB0890">
        <w:t xml:space="preserve">is </w:t>
      </w:r>
      <w:r w:rsidRPr="0006618D">
        <w:t>desirable, focussing on the conflict of marriage law systems in Kenya</w:t>
      </w:r>
      <w:r w:rsidR="00EB0890">
        <w:t>.</w:t>
      </w:r>
    </w:p>
    <w:p w14:paraId="22947427" w14:textId="12BD518B" w:rsidR="0006618D" w:rsidRPr="0006618D" w:rsidRDefault="0006618D" w:rsidP="00E23D20">
      <w:pPr>
        <w:pStyle w:val="Heading2"/>
      </w:pPr>
      <w:bookmarkStart w:id="16" w:name="_Toc78407971"/>
      <w:r w:rsidRPr="0006618D">
        <w:t>1.4 SIGNIFICANCE OF STUDY</w:t>
      </w:r>
      <w:bookmarkEnd w:id="16"/>
    </w:p>
    <w:p w14:paraId="3438B26B" w14:textId="616CBE15" w:rsidR="0006618D" w:rsidRPr="0006618D" w:rsidRDefault="00690D5D" w:rsidP="0006618D">
      <w:r>
        <w:t xml:space="preserve">Transplantation of marriage laws in Kenya </w:t>
      </w:r>
      <w:r w:rsidR="000A6416">
        <w:t xml:space="preserve">has affected culture. </w:t>
      </w:r>
      <w:r w:rsidR="000530D1">
        <w:t xml:space="preserve">In light of this, this paper will examine the effect that transplantation has had on the marriage system. </w:t>
      </w:r>
      <w:r w:rsidR="0006618D" w:rsidRPr="0006618D">
        <w:t xml:space="preserve">The results of this study will benefit policymakers by demonstrating the need for both customary law and foreign transplanted laws. The policymakers will have in mind the culture of the people as well as the positions of other countries when drafting laws, </w:t>
      </w:r>
      <w:r>
        <w:t>t</w:t>
      </w:r>
      <w:r w:rsidR="0006618D" w:rsidRPr="0006618D">
        <w:t xml:space="preserve">hereby, filling in the lacuna in the local laws. </w:t>
      </w:r>
    </w:p>
    <w:p w14:paraId="7E2179D3" w14:textId="4D58CB81" w:rsidR="0006618D" w:rsidRPr="0006618D" w:rsidRDefault="0006618D" w:rsidP="00E23D20">
      <w:pPr>
        <w:pStyle w:val="Heading2"/>
      </w:pPr>
      <w:bookmarkStart w:id="17" w:name="_Toc78407972"/>
      <w:r w:rsidRPr="0006618D">
        <w:t>1.</w:t>
      </w:r>
      <w:r w:rsidR="00AD4DB3">
        <w:t>5</w:t>
      </w:r>
      <w:r w:rsidRPr="0006618D">
        <w:t xml:space="preserve"> STATEMENT OF AIM AND OBJECTIVES</w:t>
      </w:r>
      <w:bookmarkEnd w:id="17"/>
    </w:p>
    <w:p w14:paraId="654B9461" w14:textId="77777777" w:rsidR="0006618D" w:rsidRPr="0006618D" w:rsidRDefault="0006618D" w:rsidP="0006618D">
      <w:r w:rsidRPr="0006618D">
        <w:t>The aim of the study is to examine the effect that legal transplantation has had on customary marriages and the conflict of marriage law systems that emerged as a result of this. The objectives of the study are to:</w:t>
      </w:r>
    </w:p>
    <w:p w14:paraId="1F88297A" w14:textId="77777777" w:rsidR="0006618D" w:rsidRPr="0006618D" w:rsidRDefault="0006618D" w:rsidP="0006618D">
      <w:r w:rsidRPr="0006618D">
        <w:t xml:space="preserve">1.  </w:t>
      </w:r>
      <w:bookmarkStart w:id="18" w:name="_Hlk63929995"/>
      <w:r w:rsidRPr="0006618D">
        <w:t>Discuss the place of African customary law marriages prior to colonisation.</w:t>
      </w:r>
    </w:p>
    <w:p w14:paraId="45ABF7CD" w14:textId="176ED67A" w:rsidR="0006618D" w:rsidRPr="0006618D" w:rsidRDefault="0006618D" w:rsidP="0006618D">
      <w:r w:rsidRPr="0006618D">
        <w:t xml:space="preserve">2. </w:t>
      </w:r>
      <w:r w:rsidR="00EB0890">
        <w:t>Analyse</w:t>
      </w:r>
      <w:r w:rsidRPr="0006618D">
        <w:t xml:space="preserve"> the transplanted laws that brought conflict</w:t>
      </w:r>
      <w:bookmarkStart w:id="19" w:name="_Hlk64074824"/>
      <w:r w:rsidR="00EB0890">
        <w:t>.</w:t>
      </w:r>
    </w:p>
    <w:bookmarkEnd w:id="19"/>
    <w:p w14:paraId="5C0774E1" w14:textId="0FCA4265" w:rsidR="00EB0890" w:rsidRDefault="0006618D" w:rsidP="0006618D">
      <w:r w:rsidRPr="0006618D">
        <w:t>3. Discuss the effect of transplantation on a homegrown marriage law system, by looking at the post 2010 marriage laws and determining whether the conflict has been resolved.</w:t>
      </w:r>
    </w:p>
    <w:p w14:paraId="5D61CFA4" w14:textId="5EBEBF20" w:rsidR="00EB0890" w:rsidRPr="0006618D" w:rsidRDefault="00EB0890" w:rsidP="0006618D">
      <w:r>
        <w:t xml:space="preserve">4. Compare the development of marriage laws in Kenya from the development of marriage laws in </w:t>
      </w:r>
      <w:r w:rsidR="006A465C">
        <w:t xml:space="preserve">the U.K </w:t>
      </w:r>
      <w:r w:rsidRPr="00EB0890">
        <w:t>and determine the desirability of legal transplantation.</w:t>
      </w:r>
    </w:p>
    <w:p w14:paraId="6163A57A" w14:textId="61F63E5C" w:rsidR="0006618D" w:rsidRPr="0019386F" w:rsidRDefault="0006618D" w:rsidP="00371D1E">
      <w:pPr>
        <w:pStyle w:val="Heading2"/>
      </w:pPr>
      <w:bookmarkStart w:id="20" w:name="_Toc78407973"/>
      <w:bookmarkEnd w:id="18"/>
      <w:r w:rsidRPr="0019386F">
        <w:t>1.</w:t>
      </w:r>
      <w:r w:rsidR="00AD4DB3" w:rsidRPr="0019386F">
        <w:t>6</w:t>
      </w:r>
      <w:r w:rsidRPr="0019386F">
        <w:t xml:space="preserve"> RESEARCH QUESTIONS</w:t>
      </w:r>
      <w:bookmarkEnd w:id="20"/>
    </w:p>
    <w:p w14:paraId="46D02DD5" w14:textId="4D8841C3" w:rsidR="0006618D" w:rsidRPr="0006618D" w:rsidRDefault="0006618D" w:rsidP="0006618D">
      <w:r w:rsidRPr="0006618D">
        <w:t xml:space="preserve">1. What is the rationale behind drawing legislations from donor countries and adopting them as legislations in the recipient countries? </w:t>
      </w:r>
    </w:p>
    <w:p w14:paraId="6B4B8274" w14:textId="5C656A7C" w:rsidR="007860AD" w:rsidRDefault="0006618D" w:rsidP="007860AD">
      <w:r w:rsidRPr="0006618D">
        <w:t xml:space="preserve">2. </w:t>
      </w:r>
      <w:r w:rsidR="007860AD">
        <w:t xml:space="preserve">What effect has legal transplantation had on customary marriages? </w:t>
      </w:r>
    </w:p>
    <w:p w14:paraId="4AD89C58" w14:textId="39B2FDC6" w:rsidR="007860AD" w:rsidRDefault="007860AD" w:rsidP="007860AD">
      <w:r>
        <w:t>3.What differences are evident from the development of marriage laws in the U.K and Kenya?</w:t>
      </w:r>
    </w:p>
    <w:p w14:paraId="7FDB1E23" w14:textId="22BE6FE5" w:rsidR="0006618D" w:rsidRPr="0006618D" w:rsidRDefault="007860AD" w:rsidP="007860AD">
      <w:r>
        <w:t xml:space="preserve">4.What impact has the post-2010 marriage laws had on the conflicts exhibited by transplantation?  </w:t>
      </w:r>
    </w:p>
    <w:p w14:paraId="14202B97" w14:textId="240196B4" w:rsidR="0006618D" w:rsidRPr="0006618D" w:rsidRDefault="0006618D" w:rsidP="00E23D20">
      <w:pPr>
        <w:pStyle w:val="Heading2"/>
      </w:pPr>
      <w:bookmarkStart w:id="21" w:name="_Toc78407974"/>
      <w:r w:rsidRPr="0006618D">
        <w:t>1.7 RESEARCH METHODOLOGY</w:t>
      </w:r>
      <w:bookmarkEnd w:id="21"/>
    </w:p>
    <w:p w14:paraId="68BE168E" w14:textId="52863315" w:rsidR="00BA1134" w:rsidRPr="0006618D" w:rsidRDefault="00EB0890" w:rsidP="0006618D">
      <w:r>
        <w:t xml:space="preserve">In order to conclusively determine whether transplantation in the marriage system is desirable, this study will </w:t>
      </w:r>
      <w:r w:rsidR="0006618D" w:rsidRPr="0006618D">
        <w:t xml:space="preserve">review relevant primary and secondary sources. These include statutes, case law, books, </w:t>
      </w:r>
      <w:r w:rsidR="0006618D" w:rsidRPr="0006618D">
        <w:lastRenderedPageBreak/>
        <w:t xml:space="preserve">journals, case law, newspapers and online internet resources. </w:t>
      </w:r>
      <w:r w:rsidR="00BA1134">
        <w:t xml:space="preserve"> Works by scholars, professionals and commentaries by experts in the appropriate fields will be used and a</w:t>
      </w:r>
      <w:r w:rsidR="00AD4DB3">
        <w:t xml:space="preserve"> clear and concise </w:t>
      </w:r>
      <w:r w:rsidR="0006618D" w:rsidRPr="0006618D">
        <w:t xml:space="preserve">analysis </w:t>
      </w:r>
      <w:r w:rsidR="00AD4DB3">
        <w:t xml:space="preserve">will be </w:t>
      </w:r>
      <w:r w:rsidR="0006618D" w:rsidRPr="0006618D">
        <w:t>done to avail information on the study</w:t>
      </w:r>
      <w:r w:rsidR="00BA1134">
        <w:t xml:space="preserve">. A comparative study showcasing the differences between the development of marriage laws in Kenya and </w:t>
      </w:r>
      <w:r w:rsidR="006A465C">
        <w:t xml:space="preserve">in the U.K </w:t>
      </w:r>
      <w:r w:rsidR="00BA1134">
        <w:t xml:space="preserve">will be used to demonstrate the extent the efficiency of the transplantation. </w:t>
      </w:r>
    </w:p>
    <w:p w14:paraId="5722D8A7" w14:textId="191200E5" w:rsidR="0006618D" w:rsidRPr="0006618D" w:rsidRDefault="0006618D" w:rsidP="00E23D20">
      <w:pPr>
        <w:pStyle w:val="Heading2"/>
      </w:pPr>
      <w:bookmarkStart w:id="22" w:name="_Toc78407975"/>
      <w:r w:rsidRPr="0006618D">
        <w:t>1.</w:t>
      </w:r>
      <w:r w:rsidR="00AD4DB3">
        <w:t>8</w:t>
      </w:r>
      <w:r w:rsidRPr="0006618D">
        <w:t xml:space="preserve"> HYPOTHESES</w:t>
      </w:r>
      <w:bookmarkEnd w:id="22"/>
    </w:p>
    <w:p w14:paraId="6EDE6E3C" w14:textId="77777777" w:rsidR="0006618D" w:rsidRPr="0006618D" w:rsidRDefault="0006618D" w:rsidP="0006618D">
      <w:r w:rsidRPr="0006618D">
        <w:t>The research is based on the following hypotheses:</w:t>
      </w:r>
    </w:p>
    <w:p w14:paraId="6637DF64" w14:textId="1657BE02" w:rsidR="0006618D" w:rsidRPr="0006618D" w:rsidRDefault="0006618D" w:rsidP="0006618D">
      <w:r w:rsidRPr="0006618D">
        <w:t xml:space="preserve">1. </w:t>
      </w:r>
      <w:r w:rsidR="00AD4DB3">
        <w:t>L</w:t>
      </w:r>
      <w:r w:rsidRPr="0006618D">
        <w:t>egal transplants are necessary and desirable in certain situations.</w:t>
      </w:r>
    </w:p>
    <w:p w14:paraId="0881F93D" w14:textId="77777777" w:rsidR="0006618D" w:rsidRPr="0006618D" w:rsidRDefault="0006618D" w:rsidP="0006618D">
      <w:r w:rsidRPr="0006618D">
        <w:t>2. In cases where transplantation is superimposed on a community, the culture and practices of the people are affected. The identity of the society is diluted by the laws and rules of the donor state.</w:t>
      </w:r>
    </w:p>
    <w:p w14:paraId="7D4360F0" w14:textId="66988556" w:rsidR="0006618D" w:rsidRPr="0006618D" w:rsidRDefault="0006618D" w:rsidP="00E23D20">
      <w:pPr>
        <w:pStyle w:val="Heading2"/>
      </w:pPr>
      <w:bookmarkStart w:id="23" w:name="_Toc78407976"/>
      <w:r w:rsidRPr="0006618D">
        <w:t>1.</w:t>
      </w:r>
      <w:r w:rsidR="00AD4DB3">
        <w:t>9</w:t>
      </w:r>
      <w:r w:rsidRPr="0006618D">
        <w:t xml:space="preserve"> LIMITATIONS OF STUDY</w:t>
      </w:r>
      <w:bookmarkEnd w:id="23"/>
      <w:r w:rsidRPr="0006618D">
        <w:t xml:space="preserve"> </w:t>
      </w:r>
    </w:p>
    <w:p w14:paraId="1CEAD7D8" w14:textId="27AA5B96" w:rsidR="0006618D" w:rsidRPr="0006618D" w:rsidRDefault="0006618D" w:rsidP="0006618D">
      <w:r w:rsidRPr="0006618D">
        <w:t>My research requires the assessment of marriage laws before and after Kenya was colonised. The main problem encountered while researching the marriage laws, was that there are so many different communities in the country which all have different customs, and not all these customs have been reduced to writing. Therefore, instead of analysing all these different communities and how transplantation affected their marriage customs, I was limited to only those I could read about.</w:t>
      </w:r>
      <w:r w:rsidR="0035431E">
        <w:t xml:space="preserve"> In my study, I focus on the customs of the Abagusii and the Luo communities.</w:t>
      </w:r>
    </w:p>
    <w:p w14:paraId="7867284C" w14:textId="2650889A" w:rsidR="0006618D" w:rsidRPr="0006618D" w:rsidRDefault="0006618D" w:rsidP="00E23D20">
      <w:pPr>
        <w:pStyle w:val="Heading2"/>
      </w:pPr>
      <w:bookmarkStart w:id="24" w:name="_Toc78407977"/>
      <w:r w:rsidRPr="0006618D">
        <w:t>1.10 CHAPTER BREAKDOWN</w:t>
      </w:r>
      <w:bookmarkEnd w:id="24"/>
    </w:p>
    <w:p w14:paraId="2881D99B" w14:textId="77777777" w:rsidR="0006618D" w:rsidRPr="0006618D" w:rsidRDefault="0006618D" w:rsidP="0006618D">
      <w:pPr>
        <w:rPr>
          <w:i/>
          <w:iCs/>
        </w:rPr>
      </w:pPr>
      <w:r w:rsidRPr="0006618D">
        <w:rPr>
          <w:i/>
          <w:iCs/>
        </w:rPr>
        <w:t>Chapter I: Introduction</w:t>
      </w:r>
    </w:p>
    <w:p w14:paraId="1885DBAA" w14:textId="77777777" w:rsidR="0006618D" w:rsidRPr="0006618D" w:rsidRDefault="0006618D" w:rsidP="0006618D">
      <w:r w:rsidRPr="0006618D">
        <w:t>This chapter shall serve to introduce the problem and the purpose of the study. It explains the research problem and also the importance of studying this topic. It includes the following subsections:</w:t>
      </w:r>
    </w:p>
    <w:p w14:paraId="6248BFC1" w14:textId="77777777" w:rsidR="0006618D" w:rsidRPr="0006618D" w:rsidRDefault="0006618D" w:rsidP="0006618D">
      <w:pPr>
        <w:numPr>
          <w:ilvl w:val="0"/>
          <w:numId w:val="1"/>
        </w:numPr>
      </w:pPr>
      <w:r w:rsidRPr="0006618D">
        <w:t>Background of the problem</w:t>
      </w:r>
    </w:p>
    <w:p w14:paraId="1BF13565" w14:textId="77777777" w:rsidR="0006618D" w:rsidRPr="0006618D" w:rsidRDefault="0006618D" w:rsidP="0006618D">
      <w:pPr>
        <w:numPr>
          <w:ilvl w:val="0"/>
          <w:numId w:val="1"/>
        </w:numPr>
      </w:pPr>
      <w:r w:rsidRPr="0006618D">
        <w:t>Statement of the problem</w:t>
      </w:r>
    </w:p>
    <w:p w14:paraId="0F9A14D9" w14:textId="77777777" w:rsidR="0006618D" w:rsidRPr="0006618D" w:rsidRDefault="0006618D" w:rsidP="0006618D">
      <w:pPr>
        <w:numPr>
          <w:ilvl w:val="0"/>
          <w:numId w:val="1"/>
        </w:numPr>
      </w:pPr>
      <w:r w:rsidRPr="0006618D">
        <w:t>Justification of the study</w:t>
      </w:r>
    </w:p>
    <w:p w14:paraId="251E824E" w14:textId="77777777" w:rsidR="0006618D" w:rsidRPr="0006618D" w:rsidRDefault="0006618D" w:rsidP="0006618D">
      <w:pPr>
        <w:numPr>
          <w:ilvl w:val="0"/>
          <w:numId w:val="1"/>
        </w:numPr>
      </w:pPr>
      <w:r w:rsidRPr="0006618D">
        <w:t>Significance of the study</w:t>
      </w:r>
    </w:p>
    <w:p w14:paraId="1E79AA07" w14:textId="77777777" w:rsidR="0006618D" w:rsidRPr="0006618D" w:rsidRDefault="0006618D" w:rsidP="0006618D">
      <w:pPr>
        <w:numPr>
          <w:ilvl w:val="0"/>
          <w:numId w:val="1"/>
        </w:numPr>
      </w:pPr>
      <w:r w:rsidRPr="0006618D">
        <w:lastRenderedPageBreak/>
        <w:t xml:space="preserve">Aims and objectives </w:t>
      </w:r>
    </w:p>
    <w:p w14:paraId="3C7C9128" w14:textId="77777777" w:rsidR="0006618D" w:rsidRPr="0006618D" w:rsidRDefault="0006618D" w:rsidP="0006618D">
      <w:pPr>
        <w:numPr>
          <w:ilvl w:val="0"/>
          <w:numId w:val="1"/>
        </w:numPr>
      </w:pPr>
      <w:r w:rsidRPr="0006618D">
        <w:t>Research questions</w:t>
      </w:r>
    </w:p>
    <w:p w14:paraId="11D9715E" w14:textId="77777777" w:rsidR="0006618D" w:rsidRPr="0006618D" w:rsidRDefault="0006618D" w:rsidP="0006618D">
      <w:pPr>
        <w:numPr>
          <w:ilvl w:val="0"/>
          <w:numId w:val="1"/>
        </w:numPr>
      </w:pPr>
      <w:r w:rsidRPr="0006618D">
        <w:t xml:space="preserve">Research methodology </w:t>
      </w:r>
    </w:p>
    <w:p w14:paraId="5DDEE1B6" w14:textId="77777777" w:rsidR="0006618D" w:rsidRPr="0006618D" w:rsidRDefault="0006618D" w:rsidP="0006618D">
      <w:pPr>
        <w:numPr>
          <w:ilvl w:val="0"/>
          <w:numId w:val="1"/>
        </w:numPr>
      </w:pPr>
      <w:r w:rsidRPr="0006618D">
        <w:t>Hypotheses</w:t>
      </w:r>
    </w:p>
    <w:p w14:paraId="4A85F6A8" w14:textId="77777777" w:rsidR="0006618D" w:rsidRPr="0006618D" w:rsidRDefault="0006618D" w:rsidP="0006618D">
      <w:pPr>
        <w:numPr>
          <w:ilvl w:val="0"/>
          <w:numId w:val="1"/>
        </w:numPr>
      </w:pPr>
      <w:r w:rsidRPr="0006618D">
        <w:t>Limitations of the study</w:t>
      </w:r>
    </w:p>
    <w:p w14:paraId="10546852" w14:textId="77777777" w:rsidR="0006618D" w:rsidRPr="0006618D" w:rsidRDefault="0006618D" w:rsidP="0006618D">
      <w:pPr>
        <w:numPr>
          <w:ilvl w:val="0"/>
          <w:numId w:val="1"/>
        </w:numPr>
      </w:pPr>
      <w:r w:rsidRPr="0006618D">
        <w:t>Chapter breakdown</w:t>
      </w:r>
    </w:p>
    <w:p w14:paraId="1132CABD" w14:textId="77777777" w:rsidR="0006618D" w:rsidRPr="0006618D" w:rsidRDefault="0006618D" w:rsidP="0006618D">
      <w:pPr>
        <w:rPr>
          <w:i/>
          <w:iCs/>
        </w:rPr>
      </w:pPr>
      <w:r w:rsidRPr="0006618D">
        <w:rPr>
          <w:i/>
          <w:iCs/>
        </w:rPr>
        <w:t>Chapter 2: Theoretical Framework</w:t>
      </w:r>
    </w:p>
    <w:p w14:paraId="649869EF" w14:textId="77777777" w:rsidR="0006618D" w:rsidRPr="0006618D" w:rsidRDefault="0006618D" w:rsidP="0006618D">
      <w:r w:rsidRPr="0006618D">
        <w:t>This chapter will contain a set of theories that will contextualise the problem statement. It will examine the theories and illustrate whether the post 2010 laws reflect a change in the position held before.</w:t>
      </w:r>
    </w:p>
    <w:p w14:paraId="4624D548" w14:textId="77777777" w:rsidR="0006618D" w:rsidRPr="0006618D" w:rsidRDefault="0006618D" w:rsidP="0006618D">
      <w:pPr>
        <w:rPr>
          <w:i/>
          <w:iCs/>
        </w:rPr>
      </w:pPr>
      <w:r w:rsidRPr="0006618D">
        <w:rPr>
          <w:i/>
          <w:iCs/>
        </w:rPr>
        <w:t>Chapter 3: Understanding the transplantation of marriage laws in Kenya</w:t>
      </w:r>
    </w:p>
    <w:p w14:paraId="0E1714BC" w14:textId="77777777" w:rsidR="0006618D" w:rsidRPr="0006618D" w:rsidRDefault="0006618D" w:rsidP="0006618D">
      <w:pPr>
        <w:rPr>
          <w:i/>
          <w:iCs/>
        </w:rPr>
      </w:pPr>
      <w:r w:rsidRPr="0006618D">
        <w:t>This chapter discusses the</w:t>
      </w:r>
      <w:bookmarkStart w:id="25" w:name="_Hlk52285095"/>
      <w:r w:rsidRPr="0006618D">
        <w:t xml:space="preserve"> development of marriage regime in Kenya from the pre-colonial period until the post 2010 Constitution period. </w:t>
      </w:r>
      <w:bookmarkEnd w:id="25"/>
      <w:r w:rsidRPr="0006618D">
        <w:t>It will also discuss the history and the place of African customary law in Kenya and the effect of the multiplicity of marriage systems</w:t>
      </w:r>
      <w:r w:rsidRPr="0006618D">
        <w:rPr>
          <w:i/>
          <w:iCs/>
        </w:rPr>
        <w:t>.</w:t>
      </w:r>
    </w:p>
    <w:p w14:paraId="26832127" w14:textId="011E7D51" w:rsidR="0006618D" w:rsidRPr="0006618D" w:rsidRDefault="0006618D" w:rsidP="0006618D">
      <w:pPr>
        <w:rPr>
          <w:i/>
          <w:iCs/>
        </w:rPr>
      </w:pPr>
      <w:r w:rsidRPr="0006618D">
        <w:rPr>
          <w:i/>
          <w:iCs/>
        </w:rPr>
        <w:t>Chapter 4: Compari</w:t>
      </w:r>
      <w:r w:rsidR="00653431">
        <w:rPr>
          <w:i/>
          <w:iCs/>
        </w:rPr>
        <w:t>ng the development of marriage laws in Kenya and in the U.K</w:t>
      </w:r>
    </w:p>
    <w:p w14:paraId="0F9B9922" w14:textId="347CC6A9" w:rsidR="0006618D" w:rsidRPr="0006618D" w:rsidRDefault="0006618D" w:rsidP="0006618D">
      <w:r w:rsidRPr="0006618D">
        <w:t xml:space="preserve">This chapter will </w:t>
      </w:r>
      <w:r w:rsidR="00BA1134">
        <w:t>compare the development</w:t>
      </w:r>
      <w:r w:rsidRPr="0006618D">
        <w:t xml:space="preserve"> </w:t>
      </w:r>
      <w:r w:rsidR="00BA1134">
        <w:t xml:space="preserve">of marriage laws in </w:t>
      </w:r>
      <w:r w:rsidR="006A465C">
        <w:t xml:space="preserve">the U.K </w:t>
      </w:r>
      <w:r w:rsidR="00BA1134">
        <w:t>to that of Kenya, highlighting the differences and similarities between the two systems.</w:t>
      </w:r>
      <w:r w:rsidRPr="0006618D">
        <w:t xml:space="preserve"> It will</w:t>
      </w:r>
      <w:r w:rsidR="007530F0">
        <w:t xml:space="preserve"> also</w:t>
      </w:r>
      <w:r w:rsidRPr="0006618D">
        <w:t xml:space="preserve"> ascertain whether the fusion of the donor and recipient laws are efficient</w:t>
      </w:r>
      <w:r w:rsidR="007530F0">
        <w:t xml:space="preserve"> by examining the conflicts that were caused by transplantation</w:t>
      </w:r>
      <w:r w:rsidRPr="0006618D">
        <w:t xml:space="preserve">. </w:t>
      </w:r>
    </w:p>
    <w:p w14:paraId="5F4E5729" w14:textId="77777777" w:rsidR="0006618D" w:rsidRPr="0006618D" w:rsidRDefault="0006618D" w:rsidP="0006618D">
      <w:pPr>
        <w:rPr>
          <w:i/>
          <w:iCs/>
        </w:rPr>
      </w:pPr>
      <w:r w:rsidRPr="0006618D">
        <w:rPr>
          <w:i/>
          <w:iCs/>
        </w:rPr>
        <w:t>Chapter 5: Recommendations and conclusion</w:t>
      </w:r>
    </w:p>
    <w:p w14:paraId="2ED0ECDA" w14:textId="30C9EAE9" w:rsidR="0025659D" w:rsidRDefault="0006618D" w:rsidP="0006618D">
      <w:r w:rsidRPr="0006618D">
        <w:t>This chapter shall present in a concise form, the main findings of the research and the implications of this for the topic and discipline. Consequently, the paper shall provide recommendations.</w:t>
      </w:r>
    </w:p>
    <w:p w14:paraId="2B3B72DD" w14:textId="0F2D9B15" w:rsidR="0006618D" w:rsidRDefault="0006618D" w:rsidP="00E23D20">
      <w:pPr>
        <w:pStyle w:val="Heading1"/>
      </w:pPr>
      <w:bookmarkStart w:id="26" w:name="_Toc78407978"/>
      <w:r w:rsidRPr="0006618D">
        <w:lastRenderedPageBreak/>
        <w:t>CHAPTER 2: THEORETICAL FRAMEWORK</w:t>
      </w:r>
      <w:bookmarkEnd w:id="26"/>
    </w:p>
    <w:p w14:paraId="0E18623A" w14:textId="6D35D9D5" w:rsidR="007530F0" w:rsidRPr="007530F0" w:rsidRDefault="007530F0" w:rsidP="007530F0">
      <w:pPr>
        <w:pStyle w:val="Heading2"/>
      </w:pPr>
      <w:bookmarkStart w:id="27" w:name="_Toc78407979"/>
      <w:r>
        <w:t>2.1 THE RELATIONSHIP BETWEEN CULTURE AND LAW</w:t>
      </w:r>
      <w:bookmarkEnd w:id="27"/>
    </w:p>
    <w:p w14:paraId="62F887AF" w14:textId="706E371D" w:rsidR="006E0717" w:rsidRDefault="0006618D" w:rsidP="006E0717">
      <w:r w:rsidRPr="0006618D">
        <w:t>Does culture shape law or does law shape culture?</w:t>
      </w:r>
      <w:r w:rsidR="00877D1A">
        <w:t xml:space="preserve"> </w:t>
      </w:r>
      <w:r w:rsidR="006E0717" w:rsidRPr="006E0717">
        <w:t xml:space="preserve">British anthropologist Sir Edward Burnett Tylor is widely credited with the first modern definition of culture. In </w:t>
      </w:r>
      <w:r w:rsidR="006E0717" w:rsidRPr="006E0717">
        <w:rPr>
          <w:i/>
        </w:rPr>
        <w:t>Primitive culture</w:t>
      </w:r>
      <w:r w:rsidR="006E0717" w:rsidRPr="006E0717">
        <w:t xml:space="preserve">, he states that </w:t>
      </w:r>
      <w:r w:rsidR="0074517C">
        <w:t>‘</w:t>
      </w:r>
      <w:r w:rsidR="006E0717" w:rsidRPr="006E0717">
        <w:t>culture taken in its wide ethnographic sense, is that complex whole which includes knowledge, belief, arts, morals, law, custom, and  any other capabilities and habits acquired by man as a member of society.</w:t>
      </w:r>
      <w:r w:rsidR="0074517C">
        <w:t>’</w:t>
      </w:r>
      <w:r w:rsidR="006E0717" w:rsidRPr="006E0717">
        <w:rPr>
          <w:vertAlign w:val="superscript"/>
        </w:rPr>
        <w:footnoteReference w:id="11"/>
      </w:r>
      <w:r w:rsidR="006E0717" w:rsidRPr="006E0717">
        <w:t xml:space="preserve"> According to the </w:t>
      </w:r>
      <w:r w:rsidR="006E0717" w:rsidRPr="006E0717">
        <w:rPr>
          <w:i/>
        </w:rPr>
        <w:t xml:space="preserve">Cambridge English dictionary, </w:t>
      </w:r>
      <w:r w:rsidR="006E0717" w:rsidRPr="006E0717">
        <w:t xml:space="preserve">culture is </w:t>
      </w:r>
      <w:r w:rsidR="0074517C">
        <w:t>‘</w:t>
      </w:r>
      <w:r w:rsidR="006E0717" w:rsidRPr="006E0717">
        <w:t>the way of life</w:t>
      </w:r>
      <w:r w:rsidR="005367A2">
        <w:t xml:space="preserve"> of</w:t>
      </w:r>
      <w:r w:rsidR="006E0717" w:rsidRPr="006E0717">
        <w:t xml:space="preserve"> a particular group of people at a particular time</w:t>
      </w:r>
      <w:r w:rsidR="0074517C">
        <w:t>’</w:t>
      </w:r>
      <w:r w:rsidR="006E0717" w:rsidRPr="006E0717">
        <w:t>.</w:t>
      </w:r>
      <w:r w:rsidR="006E0717" w:rsidRPr="006E0717">
        <w:rPr>
          <w:vertAlign w:val="superscript"/>
        </w:rPr>
        <w:footnoteReference w:id="12"/>
      </w:r>
      <w:r w:rsidR="006E0717" w:rsidRPr="006E0717">
        <w:t xml:space="preserve"> A custom is a </w:t>
      </w:r>
      <w:r w:rsidR="0074517C">
        <w:t>‘</w:t>
      </w:r>
      <w:r w:rsidR="006E0717" w:rsidRPr="006E0717">
        <w:t>usage or practice of the people which</w:t>
      </w:r>
      <w:r w:rsidR="005367A2">
        <w:t xml:space="preserve"> </w:t>
      </w:r>
      <w:r w:rsidR="006E0717" w:rsidRPr="006E0717">
        <w:t xml:space="preserve">by common adoption and by long and unvarying habit, has </w:t>
      </w:r>
      <w:r w:rsidR="005367A2">
        <w:t>gain</w:t>
      </w:r>
      <w:r w:rsidR="006E0717" w:rsidRPr="006E0717">
        <w:t>ed the force of a law.</w:t>
      </w:r>
      <w:r w:rsidR="0074517C">
        <w:t>’</w:t>
      </w:r>
      <w:r w:rsidR="006E0717" w:rsidRPr="006E0717">
        <w:rPr>
          <w:vertAlign w:val="superscript"/>
        </w:rPr>
        <w:footnoteReference w:id="13"/>
      </w:r>
      <w:r w:rsidR="006E0717" w:rsidRPr="006E0717">
        <w:t xml:space="preserve">  </w:t>
      </w:r>
    </w:p>
    <w:p w14:paraId="7099A8FD" w14:textId="4F454ABF" w:rsidR="00F0127A" w:rsidRDefault="003C7465" w:rsidP="003C7465">
      <w:pPr>
        <w:ind w:left="720"/>
        <w:rPr>
          <w:sz w:val="22"/>
          <w:szCs w:val="22"/>
        </w:rPr>
      </w:pPr>
      <w:r>
        <w:rPr>
          <w:sz w:val="22"/>
          <w:szCs w:val="22"/>
        </w:rPr>
        <w:t>“</w:t>
      </w:r>
      <w:r w:rsidR="00F0127A" w:rsidRPr="003C7465">
        <w:rPr>
          <w:sz w:val="22"/>
          <w:szCs w:val="22"/>
        </w:rPr>
        <w:t>Customary law grows out of the social practices which a given community has come to ac</w:t>
      </w:r>
      <w:r w:rsidR="005367A2">
        <w:rPr>
          <w:sz w:val="22"/>
          <w:szCs w:val="22"/>
        </w:rPr>
        <w:t>knowledge</w:t>
      </w:r>
      <w:r w:rsidR="00F0127A" w:rsidRPr="003C7465">
        <w:rPr>
          <w:sz w:val="22"/>
          <w:szCs w:val="22"/>
        </w:rPr>
        <w:t xml:space="preserve"> as </w:t>
      </w:r>
      <w:r w:rsidR="005367A2">
        <w:rPr>
          <w:sz w:val="22"/>
          <w:szCs w:val="22"/>
        </w:rPr>
        <w:t>com</w:t>
      </w:r>
      <w:r w:rsidR="0074517C">
        <w:rPr>
          <w:sz w:val="22"/>
          <w:szCs w:val="22"/>
        </w:rPr>
        <w:t>p</w:t>
      </w:r>
      <w:r w:rsidR="005367A2">
        <w:rPr>
          <w:sz w:val="22"/>
          <w:szCs w:val="22"/>
        </w:rPr>
        <w:t>uls</w:t>
      </w:r>
      <w:r w:rsidR="00F0127A" w:rsidRPr="003C7465">
        <w:rPr>
          <w:sz w:val="22"/>
          <w:szCs w:val="22"/>
        </w:rPr>
        <w:t>ory. It is a pervasive normative order, providing the regulatory framework for spheres of human activity as diverse as the family, the neighbourhood, the business of merchant banking or international diplomacy</w:t>
      </w:r>
      <w:r>
        <w:rPr>
          <w:sz w:val="22"/>
          <w:szCs w:val="22"/>
        </w:rPr>
        <w:t>”</w:t>
      </w:r>
      <w:r w:rsidR="00F0127A" w:rsidRPr="003C7465">
        <w:rPr>
          <w:sz w:val="22"/>
          <w:szCs w:val="22"/>
        </w:rPr>
        <w:t>.</w:t>
      </w:r>
      <w:r w:rsidR="00F0127A" w:rsidRPr="003C7465">
        <w:rPr>
          <w:sz w:val="22"/>
          <w:szCs w:val="22"/>
          <w:vertAlign w:val="superscript"/>
        </w:rPr>
        <w:footnoteReference w:id="14"/>
      </w:r>
    </w:p>
    <w:p w14:paraId="434D0568" w14:textId="0880C083" w:rsidR="0089749A" w:rsidRPr="0065638C" w:rsidRDefault="0089749A" w:rsidP="0089749A">
      <w:r w:rsidRPr="0065638C">
        <w:t>Customary law</w:t>
      </w:r>
      <w:r w:rsidR="00FC64F6" w:rsidRPr="0065638C">
        <w:t>s should</w:t>
      </w:r>
      <w:r w:rsidR="007860AD">
        <w:t xml:space="preserve"> </w:t>
      </w:r>
      <w:r w:rsidR="00FC64F6" w:rsidRPr="0065638C">
        <w:t>not be viewed as solely traditional. They are norms and institutions that extract their authority and legitimacy from traditional customs, religious beliefs, ideas, and practices</w:t>
      </w:r>
      <w:r w:rsidR="0065638C" w:rsidRPr="0065638C">
        <w:t xml:space="preserve"> and not state mechanisms.</w:t>
      </w:r>
      <w:r w:rsidR="0065638C">
        <w:t xml:space="preserve"> </w:t>
      </w:r>
      <w:r w:rsidR="0065638C" w:rsidRPr="0065638C">
        <w:t>This definition of customary law emphasises its ‘living’ nature, it suggest</w:t>
      </w:r>
      <w:r w:rsidR="0065638C">
        <w:t>s</w:t>
      </w:r>
      <w:r w:rsidR="0065638C" w:rsidRPr="0065638C">
        <w:t xml:space="preserve"> that customary law is not just an ancient static concept</w:t>
      </w:r>
      <w:r w:rsidR="0065638C">
        <w:t>.</w:t>
      </w:r>
      <w:r w:rsidR="0065638C">
        <w:rPr>
          <w:rStyle w:val="FootnoteReference"/>
        </w:rPr>
        <w:footnoteReference w:id="15"/>
      </w:r>
      <w:r w:rsidR="0065638C" w:rsidRPr="0065638C">
        <w:t xml:space="preserve"> </w:t>
      </w:r>
    </w:p>
    <w:p w14:paraId="51F4ED04" w14:textId="2684DB8C" w:rsidR="00F0127A" w:rsidRPr="00F0127A" w:rsidRDefault="007860AD" w:rsidP="00F0127A">
      <w:r>
        <w:t>P</w:t>
      </w:r>
      <w:r w:rsidR="00F0127A" w:rsidRPr="00F0127A">
        <w:t xml:space="preserve">re-colonial law in most African states was essentially customary in character, having its sources in the practices and customs of the people. </w:t>
      </w:r>
      <w:r w:rsidR="003C7465">
        <w:t>A great majority of people in t</w:t>
      </w:r>
      <w:r w:rsidR="00F0127A" w:rsidRPr="00F0127A">
        <w:t>ypical African communities</w:t>
      </w:r>
      <w:r w:rsidR="003C7465">
        <w:t xml:space="preserve"> </w:t>
      </w:r>
      <w:r w:rsidR="00F0127A" w:rsidRPr="00F0127A">
        <w:t xml:space="preserve">conducted their personal activities in accordance with and subject to customary law. According to Section 3(2) of the Judicature Act, African customary law was to </w:t>
      </w:r>
      <w:r w:rsidR="0074517C">
        <w:t>‘</w:t>
      </w:r>
      <w:r w:rsidR="00F0127A" w:rsidRPr="00F0127A">
        <w:t xml:space="preserve">guide the Court of Appeal, the High Court and all subordinate courts in civil matters. In addition, the courts could </w:t>
      </w:r>
      <w:r w:rsidR="00F0127A" w:rsidRPr="00F0127A">
        <w:lastRenderedPageBreak/>
        <w:t>only apply customary law if it was not repugnant to justice and morality</w:t>
      </w:r>
      <w:r w:rsidR="0074517C">
        <w:t>’</w:t>
      </w:r>
      <w:r w:rsidR="00F0127A" w:rsidRPr="00F0127A">
        <w:t>.</w:t>
      </w:r>
      <w:r w:rsidR="00F0127A" w:rsidRPr="00F0127A">
        <w:rPr>
          <w:vertAlign w:val="superscript"/>
        </w:rPr>
        <w:footnoteReference w:id="16"/>
      </w:r>
      <w:r w:rsidR="00F0127A" w:rsidRPr="00F0127A">
        <w:t xml:space="preserve"> The use of customary law in courts was therefore meant to ensure there was substantive justice as encapsulated in section 3(2) of the Judicature Act. Article 162 of the 2010 Constitution establishes a two-tier court system: Superior courts and subordinate courts. The Superior courts include the Supreme Court, the Court of Appeal, the High Court, Environment and Land Court, and Industrial Court. Subordinate courts include magistrate courts, </w:t>
      </w:r>
      <w:proofErr w:type="spellStart"/>
      <w:r w:rsidR="00F0127A" w:rsidRPr="00F0127A">
        <w:t>Kadhi</w:t>
      </w:r>
      <w:proofErr w:type="spellEnd"/>
      <w:r w:rsidR="00F0127A" w:rsidRPr="00F0127A">
        <w:t xml:space="preserve"> courts, and court martial</w:t>
      </w:r>
      <w:r w:rsidR="00F0127A" w:rsidRPr="00F0127A">
        <w:rPr>
          <w:vertAlign w:val="superscript"/>
        </w:rPr>
        <w:footnoteReference w:id="17"/>
      </w:r>
      <w:r w:rsidR="00F0127A" w:rsidRPr="00F0127A">
        <w:t xml:space="preserve">. Article 159 (2)(c) and (3) </w:t>
      </w:r>
      <w:r w:rsidR="005367A2">
        <w:t>states that</w:t>
      </w:r>
      <w:r w:rsidR="00F0127A" w:rsidRPr="00F0127A">
        <w:t xml:space="preserve"> court</w:t>
      </w:r>
      <w:r w:rsidR="005367A2">
        <w:t>s</w:t>
      </w:r>
      <w:r w:rsidR="00F0127A" w:rsidRPr="00F0127A">
        <w:t xml:space="preserve"> </w:t>
      </w:r>
      <w:r w:rsidR="005367A2">
        <w:t>should</w:t>
      </w:r>
      <w:r w:rsidR="00F0127A" w:rsidRPr="00F0127A">
        <w:t xml:space="preserve"> be guided by principles of traditional dispute resolution mechanisms provided the principles do not contradict the Bill of Rights, the Constitution, other written laws or result in outcomes that are repugnant to justice and morality.</w:t>
      </w:r>
      <w:r w:rsidR="00F0127A" w:rsidRPr="00F0127A">
        <w:rPr>
          <w:vertAlign w:val="superscript"/>
        </w:rPr>
        <w:footnoteReference w:id="18"/>
      </w:r>
    </w:p>
    <w:p w14:paraId="74A2A559" w14:textId="57585007" w:rsidR="00F0127A" w:rsidRDefault="00F0127A" w:rsidP="006E0717">
      <w:r w:rsidRPr="00F0127A">
        <w:t xml:space="preserve">The Constitution protects the culture of the people of Kenya, as well as their forms of cultural expression. Article 11, stipulates the importance of culture, recognising it as ‘the foundation of the </w:t>
      </w:r>
      <w:r w:rsidR="007860AD">
        <w:t>country</w:t>
      </w:r>
      <w:r w:rsidRPr="00F0127A">
        <w:t xml:space="preserve"> and the </w:t>
      </w:r>
      <w:r w:rsidR="007860AD">
        <w:t>aggregate</w:t>
      </w:r>
      <w:r w:rsidRPr="00F0127A">
        <w:t xml:space="preserve"> civilisation of the people’</w:t>
      </w:r>
      <w:r w:rsidRPr="00F0127A">
        <w:rPr>
          <w:vertAlign w:val="superscript"/>
        </w:rPr>
        <w:footnoteReference w:id="19"/>
      </w:r>
      <w:r w:rsidRPr="00F0127A">
        <w:t>. Seeing as culture is tied in with the customs and belie</w:t>
      </w:r>
      <w:r w:rsidR="0079473F">
        <w:t>f</w:t>
      </w:r>
      <w:r w:rsidRPr="00F0127A">
        <w:t>s of th</w:t>
      </w:r>
      <w:r w:rsidR="0079473F">
        <w:t xml:space="preserve">e </w:t>
      </w:r>
      <w:r w:rsidRPr="00F0127A">
        <w:t>people,</w:t>
      </w:r>
      <w:r w:rsidR="0079473F">
        <w:t xml:space="preserve"> </w:t>
      </w:r>
      <w:r w:rsidRPr="00F0127A">
        <w:t>the Constitution provide</w:t>
      </w:r>
      <w:r w:rsidR="0079473F">
        <w:t>s</w:t>
      </w:r>
      <w:r w:rsidRPr="00F0127A">
        <w:t xml:space="preserve"> a gateway for African customary law. However, the application of these customs will only be accepted insofar as they are consistent with the Constitution. Th</w:t>
      </w:r>
      <w:r w:rsidR="0079473F">
        <w:t>is is because the</w:t>
      </w:r>
      <w:r w:rsidRPr="00F0127A">
        <w:t xml:space="preserve"> Constitution is the </w:t>
      </w:r>
      <w:r w:rsidR="007860AD">
        <w:t>fore</w:t>
      </w:r>
      <w:r w:rsidRPr="00F0127A">
        <w:t>most</w:t>
      </w:r>
      <w:r w:rsidR="007860AD">
        <w:t xml:space="preserve"> critical</w:t>
      </w:r>
      <w:r w:rsidRPr="00F0127A">
        <w:t xml:space="preserve"> stick against which the </w:t>
      </w:r>
      <w:r w:rsidR="007860AD">
        <w:t>pertinence</w:t>
      </w:r>
      <w:r w:rsidRPr="00F0127A">
        <w:t xml:space="preserve"> of all other laws, </w:t>
      </w:r>
      <w:r w:rsidR="007860AD">
        <w:t xml:space="preserve">traditions and </w:t>
      </w:r>
      <w:r w:rsidRPr="00F0127A">
        <w:t>custo</w:t>
      </w:r>
      <w:r w:rsidR="007860AD">
        <w:t>ms</w:t>
      </w:r>
      <w:r w:rsidRPr="00F0127A">
        <w:t xml:space="preserve"> are measured. If a certain marriage custom is inconsistent with any part of the Constitution, that custom is considered to be inapplicable, even though it is a part of the culture of a particular community. Therefore, the protection of the culture of the people of Kenya is only applicable to the extent that it is consistent with the rest of the Constitution.</w:t>
      </w:r>
    </w:p>
    <w:p w14:paraId="22B26400" w14:textId="18D996E5" w:rsidR="0006618D" w:rsidRPr="0006618D" w:rsidRDefault="000272CB" w:rsidP="0006618D">
      <w:r>
        <w:t xml:space="preserve">Justice Cardozo </w:t>
      </w:r>
      <w:r w:rsidR="00E70A68">
        <w:t>de</w:t>
      </w:r>
      <w:r w:rsidR="006309B0">
        <w:t>fin</w:t>
      </w:r>
      <w:r w:rsidR="00E70A68">
        <w:t>e</w:t>
      </w:r>
      <w:r w:rsidR="006309B0">
        <w:t>d</w:t>
      </w:r>
      <w:r w:rsidR="00E70A68">
        <w:t xml:space="preserve"> l</w:t>
      </w:r>
      <w:r w:rsidR="006E0717">
        <w:t xml:space="preserve">aw </w:t>
      </w:r>
      <w:r w:rsidR="00E70A68">
        <w:t>a</w:t>
      </w:r>
      <w:r w:rsidR="006E0717">
        <w:t>s</w:t>
      </w:r>
      <w:r w:rsidR="00E70A68">
        <w:t xml:space="preserve"> </w:t>
      </w:r>
      <w:r w:rsidR="0074517C">
        <w:t>‘</w:t>
      </w:r>
      <w:r w:rsidR="00E70A68">
        <w:t xml:space="preserve">a principle </w:t>
      </w:r>
      <w:r w:rsidR="007860AD">
        <w:t xml:space="preserve">established to legitimise a prediction with sensible </w:t>
      </w:r>
      <w:r w:rsidR="00E70A68">
        <w:t>certainty that it will be enforced by courts of its authority if challenged</w:t>
      </w:r>
      <w:r w:rsidR="0074517C">
        <w:t>’</w:t>
      </w:r>
      <w:r w:rsidR="00E70A68">
        <w:t>.</w:t>
      </w:r>
      <w:r w:rsidR="00E70A68">
        <w:rPr>
          <w:rStyle w:val="FootnoteReference"/>
        </w:rPr>
        <w:footnoteReference w:id="20"/>
      </w:r>
      <w:r w:rsidR="006E0717">
        <w:t xml:space="preserve"> </w:t>
      </w:r>
      <w:r w:rsidR="006309B0">
        <w:t>Laws are rules that are u</w:t>
      </w:r>
      <w:r w:rsidR="007860AD">
        <w:t>tili</w:t>
      </w:r>
      <w:r w:rsidR="006309B0">
        <w:t xml:space="preserve">sed to maintain the order and govern the relationships between </w:t>
      </w:r>
      <w:r w:rsidR="007860AD">
        <w:t>individuals</w:t>
      </w:r>
      <w:r w:rsidR="006309B0">
        <w:t xml:space="preserve"> in society. </w:t>
      </w:r>
      <w:r w:rsidR="0006618D" w:rsidRPr="0006618D">
        <w:t xml:space="preserve">The </w:t>
      </w:r>
      <w:r w:rsidR="00C35FD1">
        <w:t>relat</w:t>
      </w:r>
      <w:r w:rsidR="0006618D" w:rsidRPr="0006618D">
        <w:t>ion</w:t>
      </w:r>
      <w:r w:rsidR="00C35FD1">
        <w:t>ship</w:t>
      </w:r>
      <w:r w:rsidR="0006618D" w:rsidRPr="0006618D">
        <w:t xml:space="preserve"> between culture and law can be rather complex. Three di</w:t>
      </w:r>
      <w:r w:rsidR="007860AD">
        <w:t>stinctive</w:t>
      </w:r>
      <w:r w:rsidR="0006618D" w:rsidRPr="0006618D">
        <w:t xml:space="preserve"> ways of articulating connections between culture and law are discussed by Abigail </w:t>
      </w:r>
      <w:proofErr w:type="spellStart"/>
      <w:r w:rsidR="0006618D" w:rsidRPr="0006618D">
        <w:t>Saguy</w:t>
      </w:r>
      <w:proofErr w:type="spellEnd"/>
      <w:r w:rsidR="0006618D" w:rsidRPr="0006618D">
        <w:t xml:space="preserve"> and Forrest Stuart.</w:t>
      </w:r>
      <w:r w:rsidR="0006618D" w:rsidRPr="0006618D">
        <w:rPr>
          <w:vertAlign w:val="superscript"/>
        </w:rPr>
        <w:footnoteReference w:id="21"/>
      </w:r>
      <w:r w:rsidR="0006618D" w:rsidRPr="0006618D">
        <w:t xml:space="preserve"> </w:t>
      </w:r>
      <w:r w:rsidR="0074517C">
        <w:t>‘</w:t>
      </w:r>
      <w:r w:rsidR="0006618D" w:rsidRPr="0006618D">
        <w:t xml:space="preserve">The </w:t>
      </w:r>
      <w:r w:rsidR="0006618D" w:rsidRPr="0006618D">
        <w:lastRenderedPageBreak/>
        <w:t>first holds culture as the independent variable to explain variations in law. The second takes law as an independent variable to explain culture. The third considers law as culture</w:t>
      </w:r>
      <w:r w:rsidR="0074517C">
        <w:t>’</w:t>
      </w:r>
      <w:r w:rsidR="0006618D" w:rsidRPr="0006618D">
        <w:t>.</w:t>
      </w:r>
      <w:r w:rsidR="0006618D" w:rsidRPr="0006618D">
        <w:rPr>
          <w:vertAlign w:val="superscript"/>
        </w:rPr>
        <w:footnoteReference w:id="22"/>
      </w:r>
      <w:r w:rsidR="0006618D" w:rsidRPr="0006618D">
        <w:t xml:space="preserve"> </w:t>
      </w:r>
    </w:p>
    <w:p w14:paraId="30B31411" w14:textId="720D5B20" w:rsidR="0006618D" w:rsidRDefault="0074517C" w:rsidP="0006618D">
      <w:r>
        <w:t>‘</w:t>
      </w:r>
      <w:r w:rsidR="0006618D" w:rsidRPr="0006618D">
        <w:t>Culture does not act in isolation. It is closely connected to law. Culture influences law, and law influences culture</w:t>
      </w:r>
      <w:r>
        <w:t>’</w:t>
      </w:r>
      <w:r w:rsidR="0006618D" w:rsidRPr="0006618D">
        <w:t>.</w:t>
      </w:r>
      <w:r w:rsidR="0006618D" w:rsidRPr="0006618D">
        <w:rPr>
          <w:vertAlign w:val="superscript"/>
        </w:rPr>
        <w:footnoteReference w:id="23"/>
      </w:r>
      <w:r w:rsidR="0006618D" w:rsidRPr="0006618D">
        <w:t xml:space="preserve"> An example of this theory is the respect of individual rights in an egalitarian culture and the reassurance that the rights will not be violated. Similarly, laws that enforce equal rights for men and women lead to changes in cultural views </w:t>
      </w:r>
      <w:r w:rsidR="00F81648">
        <w:t>with</w:t>
      </w:r>
      <w:r w:rsidR="0006618D" w:rsidRPr="0006618D">
        <w:t xml:space="preserve"> regards to the position men and women occupy in society. The two thirds majority rule provided for in the Constitution of Kenya 2010 in Article 27(8) of the Bill of Rights is an example of the laws adopting to the changing culture of the community. The Article states that </w:t>
      </w:r>
      <w:r>
        <w:t>‘</w:t>
      </w:r>
      <w:r w:rsidR="0006618D" w:rsidRPr="0006618D">
        <w:t>the State shall take legislative and other measures to implement the principle that not more than two thirds of the members of elective or appointive bodies shall be of the same gender</w:t>
      </w:r>
      <w:bookmarkStart w:id="30" w:name="_Hlk48080487"/>
      <w:r>
        <w:t>’</w:t>
      </w:r>
      <w:r w:rsidR="0006618D" w:rsidRPr="0006618D">
        <w:t>.</w:t>
      </w:r>
      <w:r w:rsidR="0006618D" w:rsidRPr="0006618D">
        <w:rPr>
          <w:vertAlign w:val="superscript"/>
        </w:rPr>
        <w:footnoteReference w:id="24"/>
      </w:r>
      <w:r w:rsidR="0006618D" w:rsidRPr="0006618D">
        <w:t xml:space="preserve"> </w:t>
      </w:r>
      <w:bookmarkEnd w:id="30"/>
      <w:r w:rsidR="0006618D" w:rsidRPr="0006618D">
        <w:t>This provision is further reiterated in Article 81(b) on the principles of the electoral system and is commonly referred to as the gender principle.</w:t>
      </w:r>
      <w:r w:rsidR="008B1041">
        <w:t xml:space="preserve"> </w:t>
      </w:r>
      <w:r w:rsidR="00841476">
        <w:t xml:space="preserve">Whether progressive cultural views led to changes in the law or whether the changes in the law influenced the progressive cultural views can be likened to the “chicken” or “egg” paradox. The paradox is used to demonstrate cause and effect and like in this situation, it is hard to fully ascertain which one caused the other to happen. </w:t>
      </w:r>
    </w:p>
    <w:p w14:paraId="61158F44" w14:textId="10FBDA9F" w:rsidR="0006618D" w:rsidRPr="0006618D" w:rsidRDefault="0006618D" w:rsidP="00E23D20">
      <w:pPr>
        <w:pStyle w:val="Heading2"/>
      </w:pPr>
      <w:bookmarkStart w:id="31" w:name="_Toc78407980"/>
      <w:r w:rsidRPr="0006618D">
        <w:t>2.1 CUSTOM THEORY</w:t>
      </w:r>
      <w:bookmarkEnd w:id="31"/>
      <w:r w:rsidRPr="0006618D">
        <w:t xml:space="preserve"> </w:t>
      </w:r>
    </w:p>
    <w:p w14:paraId="1325FB4C" w14:textId="3C35B234" w:rsidR="0006618D" w:rsidRPr="0006618D" w:rsidRDefault="0006618D" w:rsidP="0006618D">
      <w:r w:rsidRPr="0006618D">
        <w:t>The custom theory is proposed by Friedrich Carl Von Savigny. This theory proposes that there is a</w:t>
      </w:r>
      <w:r w:rsidR="007860AD">
        <w:t xml:space="preserve">n </w:t>
      </w:r>
      <w:r w:rsidRPr="0006618D">
        <w:t xml:space="preserve">inherent relationship between law and society. </w:t>
      </w:r>
      <w:r w:rsidR="007860AD">
        <w:t xml:space="preserve">It purports that transplanted laws eventually fail as they are not drafted with the intricacies of the recipient system’s society. The theory further states that legal systems are self-sufficient such that laws are drafted when legal problems arise. </w:t>
      </w:r>
      <w:r w:rsidRPr="0006618D">
        <w:t xml:space="preserve">His view takes forth the notion that legal transplantation is undesirable because the borrowed laws will not cater for the needs of the recipient </w:t>
      </w:r>
      <w:r w:rsidR="00C3097D">
        <w:t xml:space="preserve">legal </w:t>
      </w:r>
      <w:r w:rsidRPr="0006618D">
        <w:t>system as they are specifically designed to fit the donor legal system.</w:t>
      </w:r>
    </w:p>
    <w:p w14:paraId="3326530C" w14:textId="5D67D32B" w:rsidR="0006618D" w:rsidRPr="0006618D" w:rsidRDefault="0006618D" w:rsidP="00E23D20">
      <w:pPr>
        <w:pStyle w:val="Heading2"/>
      </w:pPr>
      <w:bookmarkStart w:id="32" w:name="_Toc78407981"/>
      <w:r w:rsidRPr="0006618D">
        <w:lastRenderedPageBreak/>
        <w:t>2.2 LEG</w:t>
      </w:r>
      <w:r w:rsidR="000A169B">
        <w:t>A</w:t>
      </w:r>
      <w:r w:rsidRPr="0006618D">
        <w:t>L ENGINEERING THEORY</w:t>
      </w:r>
      <w:bookmarkEnd w:id="32"/>
    </w:p>
    <w:p w14:paraId="604CD54A" w14:textId="1A5B9423" w:rsidR="0006618D" w:rsidRPr="0006618D" w:rsidRDefault="0006618D" w:rsidP="0006618D">
      <w:r w:rsidRPr="0006618D">
        <w:t xml:space="preserve">A second theory is put forward by Alan Watson, who believed that there is no </w:t>
      </w:r>
      <w:r w:rsidR="005367A2">
        <w:t xml:space="preserve">extraordinary association </w:t>
      </w:r>
      <w:r w:rsidRPr="0006618D">
        <w:t xml:space="preserve">between the law and society. This view contrasts that of Savigny’s. </w:t>
      </w:r>
      <w:r w:rsidR="00B05109" w:rsidRPr="00B05109">
        <w:t xml:space="preserve">The hypothesis moreover </w:t>
      </w:r>
      <w:r w:rsidR="00B05109">
        <w:t>‘</w:t>
      </w:r>
      <w:r w:rsidR="00B05109" w:rsidRPr="00B05109">
        <w:t>holds that no community has ever been lawfully self-sufficient within the history of mankind</w:t>
      </w:r>
      <w:r w:rsidR="00B05109">
        <w:t>’</w:t>
      </w:r>
      <w:r w:rsidRPr="0006618D">
        <w:t>.</w:t>
      </w:r>
      <w:r w:rsidRPr="0006618D">
        <w:rPr>
          <w:vertAlign w:val="superscript"/>
        </w:rPr>
        <w:footnoteReference w:id="25"/>
      </w:r>
      <w:r w:rsidRPr="0006618D">
        <w:t xml:space="preserve"> This is evident in the transplantation of English law through colonialism.</w:t>
      </w:r>
      <w:r w:rsidR="00B05109">
        <w:t xml:space="preserve"> L</w:t>
      </w:r>
      <w:r w:rsidRPr="0006618D">
        <w:t>egal engineering</w:t>
      </w:r>
      <w:r w:rsidR="00B05109">
        <w:t xml:space="preserve"> </w:t>
      </w:r>
      <w:r w:rsidRPr="0006618D">
        <w:t>views laws as intangible instruments that aim at a</w:t>
      </w:r>
      <w:r w:rsidR="00B05109">
        <w:t>ccomplish</w:t>
      </w:r>
      <w:r w:rsidRPr="0006618D">
        <w:t xml:space="preserve">ing certain </w:t>
      </w:r>
      <w:r w:rsidR="00B05109">
        <w:t>objectives</w:t>
      </w:r>
      <w:r w:rsidRPr="0006618D">
        <w:t>.</w:t>
      </w:r>
      <w:r w:rsidRPr="0006618D">
        <w:rPr>
          <w:vertAlign w:val="superscript"/>
        </w:rPr>
        <w:footnoteReference w:id="26"/>
      </w:r>
      <w:r w:rsidRPr="0006618D">
        <w:t xml:space="preserve">  </w:t>
      </w:r>
      <w:r w:rsidR="00B05109">
        <w:t xml:space="preserve">Proponents of this theory argue that </w:t>
      </w:r>
      <w:r w:rsidRPr="0006618D">
        <w:t xml:space="preserve">laws are </w:t>
      </w:r>
      <w:r w:rsidR="00B05109">
        <w:t>instruments</w:t>
      </w:r>
      <w:r w:rsidRPr="0006618D">
        <w:t xml:space="preserve"> that can be taken to any society and used with success.</w:t>
      </w:r>
      <w:r w:rsidRPr="0006618D">
        <w:rPr>
          <w:vertAlign w:val="superscript"/>
        </w:rPr>
        <w:footnoteReference w:id="27"/>
      </w:r>
      <w:r w:rsidRPr="0006618D">
        <w:t xml:space="preserve"> </w:t>
      </w:r>
    </w:p>
    <w:p w14:paraId="7E9F613A" w14:textId="1A583446" w:rsidR="0006618D" w:rsidRPr="0006618D" w:rsidRDefault="00B05109" w:rsidP="0006618D">
      <w:r>
        <w:t>Various j</w:t>
      </w:r>
      <w:r w:rsidR="0006618D" w:rsidRPr="0006618D">
        <w:t xml:space="preserve">ustifications are given for this position. The first reason is the fact that legal transplantation has been </w:t>
      </w:r>
      <w:r>
        <w:t>exceptionally</w:t>
      </w:r>
      <w:r w:rsidR="0006618D" w:rsidRPr="0006618D">
        <w:t xml:space="preserve"> common </w:t>
      </w:r>
      <w:r>
        <w:t>with</w:t>
      </w:r>
      <w:r w:rsidR="0006618D" w:rsidRPr="0006618D">
        <w:t xml:space="preserve">in the history of legal systems. This shows that people have found it rational and useful. </w:t>
      </w:r>
      <w:r>
        <w:t>I</w:t>
      </w:r>
      <w:r w:rsidR="0006618D" w:rsidRPr="0006618D">
        <w:t xml:space="preserve">f </w:t>
      </w:r>
      <w:r w:rsidR="0095594B">
        <w:t>a certain</w:t>
      </w:r>
      <w:r>
        <w:t xml:space="preserve"> </w:t>
      </w:r>
      <w:r w:rsidR="0095594B">
        <w:t>countr</w:t>
      </w:r>
      <w:r>
        <w:t>y</w:t>
      </w:r>
      <w:r w:rsidR="0095594B">
        <w:t xml:space="preserve"> needs laws that are used by another, why does the needing country have to reinvent those legal rules? Would it be rational for the needing country to adopt the legal rules already in use? </w:t>
      </w:r>
      <w:r w:rsidR="0006618D" w:rsidRPr="0006618D">
        <w:t xml:space="preserve">Watson therefore believes that it is desirable for laws to be transplanted into other communities. </w:t>
      </w:r>
      <w:r w:rsidR="0095594B" w:rsidRPr="0095594B">
        <w:t xml:space="preserve">Watson’s hypothesis </w:t>
      </w:r>
      <w:r w:rsidR="0095594B">
        <w:t>assumes</w:t>
      </w:r>
      <w:r w:rsidR="0095594B" w:rsidRPr="0095594B">
        <w:t xml:space="preserve"> that </w:t>
      </w:r>
      <w:r w:rsidR="0095594B">
        <w:t xml:space="preserve">countries </w:t>
      </w:r>
      <w:r w:rsidR="0095594B" w:rsidRPr="0095594B">
        <w:t xml:space="preserve">borrow laws from other </w:t>
      </w:r>
      <w:r w:rsidR="0095594B">
        <w:t>countrie</w:t>
      </w:r>
      <w:r w:rsidR="0095594B" w:rsidRPr="0095594B">
        <w:t>s as a result of free wil</w:t>
      </w:r>
      <w:r w:rsidR="0095594B">
        <w:t xml:space="preserve">l however, </w:t>
      </w:r>
      <w:r w:rsidR="0095594B" w:rsidRPr="0095594B">
        <w:t xml:space="preserve">history </w:t>
      </w:r>
      <w:r w:rsidR="0095594B">
        <w:t xml:space="preserve">shows </w:t>
      </w:r>
      <w:r w:rsidR="0095594B" w:rsidRPr="0095594B">
        <w:t>that this is often not the truth, as leg</w:t>
      </w:r>
      <w:r w:rsidR="0095594B">
        <w:t>al</w:t>
      </w:r>
      <w:r w:rsidR="0095594B" w:rsidRPr="0095594B">
        <w:t xml:space="preserve"> transplantation has regularly happened as a result of</w:t>
      </w:r>
      <w:r w:rsidR="0095594B">
        <w:t xml:space="preserve"> external pressure</w:t>
      </w:r>
      <w:r w:rsidR="0095594B" w:rsidRPr="0095594B">
        <w:t>. In Kenya’s case, colonialism.</w:t>
      </w:r>
    </w:p>
    <w:p w14:paraId="4361FD1C" w14:textId="04540E53" w:rsidR="0006618D" w:rsidRPr="0006618D" w:rsidRDefault="0006618D" w:rsidP="00E23D20">
      <w:pPr>
        <w:pStyle w:val="Heading2"/>
      </w:pPr>
      <w:bookmarkStart w:id="33" w:name="_Toc78407982"/>
      <w:r w:rsidRPr="0006618D">
        <w:t>2.3 HYBRID THEORY</w:t>
      </w:r>
      <w:bookmarkEnd w:id="33"/>
      <w:r w:rsidRPr="0006618D">
        <w:t xml:space="preserve"> </w:t>
      </w:r>
    </w:p>
    <w:p w14:paraId="2137EB92" w14:textId="2547EE5A" w:rsidR="0006618D" w:rsidRPr="0006618D" w:rsidRDefault="0006618D" w:rsidP="0006618D">
      <w:r w:rsidRPr="0006618D">
        <w:t xml:space="preserve">A third theory proposed by Otto Kahn-Freund </w:t>
      </w:r>
      <w:proofErr w:type="spellStart"/>
      <w:r w:rsidR="0095594B">
        <w:t>endeavor</w:t>
      </w:r>
      <w:r w:rsidRPr="0006618D">
        <w:t>s</w:t>
      </w:r>
      <w:proofErr w:type="spellEnd"/>
      <w:r w:rsidRPr="0006618D">
        <w:t xml:space="preserve"> to strike a middle ground. It is commonly referred to as the hybrid theory. </w:t>
      </w:r>
      <w:r w:rsidR="006C2041">
        <w:t>‘</w:t>
      </w:r>
      <w:r w:rsidRPr="0006618D">
        <w:t xml:space="preserve">It </w:t>
      </w:r>
      <w:r w:rsidR="006C2041">
        <w:t>proposes</w:t>
      </w:r>
      <w:r w:rsidRPr="0006618D">
        <w:t xml:space="preserve"> that in certain areas of law, it is logical for developing countries to borrow laws from developed </w:t>
      </w:r>
      <w:proofErr w:type="gramStart"/>
      <w:r w:rsidR="006773EF" w:rsidRPr="0006618D">
        <w:t>countries</w:t>
      </w:r>
      <w:r w:rsidR="006C2041">
        <w:t>’</w:t>
      </w:r>
      <w:proofErr w:type="gramEnd"/>
      <w:r w:rsidRPr="0006618D">
        <w:t>.</w:t>
      </w:r>
      <w:r w:rsidRPr="0006618D">
        <w:rPr>
          <w:vertAlign w:val="superscript"/>
        </w:rPr>
        <w:footnoteReference w:id="28"/>
      </w:r>
      <w:r w:rsidRPr="0006618D">
        <w:t xml:space="preserve"> </w:t>
      </w:r>
      <w:r w:rsidR="006C2041">
        <w:t>A</w:t>
      </w:r>
      <w:r w:rsidRPr="0006618D">
        <w:t xml:space="preserve">reas such as public law, technology law and commercial law, do not have provisions under traditional laws and customs, it therefore becomes rational for developing countries such as Kenya to borrow such provisions.  For instance, </w:t>
      </w:r>
      <w:r w:rsidR="006C2041">
        <w:t>‘i</w:t>
      </w:r>
      <w:r w:rsidRPr="0006618D">
        <w:t xml:space="preserve">n enacting the </w:t>
      </w:r>
      <w:r w:rsidR="006C2041" w:rsidRPr="006C2041">
        <w:t>Companies Act 2015</w:t>
      </w:r>
      <w:r w:rsidRPr="0006618D">
        <w:t>, Kenya borrowed heavily from the United Kingdom’s (UK) Companies Act of 2006 (UK Act)</w:t>
      </w:r>
      <w:r w:rsidR="006C2041">
        <w:t>’</w:t>
      </w:r>
      <w:r w:rsidRPr="0006618D">
        <w:t>.</w:t>
      </w:r>
      <w:r w:rsidRPr="0006618D">
        <w:rPr>
          <w:vertAlign w:val="superscript"/>
        </w:rPr>
        <w:footnoteReference w:id="29"/>
      </w:r>
      <w:r w:rsidRPr="0006618D">
        <w:t xml:space="preserve">  </w:t>
      </w:r>
      <w:bookmarkStart w:id="34" w:name="_Hlk63838092"/>
      <w:r w:rsidRPr="0006618D">
        <w:t>In areas where developing countries have provisions under customary law, foreign laws are not  requir</w:t>
      </w:r>
      <w:r w:rsidR="006C2041">
        <w:t>ed</w:t>
      </w:r>
      <w:r w:rsidRPr="0006618D">
        <w:t xml:space="preserve">. </w:t>
      </w:r>
      <w:bookmarkEnd w:id="34"/>
      <w:r w:rsidRPr="0006618D">
        <w:t xml:space="preserve">These areas include marriage law, inheritance law </w:t>
      </w:r>
      <w:r w:rsidRPr="0006618D">
        <w:lastRenderedPageBreak/>
        <w:t xml:space="preserve">and land law among others as provided for under </w:t>
      </w:r>
      <w:r w:rsidRPr="0006618D">
        <w:rPr>
          <w:i/>
          <w:iCs/>
        </w:rPr>
        <w:t>Section 7(3) of the Magistrates’ Court Act 2015</w:t>
      </w:r>
      <w:r w:rsidRPr="0006618D">
        <w:t xml:space="preserve">. The Kenyan marriage law system consists of four different systems. The Hindu marriage system, the customary marriage system, the Islamic marriage system and the statutory marriage system. Marriage laws among the local Kenyan tribes existed before the British colonised Kenya. Each tribe had various rituals that were practiced and different rules and duties given to the individuals getting married as well as the community. </w:t>
      </w:r>
    </w:p>
    <w:p w14:paraId="7955160E" w14:textId="2E26E3CF" w:rsidR="0006618D" w:rsidRPr="0006618D" w:rsidRDefault="0006618D" w:rsidP="0006618D">
      <w:r w:rsidRPr="0006618D">
        <w:t xml:space="preserve">During colonisation, </w:t>
      </w:r>
      <w:r w:rsidR="002D1BEE">
        <w:t>‘e</w:t>
      </w:r>
      <w:r w:rsidRPr="0006618D">
        <w:t>xisting social relations were taken, recons</w:t>
      </w:r>
      <w:r w:rsidR="002D1BEE">
        <w:t>truc</w:t>
      </w:r>
      <w:r w:rsidRPr="0006618D">
        <w:t xml:space="preserve">ted in terms of </w:t>
      </w:r>
      <w:r w:rsidR="002D1BEE">
        <w:t>their</w:t>
      </w:r>
      <w:r w:rsidRPr="0006618D">
        <w:t xml:space="preserve"> imp</w:t>
      </w:r>
      <w:r w:rsidR="002D1BEE">
        <w:t>ortance</w:t>
      </w:r>
      <w:r w:rsidRPr="0006618D">
        <w:t xml:space="preserve"> and given back to the people as their own. </w:t>
      </w:r>
      <w:r w:rsidR="002D1BEE">
        <w:t>By doing this, the colonial government</w:t>
      </w:r>
      <w:r w:rsidRPr="0006618D">
        <w:t xml:space="preserve"> denied</w:t>
      </w:r>
      <w:r w:rsidR="002D1BEE">
        <w:t xml:space="preserve"> the people their history</w:t>
      </w:r>
      <w:r w:rsidRPr="0006618D">
        <w:t xml:space="preserve">, and </w:t>
      </w:r>
      <w:r w:rsidR="002D1BEE">
        <w:t xml:space="preserve">created </w:t>
      </w:r>
      <w:r w:rsidRPr="0006618D">
        <w:t>tradition instead</w:t>
      </w:r>
      <w:r w:rsidR="002D1BEE">
        <w:t>’</w:t>
      </w:r>
      <w:r w:rsidRPr="0006618D">
        <w:t>.</w:t>
      </w:r>
      <w:r w:rsidRPr="0006618D">
        <w:rPr>
          <w:vertAlign w:val="superscript"/>
        </w:rPr>
        <w:footnoteReference w:id="30"/>
      </w:r>
      <w:r w:rsidRPr="0006618D">
        <w:t xml:space="preserve"> With the increase of missionaries in the area and Christianity being recognised widely by the colonialists, statutory marriages were encouraged and given a higher standing</w:t>
      </w:r>
      <w:r w:rsidR="002D1BEE">
        <w:t xml:space="preserve">. </w:t>
      </w:r>
      <w:r w:rsidRPr="0006618D">
        <w:t xml:space="preserve">The comments made in </w:t>
      </w:r>
      <w:r w:rsidRPr="0006618D">
        <w:rPr>
          <w:i/>
          <w:iCs/>
        </w:rPr>
        <w:t xml:space="preserve">R v </w:t>
      </w:r>
      <w:proofErr w:type="spellStart"/>
      <w:r w:rsidRPr="0006618D">
        <w:rPr>
          <w:i/>
          <w:iCs/>
        </w:rPr>
        <w:t>Amkeyo</w:t>
      </w:r>
      <w:proofErr w:type="spellEnd"/>
      <w:r w:rsidRPr="0006618D">
        <w:t xml:space="preserve"> by Judge Hamilton suggest that that English law was paramount and customary law, though applicable, was an inferior system.</w:t>
      </w:r>
    </w:p>
    <w:p w14:paraId="503C0501" w14:textId="77777777" w:rsidR="0006618D" w:rsidRPr="0006618D" w:rsidRDefault="0006618D" w:rsidP="0006618D">
      <w:r w:rsidRPr="0006618D">
        <w:t xml:space="preserve">Hamilton, CJ, in </w:t>
      </w:r>
      <w:r w:rsidRPr="0006618D">
        <w:rPr>
          <w:i/>
          <w:iCs/>
        </w:rPr>
        <w:t xml:space="preserve">R v </w:t>
      </w:r>
      <w:proofErr w:type="spellStart"/>
      <w:r w:rsidRPr="0006618D">
        <w:rPr>
          <w:i/>
          <w:iCs/>
        </w:rPr>
        <w:t>Amkeyo</w:t>
      </w:r>
      <w:proofErr w:type="spellEnd"/>
      <w:r w:rsidRPr="0006618D">
        <w:t xml:space="preserve"> said this:</w:t>
      </w:r>
    </w:p>
    <w:p w14:paraId="2998E330" w14:textId="6F9D3579" w:rsidR="0006618D" w:rsidRPr="006773EF" w:rsidRDefault="006773EF" w:rsidP="006773EF">
      <w:pPr>
        <w:ind w:left="720"/>
        <w:rPr>
          <w:sz w:val="22"/>
          <w:szCs w:val="20"/>
        </w:rPr>
      </w:pPr>
      <w:r w:rsidRPr="006773EF">
        <w:rPr>
          <w:sz w:val="22"/>
          <w:szCs w:val="20"/>
        </w:rPr>
        <w:t>“</w:t>
      </w:r>
      <w:r w:rsidR="0006618D" w:rsidRPr="006773EF">
        <w:rPr>
          <w:sz w:val="22"/>
          <w:szCs w:val="20"/>
        </w:rPr>
        <w:t xml:space="preserve">In my opinion, the use of the word 'marriage' to describe the relationship entered into by an African </w:t>
      </w:r>
      <w:r w:rsidR="002D1BEE">
        <w:rPr>
          <w:sz w:val="22"/>
          <w:szCs w:val="20"/>
        </w:rPr>
        <w:t>man</w:t>
      </w:r>
      <w:r w:rsidR="0006618D" w:rsidRPr="006773EF">
        <w:rPr>
          <w:sz w:val="22"/>
          <w:szCs w:val="20"/>
        </w:rPr>
        <w:t xml:space="preserve"> with a woman of his tribe </w:t>
      </w:r>
      <w:r w:rsidR="002D1BEE">
        <w:rPr>
          <w:sz w:val="22"/>
          <w:szCs w:val="20"/>
        </w:rPr>
        <w:t>concurr</w:t>
      </w:r>
      <w:r w:rsidR="0006618D" w:rsidRPr="006773EF">
        <w:rPr>
          <w:sz w:val="22"/>
          <w:szCs w:val="20"/>
        </w:rPr>
        <w:t>ing to tribal custom is a misnomer which has</w:t>
      </w:r>
      <w:r w:rsidR="002D1BEE">
        <w:rPr>
          <w:sz w:val="22"/>
          <w:szCs w:val="20"/>
        </w:rPr>
        <w:t xml:space="preserve"> caused</w:t>
      </w:r>
      <w:r w:rsidR="0006618D" w:rsidRPr="006773EF">
        <w:rPr>
          <w:sz w:val="22"/>
          <w:szCs w:val="20"/>
        </w:rPr>
        <w:t xml:space="preserve"> considerable confusion. I know of no word that </w:t>
      </w:r>
      <w:r w:rsidR="002D1BEE">
        <w:rPr>
          <w:sz w:val="22"/>
          <w:szCs w:val="20"/>
        </w:rPr>
        <w:t>accura</w:t>
      </w:r>
      <w:r w:rsidR="0006618D" w:rsidRPr="006773EF">
        <w:rPr>
          <w:sz w:val="22"/>
          <w:szCs w:val="20"/>
        </w:rPr>
        <w:t>t</w:t>
      </w:r>
      <w:r w:rsidR="002D1BEE">
        <w:rPr>
          <w:sz w:val="22"/>
          <w:szCs w:val="20"/>
        </w:rPr>
        <w:t>e</w:t>
      </w:r>
      <w:r w:rsidR="0006618D" w:rsidRPr="006773EF">
        <w:rPr>
          <w:sz w:val="22"/>
          <w:szCs w:val="20"/>
        </w:rPr>
        <w:t xml:space="preserve">ly describes it; 'wife-purchase' is not altogether satisfactory, but it comes much </w:t>
      </w:r>
      <w:r w:rsidR="002D1BEE">
        <w:rPr>
          <w:sz w:val="22"/>
          <w:szCs w:val="20"/>
        </w:rPr>
        <w:t>clos</w:t>
      </w:r>
      <w:r w:rsidR="0006618D" w:rsidRPr="006773EF">
        <w:rPr>
          <w:sz w:val="22"/>
          <w:szCs w:val="20"/>
        </w:rPr>
        <w:t>er to the idea than that of 'marriage' as generally understood among civilised peoples</w:t>
      </w:r>
      <w:r w:rsidRPr="006773EF">
        <w:rPr>
          <w:sz w:val="22"/>
          <w:szCs w:val="20"/>
        </w:rPr>
        <w:t>”</w:t>
      </w:r>
      <w:r w:rsidR="0006618D" w:rsidRPr="006773EF">
        <w:rPr>
          <w:sz w:val="22"/>
          <w:szCs w:val="20"/>
        </w:rPr>
        <w:t>.</w:t>
      </w:r>
      <w:r w:rsidR="0006618D" w:rsidRPr="006773EF">
        <w:rPr>
          <w:sz w:val="22"/>
          <w:szCs w:val="20"/>
          <w:vertAlign w:val="superscript"/>
        </w:rPr>
        <w:footnoteReference w:id="31"/>
      </w:r>
      <w:r w:rsidR="0006618D" w:rsidRPr="006773EF">
        <w:rPr>
          <w:sz w:val="22"/>
          <w:szCs w:val="20"/>
        </w:rPr>
        <w:t xml:space="preserve"> </w:t>
      </w:r>
    </w:p>
    <w:p w14:paraId="69506A86" w14:textId="6D5BBDF5" w:rsidR="0006618D" w:rsidRPr="0006618D" w:rsidRDefault="0006618D" w:rsidP="0006618D">
      <w:r w:rsidRPr="0006618D">
        <w:t xml:space="preserve">‘The </w:t>
      </w:r>
      <w:r w:rsidR="00773007">
        <w:t>interpretation</w:t>
      </w:r>
      <w:r w:rsidRPr="0006618D">
        <w:t xml:space="preserve"> of customary law by courts during colonialism and within the independence period </w:t>
      </w:r>
      <w:r w:rsidR="00182648">
        <w:t>offers</w:t>
      </w:r>
      <w:r w:rsidRPr="0006618D">
        <w:t xml:space="preserve"> a </w:t>
      </w:r>
      <w:r w:rsidR="00182648">
        <w:t>va</w:t>
      </w:r>
      <w:r w:rsidRPr="0006618D">
        <w:t>l</w:t>
      </w:r>
      <w:r w:rsidR="00182648">
        <w:t>uable</w:t>
      </w:r>
      <w:r w:rsidRPr="0006618D">
        <w:t xml:space="preserve"> insight into the dynamism and </w:t>
      </w:r>
      <w:r w:rsidR="00182648">
        <w:t>flexi</w:t>
      </w:r>
      <w:r w:rsidRPr="0006618D">
        <w:t>bility of law.</w:t>
      </w:r>
      <w:r w:rsidR="00182648">
        <w:t xml:space="preserve"> </w:t>
      </w:r>
      <w:r w:rsidRPr="0006618D">
        <w:t>It represents a scenario of cultures engaging one another with the one seeking to subjugate the other’.</w:t>
      </w:r>
      <w:r w:rsidRPr="0006618D">
        <w:rPr>
          <w:vertAlign w:val="superscript"/>
        </w:rPr>
        <w:footnoteReference w:id="32"/>
      </w:r>
      <w:r w:rsidRPr="0006618D">
        <w:t xml:space="preserve"> </w:t>
      </w:r>
    </w:p>
    <w:p w14:paraId="4D137876" w14:textId="0274C8ED" w:rsidR="0006618D" w:rsidRPr="0006618D" w:rsidRDefault="0006618D" w:rsidP="00E23D20">
      <w:pPr>
        <w:pStyle w:val="Heading2"/>
      </w:pPr>
      <w:bookmarkStart w:id="35" w:name="_Toc78407983"/>
      <w:r w:rsidRPr="0006618D">
        <w:lastRenderedPageBreak/>
        <w:t>2.4 SCHOLARLY WORK</w:t>
      </w:r>
      <w:bookmarkEnd w:id="35"/>
    </w:p>
    <w:p w14:paraId="7F012247" w14:textId="61E8E58D" w:rsidR="0006618D" w:rsidRPr="0006618D" w:rsidRDefault="0006618D" w:rsidP="0006618D">
      <w:r w:rsidRPr="0006618D">
        <w:t xml:space="preserve">‘Throughout history, culture has taken the leading role by informing society of what laws are </w:t>
      </w:r>
      <w:r w:rsidR="00444B4C">
        <w:t>vital</w:t>
      </w:r>
      <w:r w:rsidRPr="0006618D">
        <w:t xml:space="preserve"> and appropriate’.</w:t>
      </w:r>
      <w:r w:rsidRPr="0006618D">
        <w:rPr>
          <w:vertAlign w:val="superscript"/>
        </w:rPr>
        <w:footnoteReference w:id="33"/>
      </w:r>
      <w:r w:rsidRPr="0006618D">
        <w:t xml:space="preserve"> Over the years, scholars have expressed their opinions on the desirability and functioning of transplants in the legal system. A review of the literature in the topic shows that most of the studies relate to the different theories proposed by Montesquieu and further supported by Kahn and Watson’s views.</w:t>
      </w:r>
    </w:p>
    <w:p w14:paraId="698CEEB5" w14:textId="1F1044DD" w:rsidR="0006618D" w:rsidRDefault="0006618D" w:rsidP="0006618D">
      <w:r w:rsidRPr="0006618D">
        <w:t>‘Watson challenges Montesquieu’s view that law is a local phenomenon linked to the living conditions of a given society. In most cases, l</w:t>
      </w:r>
      <w:r w:rsidR="00DB1DA4">
        <w:t>aws</w:t>
      </w:r>
      <w:r w:rsidRPr="0006618D">
        <w:t xml:space="preserve"> </w:t>
      </w:r>
      <w:r w:rsidR="00DB1DA4">
        <w:t xml:space="preserve">do </w:t>
      </w:r>
      <w:r w:rsidRPr="0006618D">
        <w:t>not reflect the particular society in which they operate’.</w:t>
      </w:r>
      <w:r w:rsidRPr="0006618D">
        <w:rPr>
          <w:vertAlign w:val="superscript"/>
        </w:rPr>
        <w:footnoteReference w:id="34"/>
      </w:r>
      <w:r w:rsidRPr="0006618D">
        <w:t xml:space="preserve"> Borrowing occurs </w:t>
      </w:r>
      <w:r w:rsidR="00DB1DA4">
        <w:t>essential</w:t>
      </w:r>
      <w:r w:rsidRPr="0006618D">
        <w:t xml:space="preserve">ly because the existing laws </w:t>
      </w:r>
      <w:r w:rsidR="00DB1DA4">
        <w:t>of</w:t>
      </w:r>
      <w:r w:rsidRPr="0006618D">
        <w:t xml:space="preserve"> </w:t>
      </w:r>
      <w:r w:rsidR="00DB1DA4">
        <w:t xml:space="preserve">a country do </w:t>
      </w:r>
      <w:r w:rsidRPr="0006618D">
        <w:t>not respond</w:t>
      </w:r>
      <w:r w:rsidR="00DB1DA4">
        <w:t xml:space="preserve"> </w:t>
      </w:r>
      <w:r w:rsidRPr="0006618D">
        <w:t xml:space="preserve">to the current social or economic needs. As the needs of the </w:t>
      </w:r>
      <w:r w:rsidR="00DB1DA4">
        <w:t>citizens</w:t>
      </w:r>
      <w:r w:rsidRPr="0006618D">
        <w:t xml:space="preserve"> and state evolve, critical gaps in the existing law call for completion, more often through borrowing. This view suggests that transplantation occurs when a state’s laws are no longer meeting the needs of the society.</w:t>
      </w:r>
    </w:p>
    <w:p w14:paraId="79466D9E" w14:textId="3E3909D0" w:rsidR="00AA2D68" w:rsidRPr="0006618D" w:rsidRDefault="00AA2D68" w:rsidP="0006618D">
      <w:r>
        <w:t xml:space="preserve">Marc Galanter </w:t>
      </w:r>
      <w:r w:rsidR="00DB1DA4">
        <w:t>compar</w:t>
      </w:r>
      <w:r>
        <w:t xml:space="preserve">ed legal cultures to languages. He said that they are instruments that can engage with foreign material while maintaining their unique characteristics. </w:t>
      </w:r>
      <w:r w:rsidR="00F81AB0">
        <w:t xml:space="preserve">According to him, legal transplants do not hold the risk of being rejected. He asserts that any law can </w:t>
      </w:r>
      <w:r w:rsidR="00DC79F7">
        <w:t>successful</w:t>
      </w:r>
      <w:r w:rsidR="00F81AB0">
        <w:t xml:space="preserve">ly engage with foreign material and be relevant, just like languages. </w:t>
      </w:r>
      <w:r w:rsidR="00F81AB0">
        <w:rPr>
          <w:rStyle w:val="FootnoteReference"/>
        </w:rPr>
        <w:footnoteReference w:id="35"/>
      </w:r>
    </w:p>
    <w:p w14:paraId="5EAE8BC4" w14:textId="0331AFEB" w:rsidR="0006618D" w:rsidRPr="0006618D" w:rsidRDefault="0006618D" w:rsidP="0006618D">
      <w:r w:rsidRPr="0006618D">
        <w:t xml:space="preserve">Ancel </w:t>
      </w:r>
      <w:r w:rsidR="00DC79F7">
        <w:t>stated that ‘</w:t>
      </w:r>
      <w:r w:rsidRPr="0006618D">
        <w:t xml:space="preserve">law </w:t>
      </w:r>
      <w:r w:rsidR="00DC79F7">
        <w:t xml:space="preserve">is </w:t>
      </w:r>
      <w:r w:rsidRPr="0006618D">
        <w:t>closely related to the identity of a nation or people,</w:t>
      </w:r>
      <w:r w:rsidR="00DC79F7">
        <w:t xml:space="preserve"> he recognised that</w:t>
      </w:r>
      <w:r w:rsidRPr="0006618D">
        <w:t xml:space="preserve"> transplantation of laws had been common in the ancient world as well as in the modern’.</w:t>
      </w:r>
      <w:r w:rsidRPr="0006618D">
        <w:rPr>
          <w:vertAlign w:val="superscript"/>
        </w:rPr>
        <w:footnoteReference w:id="36"/>
      </w:r>
      <w:r w:rsidRPr="0006618D">
        <w:t xml:space="preserve"> He also observed the possibility of a unified legal system. </w:t>
      </w:r>
      <w:r w:rsidR="00C00C47">
        <w:t xml:space="preserve">According to </w:t>
      </w:r>
      <w:r w:rsidR="00FC2DB1" w:rsidRPr="00FC2DB1">
        <w:t xml:space="preserve">Charles </w:t>
      </w:r>
      <w:proofErr w:type="spellStart"/>
      <w:r w:rsidR="00FC2DB1" w:rsidRPr="00FC2DB1">
        <w:t>Maechling</w:t>
      </w:r>
      <w:proofErr w:type="spellEnd"/>
      <w:r w:rsidR="00C00C47">
        <w:t>,</w:t>
      </w:r>
      <w:r w:rsidR="00FC2DB1" w:rsidRPr="00FC2DB1">
        <w:t>‘</w:t>
      </w:r>
      <w:r w:rsidR="00C00C47">
        <w:t xml:space="preserve">a </w:t>
      </w:r>
      <w:r w:rsidR="00FC2DB1" w:rsidRPr="00FC2DB1">
        <w:t>legal transplant</w:t>
      </w:r>
      <w:r w:rsidR="00C00C47">
        <w:t xml:space="preserve"> does</w:t>
      </w:r>
      <w:r w:rsidR="00FC2DB1" w:rsidRPr="00FC2DB1">
        <w:t xml:space="preserve"> not </w:t>
      </w:r>
      <w:r w:rsidR="00C00C47">
        <w:t>create</w:t>
      </w:r>
      <w:r w:rsidR="00FC2DB1" w:rsidRPr="00FC2DB1">
        <w:t xml:space="preserve"> </w:t>
      </w:r>
      <w:r w:rsidR="00C00C47">
        <w:t xml:space="preserve">an </w:t>
      </w:r>
      <w:r w:rsidR="00FC2DB1" w:rsidRPr="00FC2DB1">
        <w:t>expansive new approach but instead bring</w:t>
      </w:r>
      <w:r w:rsidR="00C00C47">
        <w:t>s</w:t>
      </w:r>
      <w:r w:rsidR="00FC2DB1" w:rsidRPr="00FC2DB1">
        <w:t xml:space="preserve"> a</w:t>
      </w:r>
      <w:r w:rsidR="00FC2DB1">
        <w:t xml:space="preserve"> more honed centre and more thorough explanatory approach</w:t>
      </w:r>
      <w:r w:rsidR="00C00C47">
        <w:t xml:space="preserve"> to a field that varied and was broad’</w:t>
      </w:r>
      <w:r w:rsidRPr="0006618D">
        <w:t>.</w:t>
      </w:r>
      <w:r w:rsidRPr="0006618D">
        <w:rPr>
          <w:vertAlign w:val="superscript"/>
        </w:rPr>
        <w:footnoteReference w:id="37"/>
      </w:r>
    </w:p>
    <w:p w14:paraId="6934BB43" w14:textId="3839E0AD" w:rsidR="0006618D" w:rsidRPr="0006618D" w:rsidRDefault="0006618D" w:rsidP="0006618D">
      <w:proofErr w:type="spellStart"/>
      <w:r w:rsidRPr="0006618D">
        <w:t>Frederich</w:t>
      </w:r>
      <w:proofErr w:type="spellEnd"/>
      <w:r w:rsidRPr="0006618D">
        <w:t xml:space="preserve"> Schauer explains that ‘origin countries, countries in need of transplants, and third parties </w:t>
      </w:r>
      <w:r w:rsidR="005E5C41">
        <w:t>like</w:t>
      </w:r>
      <w:r w:rsidRPr="0006618D">
        <w:t xml:space="preserve"> NGOs have political, reputational and </w:t>
      </w:r>
      <w:r w:rsidR="00B80D29">
        <w:t>financial</w:t>
      </w:r>
      <w:r w:rsidRPr="0006618D">
        <w:t xml:space="preserve"> incentives among other factors that are </w:t>
      </w:r>
      <w:r w:rsidR="00C00C47">
        <w:t>inclined</w:t>
      </w:r>
      <w:r w:rsidRPr="0006618D">
        <w:t xml:space="preserve"> to be imperative in de</w:t>
      </w:r>
      <w:r w:rsidR="00B80D29">
        <w:t>cid</w:t>
      </w:r>
      <w:r w:rsidRPr="0006618D">
        <w:t>ing the shapes of legal transplants’.</w:t>
      </w:r>
      <w:r w:rsidRPr="0006618D">
        <w:rPr>
          <w:vertAlign w:val="superscript"/>
        </w:rPr>
        <w:footnoteReference w:id="38"/>
      </w:r>
      <w:r w:rsidRPr="0006618D">
        <w:t xml:space="preserve"> He challenges ‘the </w:t>
      </w:r>
      <w:r w:rsidRPr="0006618D">
        <w:lastRenderedPageBreak/>
        <w:t xml:space="preserve">presumption that some </w:t>
      </w:r>
      <w:r w:rsidR="00B80D29">
        <w:t>scholars</w:t>
      </w:r>
      <w:r w:rsidRPr="0006618D">
        <w:t xml:space="preserve"> have </w:t>
      </w:r>
      <w:r w:rsidR="00B80D29">
        <w:t>with respect to</w:t>
      </w:r>
      <w:r w:rsidRPr="0006618D">
        <w:t xml:space="preserve"> what they think is the predominant factor in de</w:t>
      </w:r>
      <w:r w:rsidR="00B80D29">
        <w:t>cid</w:t>
      </w:r>
      <w:r w:rsidRPr="0006618D">
        <w:t>ing which laws are transplanted and from where</w:t>
      </w:r>
      <w:r w:rsidR="00B80D29">
        <w:t>,</w:t>
      </w:r>
      <w:r w:rsidRPr="0006618D">
        <w:t xml:space="preserve"> by stating there is more to this subject than just an </w:t>
      </w:r>
      <w:r w:rsidR="00B80D29">
        <w:t>anticipa</w:t>
      </w:r>
      <w:r w:rsidRPr="0006618D">
        <w:t>ted efficacy’</w:t>
      </w:r>
      <w:r w:rsidR="00B80D29">
        <w:t>.</w:t>
      </w:r>
      <w:r w:rsidRPr="0006618D">
        <w:rPr>
          <w:vertAlign w:val="superscript"/>
        </w:rPr>
        <w:footnoteReference w:id="39"/>
      </w:r>
    </w:p>
    <w:p w14:paraId="2700EA1C" w14:textId="5BDF14C7" w:rsidR="0006618D" w:rsidRPr="0006618D" w:rsidRDefault="0006618D" w:rsidP="0006618D">
      <w:r w:rsidRPr="0006618D">
        <w:t>Kahn-Freund’s hybrid theory approach requires the ‘contents of a recipient legal system to be studied before the borrowing of laws is made’.</w:t>
      </w:r>
      <w:r w:rsidRPr="0006618D">
        <w:rPr>
          <w:vertAlign w:val="superscript"/>
        </w:rPr>
        <w:footnoteReference w:id="40"/>
      </w:r>
      <w:r w:rsidRPr="0006618D">
        <w:t xml:space="preserve">  Kahn-Freund argued that ‘there are degrees of transferability’.</w:t>
      </w:r>
      <w:r w:rsidRPr="0006618D">
        <w:rPr>
          <w:vertAlign w:val="superscript"/>
        </w:rPr>
        <w:footnoteReference w:id="41"/>
      </w:r>
      <w:r w:rsidRPr="0006618D">
        <w:t xml:space="preserve">  This view suggests that laws must not be separated from their purpose</w:t>
      </w:r>
      <w:r w:rsidR="00B80D29">
        <w:t xml:space="preserve">. </w:t>
      </w:r>
      <w:r w:rsidRPr="0006618D">
        <w:t xml:space="preserve">Laws will only be transferred when necessary. He identified a two-step process that determines the viability of a proposed transplant. </w:t>
      </w:r>
      <w:r w:rsidR="00B80D29">
        <w:t>‘F</w:t>
      </w:r>
      <w:r w:rsidRPr="0006618D">
        <w:t>irst</w:t>
      </w:r>
      <w:r w:rsidR="00B80D29">
        <w:t>, you examine the relationship between the law</w:t>
      </w:r>
      <w:r w:rsidR="00B6359E">
        <w:t>s</w:t>
      </w:r>
      <w:r w:rsidR="00B80D29">
        <w:t xml:space="preserve"> and</w:t>
      </w:r>
      <w:r w:rsidRPr="0006618D">
        <w:t xml:space="preserve"> socio-political structure of the donor state. The second step involves comparing the socio-political environment of the donor and receiving state’.</w:t>
      </w:r>
      <w:r w:rsidRPr="0006618D">
        <w:rPr>
          <w:vertAlign w:val="superscript"/>
        </w:rPr>
        <w:footnoteReference w:id="42"/>
      </w:r>
      <w:r w:rsidRPr="0006618D">
        <w:t xml:space="preserve"> Kahn-Freund suggests that some transplants are more mechanical and therefore more difficult to transplant’.</w:t>
      </w:r>
      <w:r w:rsidRPr="0006618D">
        <w:rPr>
          <w:vertAlign w:val="superscript"/>
        </w:rPr>
        <w:footnoteReference w:id="43"/>
      </w:r>
      <w:r w:rsidRPr="0006618D">
        <w:t xml:space="preserve"> ‘He stated that legal transplants have the risk of being rejected and that it is dangerous to transplant a law that is culturally attached to a particular society because all jurisdictions have a unique social constitution’.</w:t>
      </w:r>
      <w:r w:rsidRPr="0006618D">
        <w:rPr>
          <w:vertAlign w:val="superscript"/>
        </w:rPr>
        <w:footnoteReference w:id="44"/>
      </w:r>
    </w:p>
    <w:p w14:paraId="6921F5CF" w14:textId="07D8BCE3" w:rsidR="0006618D" w:rsidRPr="0006618D" w:rsidRDefault="0006618D" w:rsidP="0006618D">
      <w:bookmarkStart w:id="40" w:name="_Hlk36124362"/>
      <w:r w:rsidRPr="0006618D">
        <w:t xml:space="preserve">Shen </w:t>
      </w:r>
      <w:proofErr w:type="spellStart"/>
      <w:r w:rsidRPr="0006618D">
        <w:t>Zongling</w:t>
      </w:r>
      <w:proofErr w:type="spellEnd"/>
      <w:r w:rsidRPr="0006618D">
        <w:t xml:space="preserve"> </w:t>
      </w:r>
      <w:bookmarkEnd w:id="40"/>
      <w:r w:rsidRPr="0006618D">
        <w:t>states that ‘Kahn’s theory is drawn from Montesquieu’s theory, who is considered to be the first comparative lawyer in history’.</w:t>
      </w:r>
      <w:r w:rsidRPr="0006618D">
        <w:rPr>
          <w:vertAlign w:val="superscript"/>
        </w:rPr>
        <w:footnoteReference w:id="45"/>
      </w:r>
      <w:r w:rsidRPr="0006618D">
        <w:t xml:space="preserve"> Kahn’s theory follows the approach that laws drafted for a specific country should be compatible </w:t>
      </w:r>
      <w:r w:rsidR="00B6359E">
        <w:t>with</w:t>
      </w:r>
      <w:r w:rsidRPr="0006618D">
        <w:t xml:space="preserve"> that country, and the fact that those laws also fit another country is a matter of coincidence. This is drawn from Montesquieu’s famous statement that </w:t>
      </w:r>
      <w:r w:rsidR="003F1A14">
        <w:t>“</w:t>
      </w:r>
      <w:r w:rsidRPr="0006618D">
        <w:t xml:space="preserve">laws are the necessary relations arising from the nature of things”. There are therefore two opposing views, that of Montesquieu and Kahn versus that of Watson. These theories have shaped the framing of my research. </w:t>
      </w:r>
    </w:p>
    <w:p w14:paraId="56DFE488" w14:textId="711C3FEF" w:rsidR="0006618D" w:rsidRPr="0006618D" w:rsidRDefault="0006618D" w:rsidP="0006618D">
      <w:r w:rsidRPr="0006618D">
        <w:t xml:space="preserve">Drawing from the theories discussed above, it is evident that law is attached to the values of a community. That the community should benefit from laws that are structured to meet the needs of the people and align with their customs. The laws enacted by a certain country, should therefore, be a reflection of the society. This notion furthers the conclusion that transplanted laws to some </w:t>
      </w:r>
      <w:r w:rsidRPr="0006618D">
        <w:lastRenderedPageBreak/>
        <w:t xml:space="preserve">extent, would be detrimental to the community because they don’t relate to the customs of the people. The hybrid theory best illustrates this point. Laws transplanted from other jurisdictions should fit the socio-political environment of the receiving state. During the colonial period, the Protectorate received a number of British and Indian laws that were applied. Quite often the transplanted laws and the customary traditions and practices would clash, especially in the realm of marriages, due to the fact that the transplanted laws failed to recognise some of the key characteristics that make up customary marriages. The repugnancy clause is a major clash that still exists today as was seen in </w:t>
      </w:r>
      <w:proofErr w:type="spellStart"/>
      <w:r w:rsidRPr="0006618D">
        <w:rPr>
          <w:i/>
          <w:iCs/>
        </w:rPr>
        <w:t>Rono</w:t>
      </w:r>
      <w:proofErr w:type="spellEnd"/>
      <w:r w:rsidRPr="0006618D">
        <w:rPr>
          <w:i/>
          <w:iCs/>
        </w:rPr>
        <w:t xml:space="preserve"> v </w:t>
      </w:r>
      <w:proofErr w:type="spellStart"/>
      <w:r w:rsidRPr="0006618D">
        <w:rPr>
          <w:i/>
          <w:iCs/>
        </w:rPr>
        <w:t>Rono</w:t>
      </w:r>
      <w:proofErr w:type="spellEnd"/>
      <w:r w:rsidRPr="0006618D">
        <w:t>, where the Court of Appeal held that customary law is only applicable insofar as it is not repugnant to justice and morality and is compatible with the existing laws.</w:t>
      </w:r>
      <w:r w:rsidRPr="0006618D">
        <w:rPr>
          <w:vertAlign w:val="superscript"/>
        </w:rPr>
        <w:footnoteReference w:id="46"/>
      </w:r>
      <w:r w:rsidRPr="0006618D">
        <w:t xml:space="preserve"> Here, the court upheld the provisions of Section 3(2) of the Judicature Act. The repugnancy clause demonstrates that the transplanted laws were given a higher standing and elevation as compared to the customary laws of the community.</w:t>
      </w:r>
    </w:p>
    <w:p w14:paraId="664F298B" w14:textId="77777777" w:rsidR="0006618D" w:rsidRPr="0006618D" w:rsidRDefault="0006618D" w:rsidP="0006618D">
      <w:r w:rsidRPr="0006618D">
        <w:t xml:space="preserve">Another major clash is the consideration of dowry, a custom common in most traditional weddings, as bride purchase. The European conception of what marriage is, was often used as the comparative framework when determining whether customary marriages were to be considered valid. This structure diminished the customary marriages, as some traditions were overlooked by judges and deemed to be uncivilised. The overlooked traditions included dowry and polygamy. This is demonstrated in </w:t>
      </w:r>
      <w:r w:rsidRPr="0006618D">
        <w:rPr>
          <w:i/>
          <w:iCs/>
        </w:rPr>
        <w:t xml:space="preserve">R v </w:t>
      </w:r>
      <w:proofErr w:type="spellStart"/>
      <w:r w:rsidRPr="0006618D">
        <w:rPr>
          <w:i/>
          <w:iCs/>
        </w:rPr>
        <w:t>Amkeyo</w:t>
      </w:r>
      <w:proofErr w:type="spellEnd"/>
      <w:r w:rsidRPr="0006618D">
        <w:rPr>
          <w:i/>
          <w:iCs/>
        </w:rPr>
        <w:t xml:space="preserve"> </w:t>
      </w:r>
      <w:r w:rsidRPr="0006618D">
        <w:t>by Hamilton, CJ who stated that African customary view of marriage was a misnomer and that the woman is not a contractual party to the marriage rather, she is considered to be nothing more than property, like chattel because of the dowry to be paid to the woman’s family and the fact that polygamy is allowed.</w:t>
      </w:r>
      <w:r w:rsidRPr="0006618D">
        <w:rPr>
          <w:vertAlign w:val="superscript"/>
        </w:rPr>
        <w:footnoteReference w:id="47"/>
      </w:r>
      <w:r w:rsidRPr="0006618D">
        <w:t xml:space="preserve"> Similarly, in </w:t>
      </w:r>
      <w:r w:rsidRPr="0006618D">
        <w:rPr>
          <w:i/>
          <w:iCs/>
        </w:rPr>
        <w:t xml:space="preserve">R v </w:t>
      </w:r>
      <w:proofErr w:type="spellStart"/>
      <w:r w:rsidRPr="0006618D">
        <w:rPr>
          <w:i/>
          <w:iCs/>
        </w:rPr>
        <w:t>Mwakio</w:t>
      </w:r>
      <w:proofErr w:type="spellEnd"/>
      <w:r w:rsidRPr="0006618D">
        <w:rPr>
          <w:i/>
          <w:iCs/>
        </w:rPr>
        <w:t xml:space="preserve"> </w:t>
      </w:r>
      <w:proofErr w:type="spellStart"/>
      <w:r w:rsidRPr="0006618D">
        <w:rPr>
          <w:i/>
          <w:iCs/>
        </w:rPr>
        <w:t>Asani</w:t>
      </w:r>
      <w:proofErr w:type="spellEnd"/>
      <w:r w:rsidRPr="0006618D">
        <w:rPr>
          <w:i/>
          <w:iCs/>
        </w:rPr>
        <w:t xml:space="preserve">, </w:t>
      </w:r>
      <w:r w:rsidRPr="0006618D">
        <w:t>the judge purported to call the wife a concubine instead because the marriage was customary in nature.</w:t>
      </w:r>
      <w:r w:rsidRPr="0006618D">
        <w:rPr>
          <w:vertAlign w:val="superscript"/>
        </w:rPr>
        <w:footnoteReference w:id="48"/>
      </w:r>
    </w:p>
    <w:p w14:paraId="03076DFE" w14:textId="77777777" w:rsidR="004478E2" w:rsidRDefault="0006618D" w:rsidP="0006618D">
      <w:r w:rsidRPr="0006618D">
        <w:t xml:space="preserve">The problem initiated by the European interpretation of what entailed marriage is presumably tackled by the Marriage Act, 2014 which provides that polygamous marriages are recognised under the law. Section 6(3) of the Marriage Act provides that customary marriages are presumed to be potentially polygamous. The 2010 Constitution reflects a Change in the relation between law, society and customs. The Constitution, made for the people, by the people and of the people was </w:t>
      </w:r>
      <w:r w:rsidRPr="0006618D">
        <w:lastRenderedPageBreak/>
        <w:t xml:space="preserve">structured to involve “Wanjiku” in the making process. This simply means that it was meant to reflect the views of the common citizen. </w:t>
      </w:r>
    </w:p>
    <w:p w14:paraId="05F9A82B" w14:textId="4CA6C31D" w:rsidR="0006618D" w:rsidRDefault="0006618D" w:rsidP="0006618D">
      <w:r w:rsidRPr="0006618D">
        <w:t>The change illustrated by the adoption of the 2010 Constitution, which gave effect to the Marriage Act, 2014 in Article 45(4) demonstrates the adherence to the theory proposed by Otto Kahn-Freund, that in certain areas of law where traditions and customs are somewhat irrelevant, it is rational to transplant certain laws when need arises. The hybrid theory also asserts that in areas like marriage law, where customs are vital, foreign laws are unnecessary. The 2010 Constitution takes into consideration these customs that are beloved by traditional communities and gives legal recognition to them. This paper will employ the hybrid theory in demonstrating that transplantation in certain areas of law is acceptable. The hybrid theory best fits this task because it asserts that when the need for transplantation arises, it is possible for countries to borrow laws from others. This theory will therefore aid in responding to the rationale of transplanting laws and whether the transplantation of marriage laws in Kenya has been efficient</w:t>
      </w:r>
      <w:r w:rsidR="005F50EE">
        <w:t>. The confusion caused by the multiplicity of marriage systems would be expounded on by emphasising the fact that transplanted laws are meant to complement the laws already existing in the recipient state.</w:t>
      </w:r>
    </w:p>
    <w:p w14:paraId="349809C0" w14:textId="47BAD8E6" w:rsidR="0011507C" w:rsidRDefault="0011507C" w:rsidP="0006618D"/>
    <w:p w14:paraId="661FDAB3" w14:textId="5E3E7169" w:rsidR="0011507C" w:rsidRDefault="0011507C" w:rsidP="0006618D"/>
    <w:p w14:paraId="1C91B365" w14:textId="2456E6EE" w:rsidR="0011507C" w:rsidRDefault="0011507C" w:rsidP="0006618D"/>
    <w:p w14:paraId="34E6003E" w14:textId="33973E3D" w:rsidR="0011507C" w:rsidRDefault="0011507C" w:rsidP="0006618D"/>
    <w:p w14:paraId="4C3B7AA2" w14:textId="0233A642" w:rsidR="0011507C" w:rsidRDefault="0011507C" w:rsidP="0006618D"/>
    <w:p w14:paraId="127DE994" w14:textId="55590A50" w:rsidR="0011507C" w:rsidRDefault="0011507C" w:rsidP="0006618D"/>
    <w:p w14:paraId="53ED9047" w14:textId="7FABCF5F" w:rsidR="0011507C" w:rsidRDefault="0011507C" w:rsidP="0006618D"/>
    <w:p w14:paraId="388080B8" w14:textId="77777777" w:rsidR="0011507C" w:rsidRPr="0006618D" w:rsidRDefault="0011507C" w:rsidP="0006618D"/>
    <w:p w14:paraId="55B537F6" w14:textId="2F7F415C" w:rsidR="0006618D" w:rsidRPr="0006618D" w:rsidRDefault="0006618D" w:rsidP="00E23D20">
      <w:pPr>
        <w:pStyle w:val="Heading1"/>
      </w:pPr>
      <w:bookmarkStart w:id="41" w:name="_Toc78407984"/>
      <w:r w:rsidRPr="0006618D">
        <w:lastRenderedPageBreak/>
        <w:t>CHAPTER 3: UNDERSTANDING THE TRANSPLANTATION OF MARRIAGE LAWS IN KENYA</w:t>
      </w:r>
      <w:bookmarkEnd w:id="41"/>
    </w:p>
    <w:p w14:paraId="1E313281" w14:textId="49B8C223" w:rsidR="00A45DDC" w:rsidRPr="00A45DDC" w:rsidRDefault="00A45DDC" w:rsidP="00950B8B">
      <w:pPr>
        <w:pStyle w:val="Heading3"/>
      </w:pPr>
      <w:bookmarkStart w:id="42" w:name="_Toc78407985"/>
      <w:r w:rsidRPr="00A45DDC">
        <w:t>3.1 DEVELOPMENT OF MARRIAGE LAWS</w:t>
      </w:r>
      <w:r w:rsidR="00202369">
        <w:t xml:space="preserve"> IN KENYA</w:t>
      </w:r>
      <w:bookmarkEnd w:id="42"/>
    </w:p>
    <w:p w14:paraId="606B2F6A" w14:textId="2DBF2CFF" w:rsidR="00A45DDC" w:rsidRPr="00A45DDC" w:rsidRDefault="00A45DDC" w:rsidP="00A45DDC">
      <w:pPr>
        <w:rPr>
          <w:bCs/>
        </w:rPr>
      </w:pPr>
      <w:r w:rsidRPr="00A45DDC">
        <w:rPr>
          <w:bCs/>
        </w:rPr>
        <w:t xml:space="preserve">The Kenyan marriage system has evolved in different eras. The pre-colonial period involved various forms of marriages that existed under customary law. Most marriages were polygamous in nature, and involved the union of two families and the community. Marriage was not viewed as a contractual union like the western conception, which involved formalities such as age requirements, consent and validity of marriages. The customary marriages were more inclusive of the community and served as a way to uplift and enrich the community. Thus, it involved and affected more people, not just the two parties. In </w:t>
      </w:r>
      <w:r w:rsidRPr="00A45DDC">
        <w:rPr>
          <w:bCs/>
          <w:i/>
        </w:rPr>
        <w:t xml:space="preserve">Hyde v Hyde </w:t>
      </w:r>
      <w:r w:rsidRPr="00A45DDC">
        <w:rPr>
          <w:bCs/>
        </w:rPr>
        <w:t xml:space="preserve">marriage is defined as </w:t>
      </w:r>
      <w:r w:rsidR="0074517C">
        <w:rPr>
          <w:bCs/>
        </w:rPr>
        <w:t>‘the</w:t>
      </w:r>
      <w:r w:rsidRPr="00A45DDC">
        <w:rPr>
          <w:bCs/>
        </w:rPr>
        <w:t xml:space="preserve"> voluntary union of one man and one woman for life with the exclusion of all </w:t>
      </w:r>
      <w:proofErr w:type="gramStart"/>
      <w:r w:rsidRPr="00A45DDC">
        <w:rPr>
          <w:bCs/>
        </w:rPr>
        <w:t>others</w:t>
      </w:r>
      <w:r w:rsidR="0074517C">
        <w:rPr>
          <w:bCs/>
        </w:rPr>
        <w:t>’</w:t>
      </w:r>
      <w:proofErr w:type="gramEnd"/>
      <w:r w:rsidRPr="00A45DDC">
        <w:rPr>
          <w:bCs/>
        </w:rPr>
        <w:t>.</w:t>
      </w:r>
      <w:r w:rsidR="00096A28">
        <w:rPr>
          <w:rStyle w:val="FootnoteReference"/>
          <w:bCs/>
        </w:rPr>
        <w:footnoteReference w:id="49"/>
      </w:r>
      <w:r w:rsidRPr="00A45DDC">
        <w:rPr>
          <w:bCs/>
        </w:rPr>
        <w:t xml:space="preserve"> The judges used the definition in this case as a guideline to define what marriage was. The polygamous nature of African customary marriages meant that they were not in line with </w:t>
      </w:r>
      <w:r w:rsidRPr="00A45DDC">
        <w:rPr>
          <w:bCs/>
          <w:i/>
        </w:rPr>
        <w:t>Hyde</w:t>
      </w:r>
      <w:r w:rsidRPr="00A45DDC">
        <w:rPr>
          <w:bCs/>
        </w:rPr>
        <w:t>, and were often looked down upon by judges</w:t>
      </w:r>
      <w:r w:rsidRPr="00A45DDC">
        <w:rPr>
          <w:bCs/>
          <w:i/>
        </w:rPr>
        <w:t>.</w:t>
      </w:r>
      <w:r w:rsidRPr="00A45DDC">
        <w:rPr>
          <w:bCs/>
        </w:rPr>
        <w:t xml:space="preserve"> </w:t>
      </w:r>
    </w:p>
    <w:p w14:paraId="0B06EA53" w14:textId="07EDCBDD" w:rsidR="00A45DDC" w:rsidRPr="00A45DDC" w:rsidRDefault="00A45DDC" w:rsidP="00A45DDC">
      <w:pPr>
        <w:rPr>
          <w:bCs/>
        </w:rPr>
      </w:pPr>
      <w:r w:rsidRPr="00A45DDC">
        <w:rPr>
          <w:bCs/>
        </w:rPr>
        <w:t xml:space="preserve">The repugnancy clause that was introduced by the Native Tribunals Ordinance of 1930, limited the application of customary law to instances that were not repugnant to justice and morality. It compared the customs and practices of the locals to the European conception of marriages and derogated the value of African customary laws, branding some practices such as dowry as repugnant to justice and morality. Like in other British colonies, the repugnancy clause was aimed at giving the British a stronghold on how African norms were to be applied, a tool that enhanced their voice and gave them power on African institutions. The application of justice and morality in the clause can be viewed as quite discriminatory, as it applies Eurocentric ideas and opinions on African traditions, making it inappropriate and derogatory to some extent. In the Tanzanian case of </w:t>
      </w:r>
      <w:bookmarkStart w:id="43" w:name="_Hlk54813224"/>
      <w:proofErr w:type="spellStart"/>
      <w:r w:rsidRPr="00A45DDC">
        <w:rPr>
          <w:bCs/>
          <w:i/>
          <w:iCs/>
        </w:rPr>
        <w:t>Gwao</w:t>
      </w:r>
      <w:proofErr w:type="spellEnd"/>
      <w:r w:rsidRPr="00A45DDC">
        <w:rPr>
          <w:bCs/>
          <w:i/>
          <w:iCs/>
        </w:rPr>
        <w:t xml:space="preserve"> bin </w:t>
      </w:r>
      <w:proofErr w:type="spellStart"/>
      <w:r w:rsidRPr="00A45DDC">
        <w:rPr>
          <w:bCs/>
          <w:i/>
          <w:iCs/>
        </w:rPr>
        <w:t>Kilimo</w:t>
      </w:r>
      <w:proofErr w:type="spellEnd"/>
      <w:r w:rsidRPr="00A45DDC">
        <w:rPr>
          <w:bCs/>
          <w:i/>
          <w:iCs/>
        </w:rPr>
        <w:t xml:space="preserve"> v </w:t>
      </w:r>
      <w:proofErr w:type="spellStart"/>
      <w:r w:rsidRPr="00A45DDC">
        <w:rPr>
          <w:bCs/>
          <w:i/>
          <w:iCs/>
        </w:rPr>
        <w:t>Kisunda</w:t>
      </w:r>
      <w:proofErr w:type="spellEnd"/>
      <w:r w:rsidRPr="00A45DDC">
        <w:rPr>
          <w:bCs/>
          <w:i/>
          <w:iCs/>
        </w:rPr>
        <w:t xml:space="preserve"> bin </w:t>
      </w:r>
      <w:proofErr w:type="spellStart"/>
      <w:r w:rsidRPr="00A45DDC">
        <w:rPr>
          <w:bCs/>
          <w:i/>
          <w:iCs/>
        </w:rPr>
        <w:t>Ifuti</w:t>
      </w:r>
      <w:proofErr w:type="spellEnd"/>
      <w:r w:rsidRPr="00A45DDC">
        <w:rPr>
          <w:bCs/>
        </w:rPr>
        <w:t xml:space="preserve">, </w:t>
      </w:r>
      <w:bookmarkEnd w:id="43"/>
      <w:r w:rsidRPr="00A45DDC">
        <w:rPr>
          <w:bCs/>
        </w:rPr>
        <w:t xml:space="preserve">it was stated that </w:t>
      </w:r>
      <w:r w:rsidR="0074517C">
        <w:rPr>
          <w:bCs/>
        </w:rPr>
        <w:t>‘</w:t>
      </w:r>
      <w:r w:rsidRPr="00A45DDC">
        <w:rPr>
          <w:bCs/>
        </w:rPr>
        <w:t>the test of repugnancy is that which the people of England see it to be</w:t>
      </w:r>
      <w:r w:rsidR="0074517C">
        <w:rPr>
          <w:bCs/>
        </w:rPr>
        <w:t>’</w:t>
      </w:r>
      <w:r w:rsidRPr="00A45DDC">
        <w:rPr>
          <w:bCs/>
        </w:rPr>
        <w:t>.</w:t>
      </w:r>
      <w:r w:rsidRPr="00A45DDC">
        <w:rPr>
          <w:bCs/>
          <w:vertAlign w:val="superscript"/>
        </w:rPr>
        <w:footnoteReference w:id="50"/>
      </w:r>
      <w:r w:rsidRPr="00A45DDC">
        <w:rPr>
          <w:bCs/>
        </w:rPr>
        <w:t xml:space="preserve"> This definition of what is considered to be just and moral and therefore not repugnant, is very subjective. It is unsurprising to observe that fairness is grounded in the basic ethical assumptions of normative treatment and that justice involves holding someone </w:t>
      </w:r>
      <w:r w:rsidRPr="00A45DDC">
        <w:rPr>
          <w:bCs/>
        </w:rPr>
        <w:lastRenderedPageBreak/>
        <w:t>accountable for a deliberate transgression of acceptable conduct.</w:t>
      </w:r>
      <w:r w:rsidRPr="00A45DDC">
        <w:rPr>
          <w:bCs/>
          <w:vertAlign w:val="superscript"/>
        </w:rPr>
        <w:footnoteReference w:id="51"/>
      </w:r>
      <w:r w:rsidRPr="00A45DDC">
        <w:rPr>
          <w:bCs/>
        </w:rPr>
        <w:t xml:space="preserve"> What is considered to be repugnant, should be the customs that are so vile that they go against the natural inclinations of acceptable decorum and should therefore, not be based on Eurocentric opinions but on general views. There were issues arising from the disparity between the colonial British judges and the ethnic communities they were presiding over, as the customs of the communities were disregarded by the judges.</w:t>
      </w:r>
    </w:p>
    <w:p w14:paraId="23582C73" w14:textId="77777777" w:rsidR="00A45DDC" w:rsidRPr="00A45DDC" w:rsidRDefault="00A45DDC" w:rsidP="00A45DDC">
      <w:pPr>
        <w:rPr>
          <w:bCs/>
          <w:iCs/>
        </w:rPr>
      </w:pPr>
      <w:r w:rsidRPr="00A45DDC">
        <w:rPr>
          <w:bCs/>
        </w:rPr>
        <w:t xml:space="preserve">The repugnancy clause, which still exists today in Section 3(2) of the Judicature Act is used as a tool by judges to limit the application of customary law. In instances where customary marriage procedures conflict with provisions of any law in force in the country, the enacted law shall prevail. The application of the repugnancy clause in some instances, stems from a supercilious perspective of African traditions. This is evident in </w:t>
      </w:r>
      <w:r w:rsidRPr="00A45DDC">
        <w:rPr>
          <w:bCs/>
          <w:i/>
        </w:rPr>
        <w:t xml:space="preserve">R v </w:t>
      </w:r>
      <w:proofErr w:type="spellStart"/>
      <w:r w:rsidRPr="00A45DDC">
        <w:rPr>
          <w:bCs/>
          <w:i/>
        </w:rPr>
        <w:t>Amkeyo</w:t>
      </w:r>
      <w:proofErr w:type="spellEnd"/>
      <w:r w:rsidRPr="00A45DDC">
        <w:rPr>
          <w:bCs/>
          <w:iCs/>
        </w:rPr>
        <w:t>. The base line of contention arises when determining whether the repugnancy clause is unnecessary. It is portrayed as bad because it limits the application of traditional customs.  However, in some instances, the clause may be viewed to be necessary in capping the unjust customs of traditional communities. Many of these communities demonstrated that men dominated the holding of property in inheritance and marriages, for instance, in the Luo tribe, the successor of a deceased person’s property was the eldest son or the brother to the deceased person.</w:t>
      </w:r>
      <w:r w:rsidRPr="00A45DDC">
        <w:rPr>
          <w:bCs/>
          <w:iCs/>
          <w:vertAlign w:val="superscript"/>
        </w:rPr>
        <w:footnoteReference w:id="52"/>
      </w:r>
      <w:r w:rsidRPr="00A45DDC">
        <w:rPr>
          <w:bCs/>
          <w:iCs/>
        </w:rPr>
        <w:t xml:space="preserve"> This custom, although entrenched in the Luo culture is discriminatory to daughters. The repugnancy clause would not allow the refusal of a daughter to inherit property just because the customs of a particular community call for this. The laws on succession in Kenya give equal opportunity for both male and female heirs to inherit.</w:t>
      </w:r>
    </w:p>
    <w:p w14:paraId="08ADF765" w14:textId="77777777" w:rsidR="00A45DDC" w:rsidRPr="00A45DDC" w:rsidRDefault="00A45DDC" w:rsidP="00A45DDC">
      <w:pPr>
        <w:rPr>
          <w:bCs/>
        </w:rPr>
      </w:pPr>
      <w:r w:rsidRPr="00A45DDC">
        <w:rPr>
          <w:bCs/>
        </w:rPr>
        <w:t xml:space="preserve">Marriage in many African communities involved a lot of traditions and customs that would be considered to be unjust in today’s modern Kenya. Some communities had woman to woman marriages, where a barren woman would marry a fertile woman to bear her children. The children in question would legally speaking be considered to be the children of the barren woman and not the woman who gave birth to them. This was common among the Abagusii, </w:t>
      </w:r>
      <w:proofErr w:type="spellStart"/>
      <w:r w:rsidRPr="00A45DDC">
        <w:rPr>
          <w:bCs/>
        </w:rPr>
        <w:t>Taita</w:t>
      </w:r>
      <w:proofErr w:type="spellEnd"/>
      <w:r w:rsidRPr="00A45DDC">
        <w:rPr>
          <w:bCs/>
        </w:rPr>
        <w:t xml:space="preserve"> and Kuria tribes.</w:t>
      </w:r>
      <w:r w:rsidRPr="00A45DDC">
        <w:rPr>
          <w:bCs/>
          <w:vertAlign w:val="superscript"/>
        </w:rPr>
        <w:footnoteReference w:id="53"/>
      </w:r>
      <w:r w:rsidRPr="00A45DDC">
        <w:rPr>
          <w:bCs/>
        </w:rPr>
        <w:t xml:space="preserve"> This practice going against the definition of marriage being between one man and one </w:t>
      </w:r>
      <w:r w:rsidRPr="00A45DDC">
        <w:rPr>
          <w:bCs/>
        </w:rPr>
        <w:lastRenderedPageBreak/>
        <w:t xml:space="preserve">woman would be considered to be contrary to the provisions of Section 3(2) of the Judicature Act. Other communities had child marriages, where two prominent families would agree to betroth their children to each other, paying the dowry and agreeing that upon the bride reaching maturity, she would move in with the husband. </w:t>
      </w:r>
    </w:p>
    <w:p w14:paraId="201F4233" w14:textId="797735EE" w:rsidR="00A45DDC" w:rsidRPr="00A45DDC" w:rsidRDefault="00A45DDC" w:rsidP="00A45DDC">
      <w:pPr>
        <w:rPr>
          <w:bCs/>
        </w:rPr>
      </w:pPr>
      <w:r w:rsidRPr="00A45DDC">
        <w:rPr>
          <w:bCs/>
        </w:rPr>
        <w:t>For some tribes, if the wife died before her husband, her younger sister would be married off to him</w:t>
      </w:r>
      <w:r w:rsidRPr="00A45DDC">
        <w:rPr>
          <w:bCs/>
          <w:vertAlign w:val="superscript"/>
        </w:rPr>
        <w:footnoteReference w:id="54"/>
      </w:r>
      <w:r w:rsidRPr="00A45DDC">
        <w:rPr>
          <w:bCs/>
        </w:rPr>
        <w:t>, and if the husband died before the wife, a male relative, usually the brother of the husband would replace him</w:t>
      </w:r>
      <w:r w:rsidRPr="00A45DDC">
        <w:rPr>
          <w:bCs/>
          <w:vertAlign w:val="superscript"/>
        </w:rPr>
        <w:footnoteReference w:id="55"/>
      </w:r>
      <w:r w:rsidRPr="00A45DDC">
        <w:rPr>
          <w:bCs/>
        </w:rPr>
        <w:t>. The children born from the wife and the relative who assumed the role of the husband after his death would be assumed to be the children of the deceased.</w:t>
      </w:r>
      <w:r w:rsidRPr="00A45DDC">
        <w:rPr>
          <w:bCs/>
          <w:vertAlign w:val="superscript"/>
        </w:rPr>
        <w:footnoteReference w:id="56"/>
      </w:r>
      <w:r w:rsidRPr="00A45DDC">
        <w:rPr>
          <w:bCs/>
        </w:rPr>
        <w:t xml:space="preserve"> </w:t>
      </w:r>
      <w:r w:rsidR="004723C9">
        <w:rPr>
          <w:bCs/>
        </w:rPr>
        <w:t xml:space="preserve">This custom is unjust because it does not consider what the wife wants. </w:t>
      </w:r>
      <w:r w:rsidRPr="00A45DDC">
        <w:rPr>
          <w:bCs/>
        </w:rPr>
        <w:t xml:space="preserve">During the colonial period, leviratic, child and sororate marriages were contested based on the repugnancy clause in the Judicature Act.  </w:t>
      </w:r>
    </w:p>
    <w:p w14:paraId="6A3B5CB7" w14:textId="55419498" w:rsidR="00A45DDC" w:rsidRDefault="00A45DDC" w:rsidP="00A45DDC">
      <w:pPr>
        <w:rPr>
          <w:bCs/>
        </w:rPr>
      </w:pPr>
      <w:r w:rsidRPr="00A45DDC">
        <w:rPr>
          <w:bCs/>
        </w:rPr>
        <w:t>Communities such as the Abagusii still practice a lot of these traditional marriage customs. For instance, they have a practice that is translated to marriage by fighting, where the strongest men fight amongst each other to marry a woman. This is usually done when people congregate for ceremonies such as other weddings. The relatives of the woman would fight any man who intended to marry the woman, if the relatives won the fight, the man would not marry the woman.</w:t>
      </w:r>
      <w:r w:rsidR="00610E75">
        <w:rPr>
          <w:bCs/>
        </w:rPr>
        <w:t xml:space="preserve"> </w:t>
      </w:r>
      <w:r w:rsidRPr="00A45DDC">
        <w:rPr>
          <w:bCs/>
        </w:rPr>
        <w:t>Another common Abagusii traditional practice is ‘</w:t>
      </w:r>
      <w:proofErr w:type="spellStart"/>
      <w:r w:rsidRPr="00A45DDC">
        <w:rPr>
          <w:bCs/>
        </w:rPr>
        <w:t>Ogokurura</w:t>
      </w:r>
      <w:proofErr w:type="spellEnd"/>
      <w:r w:rsidRPr="00A45DDC">
        <w:rPr>
          <w:bCs/>
        </w:rPr>
        <w:t>’ which translates to marriage by rape. Men would go to the river see a woman they would want to marry and take her home; negotiations were not done at this point. Upon reaching home, the parents of the man would go to the woman’s home to negotiate with her parents and relatives, what they term ‘</w:t>
      </w:r>
      <w:proofErr w:type="spellStart"/>
      <w:r w:rsidRPr="00A45DDC">
        <w:rPr>
          <w:bCs/>
        </w:rPr>
        <w:t>Ogochega</w:t>
      </w:r>
      <w:proofErr w:type="spellEnd"/>
      <w:r w:rsidRPr="00A45DDC">
        <w:rPr>
          <w:bCs/>
        </w:rPr>
        <w:t xml:space="preserve">’. </w:t>
      </w:r>
      <w:r w:rsidR="00610E75" w:rsidRPr="00610E75">
        <w:rPr>
          <w:bCs/>
        </w:rPr>
        <w:t>Th</w:t>
      </w:r>
      <w:r w:rsidR="00610E75">
        <w:rPr>
          <w:bCs/>
        </w:rPr>
        <w:t>e</w:t>
      </w:r>
      <w:r w:rsidR="00610E75" w:rsidRPr="00610E75">
        <w:rPr>
          <w:bCs/>
        </w:rPr>
        <w:t>s</w:t>
      </w:r>
      <w:r w:rsidR="00610E75">
        <w:rPr>
          <w:bCs/>
        </w:rPr>
        <w:t>e</w:t>
      </w:r>
      <w:r w:rsidR="00610E75" w:rsidRPr="00610E75">
        <w:rPr>
          <w:bCs/>
        </w:rPr>
        <w:t xml:space="preserve"> custom</w:t>
      </w:r>
      <w:r w:rsidR="00610E75">
        <w:rPr>
          <w:bCs/>
        </w:rPr>
        <w:t>s</w:t>
      </w:r>
      <w:r w:rsidR="00610E75" w:rsidRPr="00610E75">
        <w:rPr>
          <w:bCs/>
        </w:rPr>
        <w:t xml:space="preserve"> </w:t>
      </w:r>
      <w:r w:rsidR="00610E75">
        <w:rPr>
          <w:bCs/>
        </w:rPr>
        <w:t>are</w:t>
      </w:r>
      <w:r w:rsidR="00610E75" w:rsidRPr="00610E75">
        <w:rPr>
          <w:bCs/>
        </w:rPr>
        <w:t xml:space="preserve"> unjust because the </w:t>
      </w:r>
      <w:r w:rsidR="00610E75">
        <w:rPr>
          <w:bCs/>
        </w:rPr>
        <w:t xml:space="preserve">woman’s </w:t>
      </w:r>
      <w:r w:rsidR="00610E75" w:rsidRPr="00610E75">
        <w:rPr>
          <w:bCs/>
        </w:rPr>
        <w:t>intention</w:t>
      </w:r>
      <w:r w:rsidR="00610E75">
        <w:rPr>
          <w:bCs/>
        </w:rPr>
        <w:t xml:space="preserve"> to marry is not really considered. She is married off to the strongest man or one who basically kidnaps her.</w:t>
      </w:r>
      <w:r w:rsidRPr="00A45DDC">
        <w:rPr>
          <w:bCs/>
        </w:rPr>
        <w:t xml:space="preserve"> The community also engages in various practices in situations where a man and a woman were engaged, but before the marriage process begun the man died, the community would step in and marry the girl to the man</w:t>
      </w:r>
      <w:r w:rsidR="00721DA9">
        <w:rPr>
          <w:bCs/>
        </w:rPr>
        <w:t>,</w:t>
      </w:r>
      <w:r w:rsidRPr="00A45DDC">
        <w:rPr>
          <w:bCs/>
        </w:rPr>
        <w:t xml:space="preserve"> despite the fact that he is dead. </w:t>
      </w:r>
    </w:p>
    <w:p w14:paraId="48A00FE8" w14:textId="16C0199D" w:rsidR="007E75B5" w:rsidRPr="007E75B5" w:rsidRDefault="007E75B5" w:rsidP="007E75B5">
      <w:pPr>
        <w:rPr>
          <w:b/>
          <w:bCs/>
        </w:rPr>
      </w:pPr>
      <w:r w:rsidRPr="007E75B5">
        <w:rPr>
          <w:b/>
          <w:bCs/>
        </w:rPr>
        <w:lastRenderedPageBreak/>
        <w:t xml:space="preserve">3.1.1 OVERARCHING FORMALITIES IN CUSTOMARY LAW MARRIAGES </w:t>
      </w:r>
      <w:r>
        <w:rPr>
          <w:b/>
          <w:bCs/>
        </w:rPr>
        <w:t xml:space="preserve"> BEFORE COLONISATION</w:t>
      </w:r>
    </w:p>
    <w:p w14:paraId="3F8F0B20" w14:textId="5F1D753E" w:rsidR="007E75B5" w:rsidRPr="0011507C" w:rsidRDefault="0011507C" w:rsidP="0011507C">
      <w:pPr>
        <w:pStyle w:val="Heading2"/>
      </w:pPr>
      <w:bookmarkStart w:id="45" w:name="_Toc78407986"/>
      <w:r w:rsidRPr="0011507C">
        <w:t xml:space="preserve">3.1.1.1 </w:t>
      </w:r>
      <w:r w:rsidR="007E75B5" w:rsidRPr="0011507C">
        <w:t>BETROTHAL CEREMONIES, DOWRY AND VALIDITY OF CUSTOMARY MARRIAGES</w:t>
      </w:r>
      <w:bookmarkEnd w:id="45"/>
    </w:p>
    <w:p w14:paraId="6DAAAE47" w14:textId="77777777" w:rsidR="007E75B5" w:rsidRPr="007E75B5" w:rsidRDefault="007E75B5" w:rsidP="007E75B5">
      <w:pPr>
        <w:rPr>
          <w:bCs/>
        </w:rPr>
      </w:pPr>
      <w:r w:rsidRPr="007E75B5">
        <w:rPr>
          <w:bCs/>
        </w:rPr>
        <w:t xml:space="preserve">Before colonisation, most communities had betrothal ceremonies, where a man made his intention to marry a woman known to her family. The length of the betrothal ceremony varied from community to community, but the result of the ceremony was the finalisation of the agreement to the marriage, if the parents of the woman accepted the man’s request. After the betrothal ceremony, dowry was to be paid to the bride’s family. The payment of dowry signified the validity of the marriage. </w:t>
      </w:r>
    </w:p>
    <w:p w14:paraId="47ECC9F6" w14:textId="77777777" w:rsidR="007E75B5" w:rsidRPr="007E75B5" w:rsidRDefault="007E75B5" w:rsidP="007E75B5">
      <w:pPr>
        <w:rPr>
          <w:bCs/>
        </w:rPr>
      </w:pPr>
      <w:r w:rsidRPr="007E75B5">
        <w:rPr>
          <w:bCs/>
        </w:rPr>
        <w:t>Customary law marriages in modern day culture still recognise betrothal ceremonies, where the parties express their intent to get married and an agreement to this potential marriage is outlined. These ceremonies involve the families of the two individuals meeting up and discussing the marriage arrangements. The ceremony is followed up by the payment of dowry. This tradition is present in most of the Kenyan tribes and involves the family of the husband paying an amount of money or giving cattle to the family of the bride. The amount given varies from community to community, sometimes depending on the level of education of the woman and the prominence of the bride’s family. The higher the level of education, the higher the payment of dowry. In some communities when the woman remarries, the new husband was required to compensate the old one the bride price he had paid for her.</w:t>
      </w:r>
    </w:p>
    <w:p w14:paraId="620CB90F" w14:textId="19E141C0" w:rsidR="007E75B5" w:rsidRPr="007E75B5" w:rsidRDefault="0011507C" w:rsidP="0011507C">
      <w:pPr>
        <w:pStyle w:val="Heading2"/>
      </w:pPr>
      <w:bookmarkStart w:id="46" w:name="_Toc78407987"/>
      <w:r>
        <w:t xml:space="preserve">3.1.1.2 </w:t>
      </w:r>
      <w:r w:rsidR="007E75B5" w:rsidRPr="007E75B5">
        <w:t>DISSOLUTION</w:t>
      </w:r>
      <w:bookmarkEnd w:id="46"/>
    </w:p>
    <w:p w14:paraId="1D24545C" w14:textId="77777777" w:rsidR="007E75B5" w:rsidRPr="007E75B5" w:rsidRDefault="007E75B5" w:rsidP="007E75B5">
      <w:pPr>
        <w:rPr>
          <w:bCs/>
        </w:rPr>
      </w:pPr>
      <w:r w:rsidRPr="007E75B5">
        <w:rPr>
          <w:bCs/>
        </w:rPr>
        <w:t>The dissolution of customary marriages was extrajudicial. The process involved the community as it was pertinent for the elders to try and figure out why the parties wanted a divorce and attempt to resolve whatever dispute was ongoing between them before the parties could carry on with the divorce. If the elders found that the dispute between the two could not be resolved, then the divorce proceedings could be initiated. Dissolution of customary marriages could be initiated either the husband, the wife or by the wife’s parents.</w:t>
      </w:r>
      <w:r w:rsidRPr="007E75B5">
        <w:rPr>
          <w:bCs/>
          <w:vertAlign w:val="superscript"/>
        </w:rPr>
        <w:footnoteReference w:id="57"/>
      </w:r>
    </w:p>
    <w:p w14:paraId="4FEE81AE" w14:textId="1AABCD53" w:rsidR="007E75B5" w:rsidRDefault="007E75B5" w:rsidP="00A45DDC">
      <w:pPr>
        <w:rPr>
          <w:bCs/>
        </w:rPr>
      </w:pPr>
      <w:r w:rsidRPr="007E75B5">
        <w:rPr>
          <w:bCs/>
        </w:rPr>
        <w:lastRenderedPageBreak/>
        <w:t>When the man initiated the divorce proceedings, he was required to send his wife back to her parents’ house and inform them of his decision to initiate the proceedings. When the wife initiated the proceedings, she was required to voluntarily leave her matrimonial house and return to her parent’s house. The wife’s parents could initiate divorce proceedings if the husband failed to pay the dowry in its entirety. In customary marriages, the return of bride price was a symbol that signified dissolution of the union. If the couple had children, in cases where the wife leaves the matrimonial house with the children, her family was required to return part of the dowry depending on the number of children and their gender. If the children stayed with the husband, then the wife’s family would not be required to return the dowry. Parties could also initiate divorce proceedings if they had proof that the other party was involved in wilful desertion, witchcraft, adultery, physical violence, and theft. The wife could initiate proceedings if the husband was unable to maintain the children and herself and if he was impotent.</w:t>
      </w:r>
      <w:r w:rsidRPr="007E75B5">
        <w:rPr>
          <w:bCs/>
          <w:vertAlign w:val="superscript"/>
        </w:rPr>
        <w:footnoteReference w:id="58"/>
      </w:r>
    </w:p>
    <w:p w14:paraId="0260CF8C" w14:textId="1345CEDD" w:rsidR="00A45DDC" w:rsidRDefault="00A45DDC" w:rsidP="00A45DDC">
      <w:pPr>
        <w:rPr>
          <w:bCs/>
        </w:rPr>
      </w:pPr>
      <w:r w:rsidRPr="00A45DDC">
        <w:rPr>
          <w:bCs/>
        </w:rPr>
        <w:t>Using the hybrid theory proposed by Kahn-Freund, transplanted laws are only desirable where need arises. This does not include areas of law that have traditional laws and customs like marriage law. These traditional practices are an expression of the culture of the various communities and the repression done by the Colonial government limited this. It is arguable that the culture of the local communities should not have been interfered with. The transplanted laws should not have changed these practices to the extent that t</w:t>
      </w:r>
      <w:r w:rsidR="00DD0195">
        <w:rPr>
          <w:bCs/>
        </w:rPr>
        <w:t>hey</w:t>
      </w:r>
      <w:r w:rsidRPr="00A45DDC">
        <w:rPr>
          <w:bCs/>
        </w:rPr>
        <w:t xml:space="preserve"> did. Some of these practices may be viewed to be sexist, such as the bar placed on women inheritance, these are the ones that should have been eradicated. Only the unjust practices of the traditional communities should have been changed.    </w:t>
      </w:r>
    </w:p>
    <w:p w14:paraId="71BC75F2" w14:textId="7CCD1F57" w:rsidR="00610E75" w:rsidRPr="00DD0195" w:rsidRDefault="00DD0195" w:rsidP="00DD0195">
      <w:pPr>
        <w:rPr>
          <w:bCs/>
        </w:rPr>
      </w:pPr>
      <w:r w:rsidRPr="00DD0195">
        <w:rPr>
          <w:bCs/>
        </w:rPr>
        <w:t xml:space="preserve">Social and cultural norms are the rules of behaviour based on shared beliefs within a community. They are what govern the interactions and acceptable behaviours in society. These contain norms that are both just and unjust. For instance, in the traditional African society, it was an acceptable social and cultural norm for women to be insubordinate to men in various areas including marriage and inheritance. This </w:t>
      </w:r>
      <w:r w:rsidR="00F532E6">
        <w:rPr>
          <w:bCs/>
        </w:rPr>
        <w:t xml:space="preserve">cultural </w:t>
      </w:r>
      <w:r w:rsidRPr="00DD0195">
        <w:rPr>
          <w:bCs/>
        </w:rPr>
        <w:t>norm made it acceptable for women to not receive inheritance</w:t>
      </w:r>
      <w:r w:rsidR="00F532E6">
        <w:rPr>
          <w:bCs/>
        </w:rPr>
        <w:t xml:space="preserve">, a practice that may be viewed as </w:t>
      </w:r>
      <w:r w:rsidRPr="00DD0195">
        <w:rPr>
          <w:bCs/>
        </w:rPr>
        <w:t xml:space="preserve">unjust. </w:t>
      </w:r>
      <w:r w:rsidR="0074517C">
        <w:rPr>
          <w:bCs/>
        </w:rPr>
        <w:t>‘</w:t>
      </w:r>
      <w:r w:rsidRPr="00DD0195">
        <w:rPr>
          <w:bCs/>
        </w:rPr>
        <w:t>Fairness is a perception of just treatment, free of bias</w:t>
      </w:r>
      <w:r w:rsidR="0074517C">
        <w:rPr>
          <w:bCs/>
        </w:rPr>
        <w:t>’</w:t>
      </w:r>
      <w:r w:rsidRPr="00DD0195">
        <w:rPr>
          <w:bCs/>
        </w:rPr>
        <w:t>.</w:t>
      </w:r>
      <w:r w:rsidRPr="00DD0195">
        <w:rPr>
          <w:bCs/>
          <w:vertAlign w:val="superscript"/>
        </w:rPr>
        <w:footnoteReference w:id="59"/>
      </w:r>
      <w:r w:rsidRPr="00DD0195">
        <w:rPr>
          <w:bCs/>
        </w:rPr>
        <w:t xml:space="preserve"> Unjust cultures should not practice norms that are against the rights of women. Society evolves </w:t>
      </w:r>
      <w:r w:rsidRPr="00DD0195">
        <w:rPr>
          <w:bCs/>
        </w:rPr>
        <w:lastRenderedPageBreak/>
        <w:t>over time and what’s acceptable changes. These changes need to be adopted by the community, to make the culture progressive. The practices viewed by society as repressive should therefore, not be followed.</w:t>
      </w:r>
      <w:r w:rsidR="000F4352" w:rsidRPr="000F4352">
        <w:rPr>
          <w:rFonts w:cs="Times New Roman"/>
          <w:bCs/>
        </w:rPr>
        <w:t xml:space="preserve"> </w:t>
      </w:r>
      <w:r w:rsidR="000F4352" w:rsidRPr="000F4352">
        <w:rPr>
          <w:bCs/>
        </w:rPr>
        <w:t xml:space="preserve"> </w:t>
      </w:r>
    </w:p>
    <w:p w14:paraId="5706D306" w14:textId="05EF88A4" w:rsidR="00A45DDC" w:rsidRPr="00A45DDC" w:rsidRDefault="00A45DDC" w:rsidP="0019386F">
      <w:pPr>
        <w:pStyle w:val="Heading3"/>
      </w:pPr>
      <w:bookmarkStart w:id="47" w:name="_Toc78407988"/>
      <w:r w:rsidRPr="00A45DDC">
        <w:t>3.1.</w:t>
      </w:r>
      <w:r w:rsidR="00950B8B">
        <w:t>2</w:t>
      </w:r>
      <w:r w:rsidRPr="00A45DDC">
        <w:t xml:space="preserve"> COLONIAL ERA</w:t>
      </w:r>
      <w:bookmarkEnd w:id="47"/>
    </w:p>
    <w:p w14:paraId="3BDA6A9E" w14:textId="4835F0CC" w:rsidR="00A45DDC" w:rsidRPr="00A45DDC" w:rsidRDefault="00A45DDC" w:rsidP="00A45DDC">
      <w:pPr>
        <w:rPr>
          <w:b/>
          <w:bCs/>
        </w:rPr>
      </w:pPr>
      <w:r w:rsidRPr="00A45DDC">
        <w:rPr>
          <w:bCs/>
        </w:rPr>
        <w:t xml:space="preserve">‘Anthropological studies have shown that in this period in time, African ethnic groups, before colonialism in the nineteenth century, lived as </w:t>
      </w:r>
      <w:r w:rsidR="00655025">
        <w:rPr>
          <w:bCs/>
        </w:rPr>
        <w:t>independent</w:t>
      </w:r>
      <w:r w:rsidRPr="00A45DDC">
        <w:rPr>
          <w:bCs/>
        </w:rPr>
        <w:t xml:space="preserve"> nationalities with their own separate governance systems’.</w:t>
      </w:r>
      <w:r w:rsidRPr="00A45DDC">
        <w:rPr>
          <w:bCs/>
          <w:vertAlign w:val="superscript"/>
        </w:rPr>
        <w:footnoteReference w:id="60"/>
      </w:r>
      <w:r w:rsidRPr="00A45DDC">
        <w:rPr>
          <w:bCs/>
        </w:rPr>
        <w:t xml:space="preserve"> Kenya became a protectorate territory in 1895. In 1897, the East African Order in Council was promulgated, and multiple British and Indian Acts were applied to Kenya. A Commissioner who was appointed by the East African Order in Council was given the authority to decide on what native laws would be applied and to make new laws that would be applied to the protectorate.</w:t>
      </w:r>
    </w:p>
    <w:p w14:paraId="45390D49" w14:textId="77777777" w:rsidR="00A45DDC" w:rsidRPr="00A45DDC" w:rsidRDefault="00A45DDC" w:rsidP="00A45DDC">
      <w:pPr>
        <w:rPr>
          <w:bCs/>
        </w:rPr>
      </w:pPr>
      <w:r w:rsidRPr="00A45DDC">
        <w:rPr>
          <w:bCs/>
        </w:rPr>
        <w:t xml:space="preserve">In 1902, the Marriage Ordinance was promulgated. It applied to everyone regardless of race and religion. The people who contracted marriage under the Ordinance were said to have denounced the customary way of life. The Nigerian case of </w:t>
      </w:r>
      <w:r w:rsidRPr="00A45DDC">
        <w:rPr>
          <w:bCs/>
          <w:i/>
          <w:iCs/>
        </w:rPr>
        <w:t>Cole v Cole</w:t>
      </w:r>
      <w:r w:rsidRPr="00A45DDC">
        <w:rPr>
          <w:bCs/>
        </w:rPr>
        <w:t xml:space="preserve"> demonstrates this. The court applied the Nigerian Marriage Ordinance and stated that ‘once parties had contracted under the Ordinance, they distanced themselves from customary law’.</w:t>
      </w:r>
      <w:r w:rsidRPr="00A45DDC">
        <w:rPr>
          <w:bCs/>
          <w:vertAlign w:val="superscript"/>
        </w:rPr>
        <w:footnoteReference w:id="61"/>
      </w:r>
      <w:r w:rsidRPr="00A45DDC">
        <w:rPr>
          <w:bCs/>
        </w:rPr>
        <w:t xml:space="preserve"> Once someone was married under the Ordinance, they were not permitted to marry someone under customary law. Marriage under the Ordinance was strictly monogamous. </w:t>
      </w:r>
    </w:p>
    <w:p w14:paraId="38BF73D9" w14:textId="4DEFE2B6" w:rsidR="00A45DDC" w:rsidRPr="00A45DDC" w:rsidRDefault="00A45DDC" w:rsidP="00A45DDC">
      <w:pPr>
        <w:rPr>
          <w:bCs/>
        </w:rPr>
      </w:pPr>
      <w:r w:rsidRPr="00A45DDC">
        <w:rPr>
          <w:bCs/>
        </w:rPr>
        <w:t>The Marriage Ordinance was repealed by the 1904 Native Christians Marriage Ordinance, which ‘provided that all Africans, Christians or otherwise, were to apply African succession law’.</w:t>
      </w:r>
      <w:r w:rsidRPr="00A45DDC">
        <w:rPr>
          <w:bCs/>
          <w:vertAlign w:val="superscript"/>
        </w:rPr>
        <w:footnoteReference w:id="62"/>
      </w:r>
      <w:r w:rsidRPr="00A45DDC">
        <w:rPr>
          <w:bCs/>
        </w:rPr>
        <w:t xml:space="preserve"> </w:t>
      </w:r>
      <w:r w:rsidR="00277863">
        <w:rPr>
          <w:bCs/>
        </w:rPr>
        <w:t xml:space="preserve">In the case of </w:t>
      </w:r>
      <w:proofErr w:type="spellStart"/>
      <w:r w:rsidR="00277863" w:rsidRPr="00277863">
        <w:rPr>
          <w:bCs/>
          <w:i/>
          <w:iCs/>
        </w:rPr>
        <w:t>Benjawa</w:t>
      </w:r>
      <w:proofErr w:type="spellEnd"/>
      <w:r w:rsidR="00277863" w:rsidRPr="00277863">
        <w:rPr>
          <w:bCs/>
          <w:i/>
          <w:iCs/>
        </w:rPr>
        <w:t xml:space="preserve"> </w:t>
      </w:r>
      <w:proofErr w:type="spellStart"/>
      <w:r w:rsidR="00277863" w:rsidRPr="00277863">
        <w:rPr>
          <w:bCs/>
          <w:i/>
          <w:iCs/>
        </w:rPr>
        <w:t>Jembe</w:t>
      </w:r>
      <w:proofErr w:type="spellEnd"/>
      <w:r w:rsidR="00277863" w:rsidRPr="00277863">
        <w:rPr>
          <w:bCs/>
          <w:i/>
          <w:iCs/>
        </w:rPr>
        <w:t xml:space="preserve"> v Priscilla Nyondo</w:t>
      </w:r>
      <w:r w:rsidR="00277863">
        <w:rPr>
          <w:bCs/>
        </w:rPr>
        <w:t>, the judge ruled that African Christian natives need only to submit to the laws of their communities.</w:t>
      </w:r>
      <w:r w:rsidR="00277863">
        <w:rPr>
          <w:rStyle w:val="FootnoteReference"/>
          <w:bCs/>
        </w:rPr>
        <w:footnoteReference w:id="63"/>
      </w:r>
      <w:r w:rsidR="00277863">
        <w:rPr>
          <w:bCs/>
        </w:rPr>
        <w:t xml:space="preserve"> </w:t>
      </w:r>
      <w:r w:rsidRPr="00A45DDC">
        <w:rPr>
          <w:bCs/>
        </w:rPr>
        <w:t xml:space="preserve">It was enacted to reduce the disparities created by the 1902 Ordinance. It applied to Christians and similar to the 1902 Marriage Ordinance, it involved a monogamous union between parties. It offered protection to vulnerable groups such as women, who were no longer inherited by their brothers-in-law upon the death of their spouses, as </w:t>
      </w:r>
      <w:r w:rsidRPr="00A45DDC">
        <w:rPr>
          <w:bCs/>
        </w:rPr>
        <w:lastRenderedPageBreak/>
        <w:t>was the case in customary law traditions. It also provided that marriages that were conducted under customary law, between parties who wanted to convert into monogamous unions under the Act were possible.</w:t>
      </w:r>
    </w:p>
    <w:p w14:paraId="23CC2CDE" w14:textId="3EE1BB28" w:rsidR="00A45DDC" w:rsidRPr="00A45DDC" w:rsidRDefault="00A45DDC" w:rsidP="00A45DDC">
      <w:pPr>
        <w:rPr>
          <w:bCs/>
        </w:rPr>
      </w:pPr>
      <w:r w:rsidRPr="00A45DDC">
        <w:rPr>
          <w:bCs/>
        </w:rPr>
        <w:t>The Divorce Ordinance of 1904, which was based on the Indian Divorce Act of 1869 was only applicable to monogamous marriages. This suggested that if people got married under customary law, and were polygamous, they would not be able to apply for a divorce under the ordinance. The Mohammedan Marriage and Divorce Registration Ordinance of 1906 contained the provisions of the Islamic marriage and divorce procedures.</w:t>
      </w:r>
      <w:r w:rsidR="0074486D">
        <w:rPr>
          <w:bCs/>
        </w:rPr>
        <w:t xml:space="preserve"> However, in the case of </w:t>
      </w:r>
      <w:bookmarkStart w:id="49" w:name="_Hlk65767502"/>
      <w:r w:rsidR="0074486D">
        <w:rPr>
          <w:bCs/>
          <w:i/>
          <w:iCs/>
        </w:rPr>
        <w:t xml:space="preserve">Fatuma Binti </w:t>
      </w:r>
      <w:proofErr w:type="spellStart"/>
      <w:r w:rsidR="0074486D">
        <w:rPr>
          <w:bCs/>
          <w:i/>
          <w:iCs/>
        </w:rPr>
        <w:t>Athuma</w:t>
      </w:r>
      <w:proofErr w:type="spellEnd"/>
      <w:r w:rsidR="0074486D">
        <w:rPr>
          <w:bCs/>
          <w:i/>
          <w:iCs/>
        </w:rPr>
        <w:t xml:space="preserve"> v Ali Baka</w:t>
      </w:r>
      <w:bookmarkEnd w:id="49"/>
      <w:r w:rsidR="0074486D">
        <w:rPr>
          <w:bCs/>
        </w:rPr>
        <w:t>, it was held that marriages under Islamic law were not considered valid if they were not conducted in accordance with the East African Marriage Ordinance.</w:t>
      </w:r>
      <w:r w:rsidR="0074486D">
        <w:rPr>
          <w:rStyle w:val="FootnoteReference"/>
          <w:bCs/>
        </w:rPr>
        <w:footnoteReference w:id="64"/>
      </w:r>
      <w:r w:rsidR="0074486D">
        <w:rPr>
          <w:bCs/>
        </w:rPr>
        <w:t xml:space="preserve"> This led to the Mohammedan Marriage, Divorce and Succession Act of 1920.</w:t>
      </w:r>
      <w:r w:rsidR="0074486D">
        <w:rPr>
          <w:bCs/>
          <w:i/>
          <w:iCs/>
        </w:rPr>
        <w:t xml:space="preserve"> </w:t>
      </w:r>
      <w:r w:rsidRPr="00A45DDC">
        <w:rPr>
          <w:bCs/>
        </w:rPr>
        <w:t>The Subordinate Courts (Separation and Maintenance) Ordinance of 1928 was also only applicable to monogamous marriages and provided for judicial separation and the capability of spouses to get maintenance while the marriage between the parties subsisted. In 1941, the Matrimonial Causes Ordinance replaced the Divorce Ordinance of 1904. The Hindu Marriage Divorce and Succession Ordinance of 1946, applied the provisions of the Matrimonial Ordinance and the Subordinate Courts (Separation and Maintenance) Ordinance to monogamous Hindu marriages.</w:t>
      </w:r>
    </w:p>
    <w:p w14:paraId="6AE1FCBD" w14:textId="50EAE34F" w:rsidR="00A45DDC" w:rsidRPr="00A45DDC" w:rsidRDefault="00A45DDC" w:rsidP="00A45DDC">
      <w:pPr>
        <w:rPr>
          <w:bCs/>
        </w:rPr>
      </w:pPr>
      <w:r w:rsidRPr="00A45DDC">
        <w:rPr>
          <w:bCs/>
        </w:rPr>
        <w:t>The re</w:t>
      </w:r>
      <w:r w:rsidR="000A169B">
        <w:rPr>
          <w:bCs/>
        </w:rPr>
        <w:t>c</w:t>
      </w:r>
      <w:r w:rsidRPr="00A45DDC">
        <w:rPr>
          <w:bCs/>
        </w:rPr>
        <w:t xml:space="preserve">urring provision in most of the colonial-era marriage Ordinances and Acts, is the fact that most of them were limited to the application of monogamous marriages. Seeing that most Kenyans were married under customary law, </w:t>
      </w:r>
      <w:r w:rsidR="00790B22">
        <w:rPr>
          <w:bCs/>
        </w:rPr>
        <w:t xml:space="preserve">which at its core is potentially polygamous, </w:t>
      </w:r>
      <w:r w:rsidRPr="00DD0195">
        <w:rPr>
          <w:bCs/>
        </w:rPr>
        <w:t xml:space="preserve">many of them </w:t>
      </w:r>
      <w:r w:rsidR="00790B22">
        <w:rPr>
          <w:bCs/>
        </w:rPr>
        <w:t>felt</w:t>
      </w:r>
      <w:r w:rsidRPr="00DD0195">
        <w:rPr>
          <w:bCs/>
        </w:rPr>
        <w:t xml:space="preserve"> </w:t>
      </w:r>
      <w:r w:rsidR="00790B22">
        <w:rPr>
          <w:bCs/>
        </w:rPr>
        <w:t>compell</w:t>
      </w:r>
      <w:r w:rsidRPr="00DD0195">
        <w:rPr>
          <w:bCs/>
        </w:rPr>
        <w:t>ed to convert to Christian monogamous marriages.</w:t>
      </w:r>
      <w:r w:rsidR="004478E2">
        <w:rPr>
          <w:bCs/>
        </w:rPr>
        <w:t xml:space="preserve"> </w:t>
      </w:r>
    </w:p>
    <w:p w14:paraId="7AA9D26C" w14:textId="566C5EFA" w:rsidR="00A45DDC" w:rsidRPr="00A45DDC" w:rsidRDefault="00A45DDC" w:rsidP="0019386F">
      <w:pPr>
        <w:pStyle w:val="Heading3"/>
      </w:pPr>
      <w:bookmarkStart w:id="50" w:name="_Toc78407989"/>
      <w:r w:rsidRPr="00A45DDC">
        <w:t>3.1.</w:t>
      </w:r>
      <w:r w:rsidR="00950B8B">
        <w:t>3</w:t>
      </w:r>
      <w:r w:rsidRPr="00A45DDC">
        <w:t xml:space="preserve"> POST-INDEPENDE</w:t>
      </w:r>
      <w:r w:rsidR="000A169B">
        <w:t>N</w:t>
      </w:r>
      <w:r w:rsidRPr="00A45DDC">
        <w:t>CE</w:t>
      </w:r>
      <w:bookmarkEnd w:id="50"/>
      <w:r w:rsidRPr="00A45DDC">
        <w:t xml:space="preserve"> </w:t>
      </w:r>
    </w:p>
    <w:p w14:paraId="5FFA6B80" w14:textId="1D35AB14" w:rsidR="00A45DDC" w:rsidRPr="00A45DDC" w:rsidRDefault="00A45DDC" w:rsidP="00A45DDC">
      <w:pPr>
        <w:rPr>
          <w:bCs/>
        </w:rPr>
      </w:pPr>
      <w:r w:rsidRPr="00A45DDC">
        <w:rPr>
          <w:bCs/>
        </w:rPr>
        <w:t xml:space="preserve">In 1967 two commissions were established by the government to make reports on the law of marriage and divorce and the law of succession in Kenya. Charles </w:t>
      </w:r>
      <w:proofErr w:type="spellStart"/>
      <w:r w:rsidRPr="00A45DDC">
        <w:rPr>
          <w:bCs/>
        </w:rPr>
        <w:t>Njonjo</w:t>
      </w:r>
      <w:proofErr w:type="spellEnd"/>
      <w:r w:rsidRPr="00A45DDC">
        <w:rPr>
          <w:bCs/>
        </w:rPr>
        <w:t>, the attorney general at the time attributed the reason for the set-up of the commissions to be the fact that the ‘variety of marriage laws present at the time, created numerous problems of conflict and administration’.</w:t>
      </w:r>
      <w:r w:rsidRPr="00A45DDC">
        <w:rPr>
          <w:bCs/>
          <w:vertAlign w:val="superscript"/>
        </w:rPr>
        <w:footnoteReference w:id="65"/>
      </w:r>
      <w:r w:rsidRPr="00A45DDC">
        <w:rPr>
          <w:bCs/>
        </w:rPr>
        <w:t xml:space="preserve"> The laws that governed marriages in the country, all had different rules </w:t>
      </w:r>
      <w:r w:rsidR="00DD0195">
        <w:rPr>
          <w:bCs/>
        </w:rPr>
        <w:t>with</w:t>
      </w:r>
      <w:r w:rsidRPr="00A45DDC">
        <w:rPr>
          <w:bCs/>
        </w:rPr>
        <w:t xml:space="preserve"> regards to the </w:t>
      </w:r>
      <w:r w:rsidRPr="00A45DDC">
        <w:rPr>
          <w:bCs/>
        </w:rPr>
        <w:lastRenderedPageBreak/>
        <w:t>registration of marriages, grounds for divorce, age requirements and consent. These laws were based on racial classifications and were not considerate of gender equality. The Commissions were therefore tasked to consolidate the various laws into two documents, and ensure equality between men and women on the rights to property.</w:t>
      </w:r>
    </w:p>
    <w:p w14:paraId="24FAE77E" w14:textId="02F8C1E5" w:rsidR="00A45DDC" w:rsidRPr="00A45DDC" w:rsidRDefault="00A45DDC" w:rsidP="00A45DDC">
      <w:pPr>
        <w:rPr>
          <w:bCs/>
        </w:rPr>
      </w:pPr>
      <w:r w:rsidRPr="00A45DDC">
        <w:rPr>
          <w:bCs/>
        </w:rPr>
        <w:t xml:space="preserve">The Commission tasked with consolidating the laws on succession, submitted a report that was accepted by parliament and has been in operation since 1981. The Commission tasked with consolidating the laws on marriage and divorce was however, not accepted by parliament. They submitted a report in 1968 that recommended the recognition of both polygamous and monogamous marriages. This would be based on the agreement of the two parties, who when giving their notice </w:t>
      </w:r>
      <w:r w:rsidR="00035513">
        <w:rPr>
          <w:bCs/>
        </w:rPr>
        <w:t>o</w:t>
      </w:r>
      <w:r w:rsidRPr="00A45DDC">
        <w:rPr>
          <w:bCs/>
        </w:rPr>
        <w:t>f intention to marry, would be required to declare whether their marriage is to be monogamous, polygamous or potentially polygamous. These provisions also allowed for monogamous marriages to be converted to polygamous ones, and for polygamous marriages to be converted to monogamous ones, if the husband had one wife at the time. The conversion would only take place with the joint declaration of both wife and husband in writing before a Registrar.</w:t>
      </w:r>
      <w:r w:rsidRPr="00A45DDC">
        <w:rPr>
          <w:bCs/>
          <w:vertAlign w:val="superscript"/>
        </w:rPr>
        <w:footnoteReference w:id="66"/>
      </w:r>
      <w:r w:rsidRPr="00A45DDC">
        <w:rPr>
          <w:bCs/>
        </w:rPr>
        <w:t xml:space="preserve"> The wife was also given authority to reject other potential wives of the husband in polygamous marriages, if she thought that the union was likely to cause financial hardships or if she believed the marriage would be unsuitable. She would do this by making a notice of objection with the Registrar, who would stay the proceedings and forward the matter to a tribunal that would decide on the matter.</w:t>
      </w:r>
      <w:r w:rsidRPr="00A45DDC">
        <w:rPr>
          <w:bCs/>
          <w:vertAlign w:val="superscript"/>
        </w:rPr>
        <w:footnoteReference w:id="67"/>
      </w:r>
      <w:r w:rsidRPr="00A45DDC">
        <w:rPr>
          <w:bCs/>
        </w:rPr>
        <w:t xml:space="preserve"> </w:t>
      </w:r>
    </w:p>
    <w:p w14:paraId="488F8605" w14:textId="77777777" w:rsidR="00A45DDC" w:rsidRPr="00A45DDC" w:rsidRDefault="00A45DDC" w:rsidP="00A45DDC">
      <w:pPr>
        <w:rPr>
          <w:bCs/>
        </w:rPr>
      </w:pPr>
      <w:r w:rsidRPr="00A45DDC">
        <w:rPr>
          <w:bCs/>
        </w:rPr>
        <w:t xml:space="preserve">Parliament rejected the bill for the proposed marriage and divorce laws three times, stating that it gave too many rights to women and that it was an attack on local customs. Seeing as the new laws were meant to ensure gender equality, parliament stating that the laws gave too many rights to women seems to be a counter-intuitive move on their part. The fact that a predominantly male parliament rejected the bill three times because of the rights it afforded to women, really says a lot on why female representation in parliament was needed. In 1993, another go was given, when the attorney general set up a task force that was meant to review the laws relating to women, specifically the laws on matrimonial property, domestic violence and marriage. However, the report submitted by the task force was not passed by parliament. </w:t>
      </w:r>
    </w:p>
    <w:p w14:paraId="5B1D58B4" w14:textId="29826A7E" w:rsidR="00A45DDC" w:rsidRPr="00A45DDC" w:rsidRDefault="00A45DDC" w:rsidP="0019386F">
      <w:pPr>
        <w:pStyle w:val="Heading3"/>
      </w:pPr>
      <w:bookmarkStart w:id="51" w:name="_Toc78407990"/>
      <w:r w:rsidRPr="00A45DDC">
        <w:lastRenderedPageBreak/>
        <w:t>3.1.</w:t>
      </w:r>
      <w:r w:rsidR="00950B8B">
        <w:t>4</w:t>
      </w:r>
      <w:r w:rsidRPr="00A45DDC">
        <w:t xml:space="preserve"> POST 2010 CONSTITUTION</w:t>
      </w:r>
      <w:bookmarkEnd w:id="51"/>
    </w:p>
    <w:p w14:paraId="0FE0DC77" w14:textId="27E5A164" w:rsidR="00A45DDC" w:rsidRPr="00A45DDC" w:rsidRDefault="00A45DDC" w:rsidP="00A45DDC">
      <w:pPr>
        <w:rPr>
          <w:bCs/>
        </w:rPr>
      </w:pPr>
      <w:r w:rsidRPr="00A45DDC">
        <w:rPr>
          <w:bCs/>
        </w:rPr>
        <w:t>The 2010 Constitution adopted a number of changes that were meant to usher in a new era of constitutionalism and offer a more elevated respect for human rights.</w:t>
      </w:r>
      <w:r w:rsidRPr="00A45DDC">
        <w:rPr>
          <w:bCs/>
          <w:vertAlign w:val="superscript"/>
        </w:rPr>
        <w:footnoteReference w:id="68"/>
      </w:r>
      <w:r w:rsidRPr="00A45DDC">
        <w:rPr>
          <w:bCs/>
        </w:rPr>
        <w:t xml:space="preserve"> As former chief justice Willy </w:t>
      </w:r>
      <w:proofErr w:type="spellStart"/>
      <w:r w:rsidRPr="00A45DDC">
        <w:rPr>
          <w:bCs/>
        </w:rPr>
        <w:t>Mutunga</w:t>
      </w:r>
      <w:proofErr w:type="spellEnd"/>
      <w:r w:rsidRPr="00A45DDC">
        <w:rPr>
          <w:bCs/>
        </w:rPr>
        <w:t xml:space="preserve"> said, the constitution was “the culmination of </w:t>
      </w:r>
      <w:r w:rsidR="003F1A14">
        <w:rPr>
          <w:bCs/>
        </w:rPr>
        <w:t>nearly</w:t>
      </w:r>
      <w:r w:rsidRPr="00A45DDC">
        <w:rPr>
          <w:bCs/>
        </w:rPr>
        <w:t xml:space="preserve"> five decades of struggles that sought to fundamentally </w:t>
      </w:r>
      <w:r w:rsidR="003F1A14">
        <w:rPr>
          <w:bCs/>
        </w:rPr>
        <w:t>change</w:t>
      </w:r>
      <w:r w:rsidRPr="00A45DDC">
        <w:rPr>
          <w:bCs/>
        </w:rPr>
        <w:t xml:space="preserve"> the backward economic, social, political, and cultural developments </w:t>
      </w:r>
      <w:r w:rsidR="003F1A14">
        <w:rPr>
          <w:bCs/>
        </w:rPr>
        <w:t>with</w:t>
      </w:r>
      <w:r w:rsidRPr="00A45DDC">
        <w:rPr>
          <w:bCs/>
        </w:rPr>
        <w:t>in the country.” Constitutions are not one hundred percent unique. Every country finds inspiration and borrows from others. South Africa's own debt to other countries' constitutions, particularly those of India, Canada and Germany is evident.</w:t>
      </w:r>
      <w:r w:rsidRPr="00A45DDC">
        <w:rPr>
          <w:bCs/>
          <w:vertAlign w:val="superscript"/>
        </w:rPr>
        <w:footnoteReference w:id="69"/>
      </w:r>
      <w:r w:rsidRPr="00A45DDC">
        <w:rPr>
          <w:bCs/>
        </w:rPr>
        <w:t xml:space="preserve"> The Constitution was highly anticipated as it employed the long-awaited legislation on marriage laws. The 2014 Marriage Act, which adopted the recommendations that had been rejected by parliament in 1968 consolidated the various marriage laws into the singular statute. Geared at protecting the family at its core level, Article 45 of the Constitution provides that the family is the fundamental unit of the society and the necessary basis of social order and states that adults have the right to marry a person of the opposite sex with free consent.</w:t>
      </w:r>
    </w:p>
    <w:p w14:paraId="40768A5C" w14:textId="77777777" w:rsidR="00A45DDC" w:rsidRPr="00A45DDC" w:rsidRDefault="00A45DDC" w:rsidP="00A45DDC">
      <w:r w:rsidRPr="00A45DDC">
        <w:rPr>
          <w:bCs/>
        </w:rPr>
        <w:t>The Marriage Act recognises both monogamous and polygamous marriages in Section 6(2) and (3) of the Marriage Act and gives people the choice to convert their marriages form potentially polygamous to polygamous marriages.</w:t>
      </w:r>
      <w:r w:rsidRPr="00A45DDC">
        <w:t xml:space="preserve"> It provides that ‘a marriage may be converted from being a potentially polygamous marriage to a monogamous marriage if each spouse voluntarily declares the intent to make such a conversion’ and ‘a polygamous marriage may not be converted to a monogamous marriage unless at the time of the conversion the husband has only one wife’.</w:t>
      </w:r>
      <w:r w:rsidRPr="00A45DDC">
        <w:rPr>
          <w:vertAlign w:val="superscript"/>
        </w:rPr>
        <w:footnoteReference w:id="70"/>
      </w:r>
      <w:r w:rsidRPr="00A45DDC">
        <w:t xml:space="preserve"> Prior to the enactment of the Act and the Constitution, polygamy was considered to be inferior to monogamous marriages.</w:t>
      </w:r>
      <w:r w:rsidRPr="00A45DDC">
        <w:rPr>
          <w:vertAlign w:val="superscript"/>
        </w:rPr>
        <w:footnoteReference w:id="71"/>
      </w:r>
      <w:r w:rsidRPr="00A45DDC">
        <w:t xml:space="preserve"> The Act does away with the limitation faced on conversion of marriages that was placed during the colonial period.</w:t>
      </w:r>
    </w:p>
    <w:p w14:paraId="1EA6D00E" w14:textId="77777777" w:rsidR="00A45DDC" w:rsidRPr="00A45DDC" w:rsidRDefault="00A45DDC" w:rsidP="00A45DDC">
      <w:pPr>
        <w:rPr>
          <w:bCs/>
        </w:rPr>
      </w:pPr>
      <w:r w:rsidRPr="00A45DDC">
        <w:rPr>
          <w:bCs/>
        </w:rPr>
        <w:t xml:space="preserve">Although the existence of customary marriages was recognized at a communal level, the inability to have them registered with the State made them difficult to prove, resulting in injustices when </w:t>
      </w:r>
      <w:r w:rsidRPr="00A45DDC">
        <w:rPr>
          <w:bCs/>
        </w:rPr>
        <w:lastRenderedPageBreak/>
        <w:t xml:space="preserve">addressing matters of succession. This is demonstrated by Justice Sachdeva’s refusal of recognising two subsequent wives who were married to the deceased under Kikuyu customary law after he had already married a woman under the African Christian Marriage and Divorce Act in the case of </w:t>
      </w:r>
      <w:r w:rsidRPr="00A45DDC">
        <w:rPr>
          <w:bCs/>
          <w:i/>
          <w:iCs/>
        </w:rPr>
        <w:t xml:space="preserve">Re </w:t>
      </w:r>
      <w:proofErr w:type="spellStart"/>
      <w:r w:rsidRPr="00A45DDC">
        <w:rPr>
          <w:bCs/>
          <w:i/>
          <w:iCs/>
        </w:rPr>
        <w:t>Ruenji’s</w:t>
      </w:r>
      <w:proofErr w:type="spellEnd"/>
      <w:r w:rsidRPr="00A45DDC">
        <w:rPr>
          <w:bCs/>
          <w:i/>
          <w:iCs/>
        </w:rPr>
        <w:t xml:space="preserve"> </w:t>
      </w:r>
      <w:r w:rsidRPr="00A45DDC">
        <w:rPr>
          <w:bCs/>
        </w:rPr>
        <w:t>Estate.</w:t>
      </w:r>
      <w:r w:rsidRPr="00A45DDC">
        <w:rPr>
          <w:bCs/>
          <w:vertAlign w:val="superscript"/>
        </w:rPr>
        <w:footnoteReference w:id="72"/>
      </w:r>
      <w:r w:rsidRPr="00A45DDC">
        <w:rPr>
          <w:bCs/>
        </w:rPr>
        <w:t xml:space="preserve"> The wives were not allowed to inherit and the customary marriage was found to be illegal and therefore, held to be null and void. The Marriage Act 2014 provides for the registration of customary marriages and the issuance of certificates.  The Act now provides that dowry, which was often termed as “wife purchase” is proof of the marriage.</w:t>
      </w:r>
      <w:r w:rsidRPr="00A45DDC">
        <w:rPr>
          <w:bCs/>
          <w:vertAlign w:val="superscript"/>
        </w:rPr>
        <w:footnoteReference w:id="73"/>
      </w:r>
      <w:r w:rsidRPr="00A45DDC">
        <w:rPr>
          <w:bCs/>
        </w:rPr>
        <w:t xml:space="preserve"> The recognition of customary marriages and their practices puts it on the same level as Hindu, Christian and Islam marriages.</w:t>
      </w:r>
    </w:p>
    <w:p w14:paraId="00885A65" w14:textId="77777777" w:rsidR="00A45DDC" w:rsidRPr="00A45DDC" w:rsidRDefault="00A45DDC" w:rsidP="00A45DDC">
      <w:pPr>
        <w:rPr>
          <w:bCs/>
        </w:rPr>
      </w:pPr>
      <w:r w:rsidRPr="00A45DDC">
        <w:rPr>
          <w:bCs/>
        </w:rPr>
        <w:t>The patriarchal nature of most African communities meant that it was the husband who had the authority to initiate divorce proceedings, based on a number of grounds that were provided for. There were some instances, where the wife could initiate the proceedings, these instances were however, significantly less. The Act tackles this blatant inequality by outlining instances where both the husband and wife can initiate divorce proceedings</w:t>
      </w:r>
      <w:r w:rsidRPr="00A45DDC">
        <w:t>.</w:t>
      </w:r>
      <w:r w:rsidRPr="00A45DDC">
        <w:rPr>
          <w:vertAlign w:val="superscript"/>
        </w:rPr>
        <w:footnoteReference w:id="74"/>
      </w:r>
      <w:r w:rsidRPr="00A45DDC">
        <w:rPr>
          <w:bCs/>
        </w:rPr>
        <w:t xml:space="preserve"> </w:t>
      </w:r>
      <w:r w:rsidRPr="00A45DDC">
        <w:t xml:space="preserve">The Marriage Act of 2014 has not only unified marriage and divorce laws across race and religion as was intended, but also dealt with the problem of the dissatisfaction caused by the lack of inclusion experienced by the regimes in a vital part of societal dealings and the inequalities experienced by women in the marriage system. This demonstrates how the development and evolution of laws that demand equal rights for women has shaped and changed the traditional customs of local communities. Kenya being a patriarchal society, was inclined more to the advantage of men in the legal status of marriage set up. The various laws that have been put in place to balance the inequalities faced by women is pushing the evolution of culture. The gender disparity in Kenya is however still very much present. It will take a long time to reach parity, but the pressure put on the government from various feminist organisations and foreign countries has encouraged the adoption of gender inclusive laws that are changing the sexist stands African traditions hold on various cultural practices. </w:t>
      </w:r>
    </w:p>
    <w:p w14:paraId="0C00E9B2" w14:textId="0038C012" w:rsidR="00A45DDC" w:rsidRPr="00A45DDC" w:rsidRDefault="00A45DDC" w:rsidP="00E23D20">
      <w:pPr>
        <w:pStyle w:val="Heading2"/>
      </w:pPr>
      <w:bookmarkStart w:id="53" w:name="_Toc78407991"/>
      <w:r w:rsidRPr="00A45DDC">
        <w:lastRenderedPageBreak/>
        <w:t>3.2 THE PLACE OF AFRICAN CUSTOMARY LAW IN KENYA</w:t>
      </w:r>
      <w:bookmarkEnd w:id="53"/>
    </w:p>
    <w:p w14:paraId="1A11FCAD" w14:textId="17280629" w:rsidR="00A45DDC" w:rsidRPr="00A45DDC" w:rsidRDefault="00A45DDC" w:rsidP="00A45DDC">
      <w:r w:rsidRPr="00A45DDC">
        <w:t>African customary law is still applicable in Kenya</w:t>
      </w:r>
      <w:r w:rsidR="008D2CCA">
        <w:t xml:space="preserve">, as it consists of </w:t>
      </w:r>
      <w:r w:rsidR="003F1A14">
        <w:t>‘</w:t>
      </w:r>
      <w:r w:rsidR="008D2CCA">
        <w:t>living norms that draw their legitimacy from traditional customs and practices</w:t>
      </w:r>
      <w:r w:rsidR="003F1A14">
        <w:t>’</w:t>
      </w:r>
      <w:r w:rsidR="008D2CCA">
        <w:rPr>
          <w:rStyle w:val="FootnoteReference"/>
        </w:rPr>
        <w:footnoteReference w:id="75"/>
      </w:r>
      <w:r w:rsidR="008D2CCA">
        <w:t xml:space="preserve"> and evolve to meet the current needs of the community</w:t>
      </w:r>
      <w:r w:rsidRPr="00A45DDC">
        <w:t>. However, the presence of transplanted laws from Britain has limited its application</w:t>
      </w:r>
      <w:r w:rsidR="00122B01">
        <w:t xml:space="preserve"> in statutes</w:t>
      </w:r>
      <w:r w:rsidRPr="00A45DDC">
        <w:t>.</w:t>
      </w:r>
      <w:r w:rsidR="008D2CCA">
        <w:t xml:space="preserve"> </w:t>
      </w:r>
      <w:r w:rsidRPr="00A45DDC">
        <w:t xml:space="preserve"> </w:t>
      </w:r>
    </w:p>
    <w:p w14:paraId="3F17365D" w14:textId="43324B5B" w:rsidR="00A45DDC" w:rsidRPr="00A45DDC" w:rsidRDefault="00A45DDC" w:rsidP="00A45DDC">
      <w:r w:rsidRPr="00A45DDC">
        <w:t xml:space="preserve">In </w:t>
      </w:r>
      <w:bookmarkStart w:id="54" w:name="_Hlk63867934"/>
      <w:r w:rsidRPr="00A45DDC">
        <w:rPr>
          <w:i/>
        </w:rPr>
        <w:t xml:space="preserve">Ernest </w:t>
      </w:r>
      <w:proofErr w:type="spellStart"/>
      <w:r w:rsidRPr="00A45DDC">
        <w:rPr>
          <w:i/>
        </w:rPr>
        <w:t>Kinyajui</w:t>
      </w:r>
      <w:proofErr w:type="spellEnd"/>
      <w:r w:rsidRPr="00A45DDC">
        <w:rPr>
          <w:i/>
        </w:rPr>
        <w:t xml:space="preserve"> Kimani v </w:t>
      </w:r>
      <w:proofErr w:type="spellStart"/>
      <w:r w:rsidRPr="00A45DDC">
        <w:rPr>
          <w:i/>
        </w:rPr>
        <w:t>Muiru</w:t>
      </w:r>
      <w:proofErr w:type="spellEnd"/>
      <w:r w:rsidRPr="00A45DDC">
        <w:rPr>
          <w:i/>
        </w:rPr>
        <w:t xml:space="preserve"> </w:t>
      </w:r>
      <w:proofErr w:type="spellStart"/>
      <w:r w:rsidRPr="00A45DDC">
        <w:rPr>
          <w:i/>
        </w:rPr>
        <w:t>Gikanga</w:t>
      </w:r>
      <w:proofErr w:type="spellEnd"/>
      <w:r w:rsidRPr="00A45DDC">
        <w:rPr>
          <w:i/>
        </w:rPr>
        <w:t xml:space="preserve"> and Another</w:t>
      </w:r>
      <w:bookmarkEnd w:id="54"/>
      <w:r w:rsidRPr="00A45DDC">
        <w:rPr>
          <w:i/>
          <w:vertAlign w:val="superscript"/>
        </w:rPr>
        <w:footnoteReference w:id="76"/>
      </w:r>
      <w:r w:rsidRPr="00A45DDC">
        <w:t>, the court held that where customary law was not notorious or written; the party relying on it must prove it in court. This contrasts the Constitution, statutes, common law and equity, which the courts take judicial notice of. Customary law has to be proved by fact to be applicable. ‘The proof of customary law has been through assessors. Section 87(1) of the Civil Procedure Act empowers the courts to use assessors in cases of disputes as to what the customs or laws of a caste, tribe, or community are’.</w:t>
      </w:r>
      <w:r w:rsidRPr="00A45DDC">
        <w:rPr>
          <w:vertAlign w:val="superscript"/>
        </w:rPr>
        <w:footnoteReference w:id="77"/>
      </w:r>
      <w:r w:rsidRPr="00A45DDC">
        <w:t xml:space="preserve"> Following the promulgation of the 2010 Constitution, customary has been applied in criminal law. In </w:t>
      </w:r>
      <w:r w:rsidRPr="00A45DDC">
        <w:rPr>
          <w:i/>
        </w:rPr>
        <w:t xml:space="preserve">Republic v Mohammed </w:t>
      </w:r>
      <w:proofErr w:type="spellStart"/>
      <w:r w:rsidRPr="00A45DDC">
        <w:rPr>
          <w:i/>
        </w:rPr>
        <w:t>Abdow</w:t>
      </w:r>
      <w:proofErr w:type="spellEnd"/>
      <w:r w:rsidRPr="00A45DDC">
        <w:rPr>
          <w:i/>
        </w:rPr>
        <w:t xml:space="preserve"> Mohammed’,</w:t>
      </w:r>
      <w:r w:rsidRPr="00A45DDC">
        <w:rPr>
          <w:i/>
          <w:vertAlign w:val="superscript"/>
        </w:rPr>
        <w:footnoteReference w:id="78"/>
      </w:r>
      <w:r w:rsidRPr="00A45DDC">
        <w:t xml:space="preserve"> Mohammed </w:t>
      </w:r>
      <w:proofErr w:type="spellStart"/>
      <w:r w:rsidRPr="00A45DDC">
        <w:t>Abdow</w:t>
      </w:r>
      <w:proofErr w:type="spellEnd"/>
      <w:r w:rsidRPr="00A45DDC">
        <w:t xml:space="preserve"> Mohammed had been charged with the murder of Osman Ali Abdi. Justice </w:t>
      </w:r>
      <w:proofErr w:type="spellStart"/>
      <w:r w:rsidRPr="00A45DDC">
        <w:t>Korir</w:t>
      </w:r>
      <w:proofErr w:type="spellEnd"/>
      <w:r w:rsidRPr="00A45DDC">
        <w:t xml:space="preserve"> discharged the accused following arguments made under Article 159(1) of the constitution, which provides that ‘courts and tribunals may be guided by alternative dispute resolution including reconciliation, mediation, arbitration and traditional dispute resolution mechanisms’</w:t>
      </w:r>
      <w:r w:rsidRPr="00A45DDC">
        <w:rPr>
          <w:vertAlign w:val="superscript"/>
        </w:rPr>
        <w:footnoteReference w:id="79"/>
      </w:r>
      <w:r w:rsidRPr="00A45DDC">
        <w:t>. In this case, the parties had submitted themselves to traditional and Islamic laws which provide an avenue for reconciliation. This depicts the widening of the scope of tradition dispute resolution mechanisms in criminal law.  The courts follow a wide approach different from Section 3(2) of the Judicature Act and Section 2 of the Magistrates’ Court Act which only apply to civil matters.</w:t>
      </w:r>
    </w:p>
    <w:p w14:paraId="788D6C7E" w14:textId="77777777" w:rsidR="00A45DDC" w:rsidRPr="00A45DDC" w:rsidRDefault="00A45DDC" w:rsidP="00A45DDC">
      <w:r w:rsidRPr="00A45DDC">
        <w:t xml:space="preserve">Section 3(2) of the Judicature Act provides that as long as one party is subject to a certain customary law, and that law is not repugnant to justice and morality, African customary law will be applicable in civil matters. For instance, Section 68 of the Marriage Act 2014 provides that ‘parties married under customary laws may be required by a court to go through customary dispute </w:t>
      </w:r>
      <w:r w:rsidRPr="00A45DDC">
        <w:lastRenderedPageBreak/>
        <w:t>resolution mechanisms in matters concerning dissolution of marriages before filing for divorce’.</w:t>
      </w:r>
      <w:r w:rsidRPr="00A45DDC">
        <w:rPr>
          <w:vertAlign w:val="superscript"/>
        </w:rPr>
        <w:footnoteReference w:id="80"/>
      </w:r>
      <w:r w:rsidRPr="00A45DDC">
        <w:t xml:space="preserve"> In </w:t>
      </w:r>
      <w:proofErr w:type="spellStart"/>
      <w:r w:rsidRPr="00A45DDC">
        <w:rPr>
          <w:i/>
        </w:rPr>
        <w:t>Lubaru</w:t>
      </w:r>
      <w:proofErr w:type="spellEnd"/>
      <w:r w:rsidRPr="00A45DDC">
        <w:rPr>
          <w:i/>
        </w:rPr>
        <w:t xml:space="preserve"> </w:t>
      </w:r>
      <w:proofErr w:type="spellStart"/>
      <w:r w:rsidRPr="00A45DDC">
        <w:rPr>
          <w:i/>
        </w:rPr>
        <w:t>M’Imanyara</w:t>
      </w:r>
      <w:proofErr w:type="spellEnd"/>
      <w:r w:rsidRPr="00A45DDC">
        <w:rPr>
          <w:i/>
        </w:rPr>
        <w:t xml:space="preserve"> v Daniel </w:t>
      </w:r>
      <w:proofErr w:type="spellStart"/>
      <w:r w:rsidRPr="00A45DDC">
        <w:rPr>
          <w:i/>
        </w:rPr>
        <w:t>Murungi</w:t>
      </w:r>
      <w:proofErr w:type="spellEnd"/>
      <w:r w:rsidRPr="00A45DDC">
        <w:t xml:space="preserve"> the courts referred land marital disputes to </w:t>
      </w:r>
      <w:proofErr w:type="spellStart"/>
      <w:r w:rsidRPr="00A45DDC">
        <w:t>Njuri</w:t>
      </w:r>
      <w:proofErr w:type="spellEnd"/>
      <w:r w:rsidRPr="00A45DDC">
        <w:t xml:space="preserve"> </w:t>
      </w:r>
      <w:proofErr w:type="spellStart"/>
      <w:r w:rsidRPr="00A45DDC">
        <w:t>Cheke</w:t>
      </w:r>
      <w:proofErr w:type="spellEnd"/>
      <w:r w:rsidRPr="00A45DDC">
        <w:t xml:space="preserve"> for resolution based on Article 259(2) (c) of the Constitution. </w:t>
      </w:r>
    </w:p>
    <w:p w14:paraId="64880E64" w14:textId="77777777" w:rsidR="00A45DDC" w:rsidRPr="00A45DDC" w:rsidRDefault="00A45DDC" w:rsidP="00A45DDC">
      <w:r w:rsidRPr="00A45DDC">
        <w:t>As demonstrated above, the culture and customs of communities are very important to the way of life of the people and are a strong connection between ancestors and the present generation. These customs should therefore, be respected and elevated. Customary laws are important in ensuring the beliefs of communities are upheld from generation to generation. The presence of traditional dispute resolution mechanisms allows for an arena for these customs to be legally applied in court. The 2010 Constitution and the Marriage Act, 2014 have somewhat resolved the conflicts that were caused during the colonial era brought by transplantation and disregard of the customary marriage system. The inclusivity of the Marriage Act, coupled with a tone of generality allows the various marriage regimes to express their culture and values without denigrating the rights of another.</w:t>
      </w:r>
    </w:p>
    <w:p w14:paraId="276972C8" w14:textId="573F8578" w:rsidR="00AB7486" w:rsidRDefault="00AB7486" w:rsidP="00A45DDC"/>
    <w:p w14:paraId="3AF04348" w14:textId="1E05D8A7" w:rsidR="007530F0" w:rsidRDefault="007530F0" w:rsidP="00A45DDC"/>
    <w:p w14:paraId="61553C7B" w14:textId="1DFE3545" w:rsidR="00277863" w:rsidRDefault="00277863" w:rsidP="00A45DDC"/>
    <w:p w14:paraId="3C4E51D6" w14:textId="0B549E5A" w:rsidR="00277863" w:rsidRDefault="00277863" w:rsidP="00A45DDC"/>
    <w:p w14:paraId="484B932C" w14:textId="1F51025A" w:rsidR="00277863" w:rsidRDefault="00277863" w:rsidP="00A45DDC"/>
    <w:p w14:paraId="01D3F5DD" w14:textId="03082519" w:rsidR="00277863" w:rsidRDefault="00277863" w:rsidP="00A45DDC"/>
    <w:p w14:paraId="6A83E68D" w14:textId="3EC465CD" w:rsidR="00277863" w:rsidRDefault="00277863" w:rsidP="00A45DDC"/>
    <w:p w14:paraId="0F8242A4" w14:textId="05903A57" w:rsidR="00277863" w:rsidRDefault="00277863" w:rsidP="00A45DDC"/>
    <w:p w14:paraId="33D5827E" w14:textId="05D612DF" w:rsidR="00277863" w:rsidRDefault="00277863" w:rsidP="00A45DDC"/>
    <w:p w14:paraId="009EA6B2" w14:textId="77777777" w:rsidR="00277863" w:rsidRPr="00A45DDC" w:rsidRDefault="00277863" w:rsidP="00A45DDC"/>
    <w:p w14:paraId="113FCF92" w14:textId="51F1513D" w:rsidR="000F4352" w:rsidRPr="000F4352" w:rsidRDefault="000F4352" w:rsidP="00E23D20">
      <w:pPr>
        <w:pStyle w:val="Heading1"/>
      </w:pPr>
      <w:bookmarkStart w:id="55" w:name="_Toc78407992"/>
      <w:r w:rsidRPr="000F4352">
        <w:lastRenderedPageBreak/>
        <w:t xml:space="preserve">CHAPTER 4: </w:t>
      </w:r>
      <w:r w:rsidR="000C79B7">
        <w:t xml:space="preserve">COMPARING THE </w:t>
      </w:r>
      <w:r w:rsidR="00DB55E2">
        <w:t xml:space="preserve">DEVELOPMENT OF MARRIAGE LAWS IN </w:t>
      </w:r>
      <w:r w:rsidR="000C79B7">
        <w:t>KENYA</w:t>
      </w:r>
      <w:r w:rsidR="00DB55E2">
        <w:t xml:space="preserve"> AND</w:t>
      </w:r>
      <w:r w:rsidR="00A53BC0">
        <w:t xml:space="preserve"> </w:t>
      </w:r>
      <w:r w:rsidR="008E27D1">
        <w:t>IN THE UNITED KINGDOM</w:t>
      </w:r>
      <w:bookmarkEnd w:id="55"/>
    </w:p>
    <w:p w14:paraId="49451056" w14:textId="3DE0BA87" w:rsidR="00D105DC" w:rsidRDefault="00D105DC" w:rsidP="00D105DC">
      <w:r>
        <w:t xml:space="preserve">The previous chapter </w:t>
      </w:r>
      <w:r w:rsidR="00BD3356">
        <w:t>explain</w:t>
      </w:r>
      <w:r w:rsidR="007530F0">
        <w:t xml:space="preserve">ed the development </w:t>
      </w:r>
      <w:r w:rsidR="00BD3356">
        <w:t>of marriage laws in Kenya. In a chronological format it discussed the rights and framework of marriage laws in the country. This chapter will discuss the development of marriage laws in England, giving a comparison of the differences and similarities that exist in the framework of the two countries.</w:t>
      </w:r>
      <w:r w:rsidR="006A465C">
        <w:t xml:space="preserve"> </w:t>
      </w:r>
    </w:p>
    <w:p w14:paraId="13420554" w14:textId="42F6366D" w:rsidR="005F6ED0" w:rsidRPr="005F6ED0" w:rsidRDefault="005F6ED0" w:rsidP="006E432D">
      <w:pPr>
        <w:pStyle w:val="Heading2"/>
      </w:pPr>
      <w:bookmarkStart w:id="56" w:name="_Toc78407993"/>
      <w:r w:rsidRPr="005F6ED0">
        <w:t>4.1 DEVELOPMENT OF MARRIAGE LAWS IN ENGLAND</w:t>
      </w:r>
      <w:bookmarkEnd w:id="56"/>
    </w:p>
    <w:p w14:paraId="764D366D" w14:textId="33B2D2F4" w:rsidR="00BD3356" w:rsidRDefault="003F1A14" w:rsidP="00D105DC">
      <w:r>
        <w:t>‘</w:t>
      </w:r>
      <w:r w:rsidR="00152C7B">
        <w:t>The Anglo-Saxons</w:t>
      </w:r>
      <w:r w:rsidR="00CB521D">
        <w:t xml:space="preserve"> were migrants from northern Europe who </w:t>
      </w:r>
      <w:r w:rsidR="00F52F1A">
        <w:t>settled in England in the 5</w:t>
      </w:r>
      <w:r w:rsidR="00F52F1A" w:rsidRPr="00F52F1A">
        <w:rPr>
          <w:vertAlign w:val="superscript"/>
        </w:rPr>
        <w:t>th</w:t>
      </w:r>
      <w:r w:rsidR="00F52F1A">
        <w:t xml:space="preserve"> and 6</w:t>
      </w:r>
      <w:r w:rsidR="00F52F1A" w:rsidRPr="00F52F1A">
        <w:rPr>
          <w:vertAlign w:val="superscript"/>
        </w:rPr>
        <w:t>th</w:t>
      </w:r>
      <w:r w:rsidR="00F52F1A">
        <w:t xml:space="preserve"> century.</w:t>
      </w:r>
      <w:r w:rsidR="006A3B7B">
        <w:t xml:space="preserve"> </w:t>
      </w:r>
      <w:r w:rsidR="00152C7B">
        <w:t>The</w:t>
      </w:r>
      <w:r w:rsidR="00941ABE">
        <w:t>y</w:t>
      </w:r>
      <w:r w:rsidR="002423E2" w:rsidRPr="002423E2">
        <w:t xml:space="preserve"> compris</w:t>
      </w:r>
      <w:r w:rsidR="002423E2">
        <w:t>ed of</w:t>
      </w:r>
      <w:r w:rsidR="00655025">
        <w:t xml:space="preserve"> various</w:t>
      </w:r>
      <w:r w:rsidR="002423E2" w:rsidRPr="002423E2">
        <w:t xml:space="preserve"> small groups and </w:t>
      </w:r>
      <w:r w:rsidR="002423E2">
        <w:t xml:space="preserve">were </w:t>
      </w:r>
      <w:r w:rsidR="002423E2" w:rsidRPr="002423E2">
        <w:t xml:space="preserve">divided into a number of </w:t>
      </w:r>
      <w:proofErr w:type="gramStart"/>
      <w:r w:rsidR="002423E2" w:rsidRPr="002423E2">
        <w:t>kingdoms</w:t>
      </w:r>
      <w:r>
        <w:t>’</w:t>
      </w:r>
      <w:proofErr w:type="gramEnd"/>
      <w:r w:rsidR="005749E9">
        <w:t>.</w:t>
      </w:r>
      <w:r w:rsidR="00EA5C93">
        <w:rPr>
          <w:rStyle w:val="FootnoteReference"/>
        </w:rPr>
        <w:footnoteReference w:id="81"/>
      </w:r>
      <w:r w:rsidR="005749E9">
        <w:t xml:space="preserve"> During </w:t>
      </w:r>
      <w:r w:rsidR="002423E2" w:rsidRPr="002423E2">
        <w:t>the</w:t>
      </w:r>
      <w:r w:rsidR="005749E9">
        <w:t xml:space="preserve"> reign of King </w:t>
      </w:r>
      <w:r w:rsidR="006126BF">
        <w:t>A</w:t>
      </w:r>
      <w:r w:rsidR="005749E9">
        <w:t>thelstan</w:t>
      </w:r>
      <w:r w:rsidR="00701E38">
        <w:t xml:space="preserve"> </w:t>
      </w:r>
      <w:r w:rsidR="00701E38" w:rsidRPr="00701E38">
        <w:t>(924–939)</w:t>
      </w:r>
      <w:r w:rsidR="002423E2" w:rsidRPr="002423E2">
        <w:t xml:space="preserve"> </w:t>
      </w:r>
      <w:r w:rsidR="001E7D6B">
        <w:t xml:space="preserve">the groups </w:t>
      </w:r>
      <w:r w:rsidR="002423E2" w:rsidRPr="002423E2">
        <w:t>were  joined into a single political realm</w:t>
      </w:r>
      <w:r w:rsidR="00325494">
        <w:t xml:space="preserve">, </w:t>
      </w:r>
      <w:r w:rsidR="002423E2" w:rsidRPr="002423E2">
        <w:t>the kingdom of England</w:t>
      </w:r>
      <w:r w:rsidR="00325494">
        <w:t>.</w:t>
      </w:r>
      <w:r w:rsidR="00B47DCD">
        <w:rPr>
          <w:rStyle w:val="FootnoteReference"/>
        </w:rPr>
        <w:footnoteReference w:id="82"/>
      </w:r>
      <w:r w:rsidR="00A24C2D">
        <w:t xml:space="preserve"> </w:t>
      </w:r>
      <w:r w:rsidR="00797E0A">
        <w:t>Stephanie Coont</w:t>
      </w:r>
      <w:r w:rsidR="00BB6211">
        <w:t>z noted that d</w:t>
      </w:r>
      <w:r w:rsidR="00A24C2D">
        <w:t>uring this period, marriage</w:t>
      </w:r>
      <w:r w:rsidR="00A605AB">
        <w:t xml:space="preserve">s were </w:t>
      </w:r>
      <w:r w:rsidR="00BB6211">
        <w:t xml:space="preserve">used as a strategic tool. </w:t>
      </w:r>
      <w:r w:rsidR="007223DA">
        <w:t>They were used to establish</w:t>
      </w:r>
      <w:r w:rsidR="00334D4C">
        <w:t xml:space="preserve"> </w:t>
      </w:r>
      <w:r w:rsidR="00121201">
        <w:t xml:space="preserve">diplomatic ties as well as trade ties. </w:t>
      </w:r>
      <w:r w:rsidR="00F918C3">
        <w:t xml:space="preserve">People would get married to create </w:t>
      </w:r>
      <w:r w:rsidR="001F6510">
        <w:t>peaceful relationships between families</w:t>
      </w:r>
      <w:r w:rsidR="009B7F58">
        <w:t>.</w:t>
      </w:r>
      <w:r w:rsidR="00C76E11">
        <w:rPr>
          <w:rStyle w:val="FootnoteReference"/>
        </w:rPr>
        <w:footnoteReference w:id="83"/>
      </w:r>
      <w:r w:rsidR="009B7F58">
        <w:t xml:space="preserve"> </w:t>
      </w:r>
    </w:p>
    <w:p w14:paraId="20529FCD" w14:textId="32CEBCA2" w:rsidR="00C67706" w:rsidRDefault="000C6D15" w:rsidP="00D105DC">
      <w:r>
        <w:t>During the 11</w:t>
      </w:r>
      <w:r w:rsidRPr="000C6D15">
        <w:rPr>
          <w:vertAlign w:val="superscript"/>
        </w:rPr>
        <w:t>th</w:t>
      </w:r>
      <w:r>
        <w:t xml:space="preserve"> century, marriage was viewed to be a political and economic tool. Most families used marriage as a way to rise up in society. They were </w:t>
      </w:r>
      <w:r w:rsidR="002E7AC4">
        <w:t xml:space="preserve">not concerned with </w:t>
      </w:r>
      <w:r w:rsidR="00A27BC9">
        <w:t xml:space="preserve">the </w:t>
      </w:r>
      <w:r w:rsidR="002E7AC4">
        <w:t>consent of the</w:t>
      </w:r>
      <w:r w:rsidR="004132C4">
        <w:t xml:space="preserve"> couple</w:t>
      </w:r>
      <w:r w:rsidR="00A27BC9">
        <w:t xml:space="preserve"> getting married</w:t>
      </w:r>
      <w:r w:rsidR="004132C4">
        <w:t xml:space="preserve">. The father of the bride was </w:t>
      </w:r>
      <w:r w:rsidR="00A27BC9">
        <w:t xml:space="preserve">to </w:t>
      </w:r>
      <w:proofErr w:type="gramStart"/>
      <w:r w:rsidR="00A27BC9">
        <w:t>make arrangements</w:t>
      </w:r>
      <w:proofErr w:type="gramEnd"/>
      <w:r w:rsidR="00A27BC9">
        <w:t xml:space="preserve"> on </w:t>
      </w:r>
      <w:r w:rsidR="00294E06">
        <w:t xml:space="preserve">her </w:t>
      </w:r>
      <w:r w:rsidR="00A27BC9">
        <w:t>behalf</w:t>
      </w:r>
      <w:r w:rsidR="00294E06">
        <w:t xml:space="preserve">, and she was meant to </w:t>
      </w:r>
      <w:r w:rsidR="0027010E">
        <w:t>comply with them.</w:t>
      </w:r>
      <w:r w:rsidR="00D74D91">
        <w:rPr>
          <w:rStyle w:val="FootnoteReference"/>
        </w:rPr>
        <w:footnoteReference w:id="84"/>
      </w:r>
      <w:r w:rsidR="0027010E">
        <w:t xml:space="preserve"> </w:t>
      </w:r>
      <w:r w:rsidR="003F1A14">
        <w:t>‘</w:t>
      </w:r>
      <w:r w:rsidR="00BF2043">
        <w:t>The m</w:t>
      </w:r>
      <w:r w:rsidR="00BD1068" w:rsidRPr="00BD1068">
        <w:t>odern consent theory</w:t>
      </w:r>
      <w:r w:rsidR="00133AD3">
        <w:t xml:space="preserve"> </w:t>
      </w:r>
      <w:r w:rsidR="00655025">
        <w:t>sta</w:t>
      </w:r>
      <w:r w:rsidR="00BD1068" w:rsidRPr="00BD1068">
        <w:t xml:space="preserve">tes that for individuals to consent, they must be autonomous, capable, educated, and mature, and they must express consent voluntarily with opportunities to </w:t>
      </w:r>
      <w:r w:rsidR="00655025">
        <w:t>withdraw</w:t>
      </w:r>
      <w:r w:rsidR="00BD1068" w:rsidRPr="00BD1068">
        <w:t xml:space="preserve"> that consent</w:t>
      </w:r>
      <w:r w:rsidR="003F1A14">
        <w:t>’</w:t>
      </w:r>
      <w:r w:rsidR="00BD1068" w:rsidRPr="00BD1068">
        <w:t>.</w:t>
      </w:r>
      <w:r w:rsidR="007E5128">
        <w:rPr>
          <w:rStyle w:val="FootnoteReference"/>
        </w:rPr>
        <w:footnoteReference w:id="85"/>
      </w:r>
      <w:r w:rsidR="00BD1068" w:rsidRPr="00BD1068">
        <w:t xml:space="preserve"> </w:t>
      </w:r>
      <w:r w:rsidR="00B14794">
        <w:t>This was not the case for women in this period of tim</w:t>
      </w:r>
      <w:r w:rsidR="0062768D">
        <w:t>e</w:t>
      </w:r>
      <w:r w:rsidR="00B14794">
        <w:t>.</w:t>
      </w:r>
      <w:r w:rsidR="0062768D">
        <w:t xml:space="preserve"> </w:t>
      </w:r>
      <w:r w:rsidR="002B6316">
        <w:t>Verbal consent was never needed, t</w:t>
      </w:r>
      <w:r w:rsidR="00587440">
        <w:t>heir presence in marriage ceremonies was viewed as enough consent</w:t>
      </w:r>
      <w:r w:rsidR="002B6316">
        <w:t xml:space="preserve">. </w:t>
      </w:r>
      <w:r w:rsidR="0062768D">
        <w:t xml:space="preserve">Consent was </w:t>
      </w:r>
      <w:r w:rsidR="00B3444A">
        <w:t>formalised</w:t>
      </w:r>
      <w:r w:rsidR="0062768D">
        <w:t xml:space="preserve"> in the 12</w:t>
      </w:r>
      <w:r w:rsidR="0062768D" w:rsidRPr="0062768D">
        <w:rPr>
          <w:vertAlign w:val="superscript"/>
        </w:rPr>
        <w:t>th</w:t>
      </w:r>
      <w:r w:rsidR="0062768D">
        <w:t xml:space="preserve"> century by Grati</w:t>
      </w:r>
      <w:r w:rsidR="005827AD">
        <w:t>a</w:t>
      </w:r>
      <w:r w:rsidR="0062768D">
        <w:t>n</w:t>
      </w:r>
      <w:r w:rsidR="005827AD">
        <w:t xml:space="preserve"> in his </w:t>
      </w:r>
      <w:r w:rsidR="00ED56CE">
        <w:t xml:space="preserve">canon law </w:t>
      </w:r>
      <w:r w:rsidR="005827AD">
        <w:lastRenderedPageBreak/>
        <w:t>book</w:t>
      </w:r>
      <w:r w:rsidR="00ED56CE">
        <w:t xml:space="preserve"> </w:t>
      </w:r>
      <w:proofErr w:type="spellStart"/>
      <w:r w:rsidR="00ED56CE" w:rsidRPr="00E2503D">
        <w:rPr>
          <w:i/>
          <w:iCs/>
        </w:rPr>
        <w:t>Decretum</w:t>
      </w:r>
      <w:proofErr w:type="spellEnd"/>
      <w:r w:rsidR="00ED56CE" w:rsidRPr="00E2503D">
        <w:rPr>
          <w:i/>
          <w:iCs/>
        </w:rPr>
        <w:t xml:space="preserve"> </w:t>
      </w:r>
      <w:r w:rsidR="00E2503D" w:rsidRPr="00E2503D">
        <w:rPr>
          <w:i/>
          <w:iCs/>
        </w:rPr>
        <w:t>Gratian.</w:t>
      </w:r>
      <w:r w:rsidR="005827AD">
        <w:t xml:space="preserve"> </w:t>
      </w:r>
      <w:r w:rsidR="002B6316">
        <w:t>After his book was published in 1140, p</w:t>
      </w:r>
      <w:r w:rsidR="00E2503D">
        <w:t xml:space="preserve">eople </w:t>
      </w:r>
      <w:r w:rsidR="00B768EF">
        <w:t>begun to recognise that the consent of both parties was important.</w:t>
      </w:r>
      <w:r w:rsidR="002B6316">
        <w:t xml:space="preserve"> Not only was verbal consent needed, but parties were also required to consummate the marriage.</w:t>
      </w:r>
    </w:p>
    <w:p w14:paraId="15CA3E75" w14:textId="6F801BFC" w:rsidR="0079473F" w:rsidRDefault="0079473F" w:rsidP="00D105DC">
      <w:r>
        <w:t xml:space="preserve">The Marriage Act, 1836 legalised civil marriages in England. </w:t>
      </w:r>
      <w:r w:rsidR="00380E63">
        <w:t>These types of marriages were non-religious and could be carried out in a register office. Before this, marriages were carried out by the church of England. The provisions on civil marriages allowed for people of different denominations to get married legally in the country.</w:t>
      </w:r>
    </w:p>
    <w:p w14:paraId="20BE7D3F" w14:textId="469A2829" w:rsidR="0048649E" w:rsidRDefault="0048649E" w:rsidP="00D105DC">
      <w:r>
        <w:t>The current marriage laws allow</w:t>
      </w:r>
      <w:r w:rsidRPr="0048649E">
        <w:t xml:space="preserve"> couples </w:t>
      </w:r>
      <w:r>
        <w:t>to</w:t>
      </w:r>
      <w:r w:rsidRPr="0048649E">
        <w:t xml:space="preserve"> get married or form civil partnership</w:t>
      </w:r>
      <w:r>
        <w:t>s</w:t>
      </w:r>
      <w:r w:rsidRPr="0048649E">
        <w:t xml:space="preserve"> in the </w:t>
      </w:r>
      <w:r w:rsidR="00AE61A9">
        <w:t>United Kingdom (U.</w:t>
      </w:r>
      <w:r w:rsidRPr="0048649E">
        <w:t>K</w:t>
      </w:r>
      <w:r w:rsidR="00AE61A9">
        <w:t>)</w:t>
      </w:r>
      <w:r w:rsidRPr="0048649E">
        <w:t xml:space="preserve"> if they are</w:t>
      </w:r>
      <w:r>
        <w:t xml:space="preserve"> 16 years old or over, not already married or in a civil relationship, </w:t>
      </w:r>
      <w:r w:rsidRPr="0048649E">
        <w:t>not closely related</w:t>
      </w:r>
      <w:r>
        <w:t xml:space="preserve">, and are </w:t>
      </w:r>
      <w:r w:rsidRPr="0048649E">
        <w:t>capable of understanding what marriage means and of consenting to a marriage</w:t>
      </w:r>
      <w:r>
        <w:t xml:space="preserve">. Parties who are 16 or 17 years old can get married in the U.K, but they need parental consent in order to do so. </w:t>
      </w:r>
      <w:r w:rsidR="003F1A14">
        <w:t>‘</w:t>
      </w:r>
      <w:r>
        <w:t xml:space="preserve">In 1929, the British parliament set the minimum age </w:t>
      </w:r>
      <w:r w:rsidR="004E6D37">
        <w:t xml:space="preserve">at 16 in response to </w:t>
      </w:r>
      <w:r w:rsidR="004E6D37" w:rsidRPr="004E6D37">
        <w:t>a campaign by the National Union of Societies for Equal Citizenship</w:t>
      </w:r>
      <w:r w:rsidR="003F1A14">
        <w:t>’</w:t>
      </w:r>
      <w:r w:rsidR="004E6D37">
        <w:t>.</w:t>
      </w:r>
      <w:r w:rsidR="004E6D37">
        <w:rPr>
          <w:rStyle w:val="FootnoteReference"/>
        </w:rPr>
        <w:footnoteReference w:id="86"/>
      </w:r>
      <w:r w:rsidR="004E6D37">
        <w:t xml:space="preserve"> </w:t>
      </w:r>
      <w:r w:rsidR="004E6D37" w:rsidRPr="004E6D37">
        <w:t>The age of consent in the U.K is</w:t>
      </w:r>
      <w:r w:rsidR="004E6D37">
        <w:t xml:space="preserve"> therefore</w:t>
      </w:r>
      <w:r w:rsidR="004E6D37" w:rsidRPr="004E6D37">
        <w:t xml:space="preserve"> lower than that of Kenya’s</w:t>
      </w:r>
      <w:r w:rsidR="004E6D37">
        <w:t>, which</w:t>
      </w:r>
      <w:r>
        <w:t xml:space="preserve"> is 18 years old.</w:t>
      </w:r>
      <w:r w:rsidR="004E6D37">
        <w:t xml:space="preserve"> However, some traditional communities like the Maasai marry off girls as young as 15 years old.  </w:t>
      </w:r>
    </w:p>
    <w:p w14:paraId="564F7723" w14:textId="3B6B0CA0" w:rsidR="008B6A30" w:rsidRPr="00A20E6E" w:rsidRDefault="008B6A30" w:rsidP="00D105DC">
      <w:pPr>
        <w:rPr>
          <w:highlight w:val="yellow"/>
        </w:rPr>
      </w:pPr>
      <w:r w:rsidRPr="003365D9">
        <w:t>In 2014, same sex marriag</w:t>
      </w:r>
      <w:r w:rsidR="00B67001" w:rsidRPr="003365D9">
        <w:t>es</w:t>
      </w:r>
      <w:r w:rsidRPr="003365D9">
        <w:t xml:space="preserve"> </w:t>
      </w:r>
      <w:r w:rsidR="00B67EC8" w:rsidRPr="003365D9">
        <w:t>be</w:t>
      </w:r>
      <w:r w:rsidR="00B67001" w:rsidRPr="003365D9">
        <w:t>c</w:t>
      </w:r>
      <w:r w:rsidR="00B67EC8" w:rsidRPr="003365D9">
        <w:t>ame legal</w:t>
      </w:r>
      <w:r w:rsidR="008E27D1" w:rsidRPr="003365D9">
        <w:t xml:space="preserve"> in the U.K</w:t>
      </w:r>
      <w:r w:rsidR="00B67001" w:rsidRPr="003365D9">
        <w:t xml:space="preserve">. They were introduced </w:t>
      </w:r>
      <w:r w:rsidRPr="003365D9">
        <w:t xml:space="preserve">through the </w:t>
      </w:r>
      <w:r w:rsidR="00FF43B7" w:rsidRPr="003365D9">
        <w:t>Marriage (</w:t>
      </w:r>
      <w:r w:rsidR="003426A5" w:rsidRPr="003365D9">
        <w:t>S</w:t>
      </w:r>
      <w:r w:rsidR="00FF43B7" w:rsidRPr="003365D9">
        <w:t xml:space="preserve">ame </w:t>
      </w:r>
      <w:r w:rsidR="003426A5" w:rsidRPr="003365D9">
        <w:t>S</w:t>
      </w:r>
      <w:r w:rsidR="00FF43B7" w:rsidRPr="003365D9">
        <w:t xml:space="preserve">ex </w:t>
      </w:r>
      <w:r w:rsidR="003426A5" w:rsidRPr="003365D9">
        <w:t>C</w:t>
      </w:r>
      <w:r w:rsidR="00FF43B7" w:rsidRPr="003365D9">
        <w:t>ouples) Act</w:t>
      </w:r>
      <w:r w:rsidR="00B67001" w:rsidRPr="003365D9">
        <w:t xml:space="preserve">, 2013. </w:t>
      </w:r>
      <w:r w:rsidR="008E27D1" w:rsidRPr="003365D9">
        <w:t xml:space="preserve">Same sex marriages can be differentiated from civil partnerships.  Civil partnerships are legally recognised unions between couples of the same sex. They are provided for under the Civil Partnership Act, 2004. </w:t>
      </w:r>
      <w:r w:rsidR="00643EE3" w:rsidRPr="003365D9">
        <w:t>In the U.K, a</w:t>
      </w:r>
      <w:r w:rsidR="008E27D1" w:rsidRPr="003365D9">
        <w:t xml:space="preserve"> civil partnership </w:t>
      </w:r>
      <w:r w:rsidR="00643EE3" w:rsidRPr="003365D9">
        <w:t>is entered into</w:t>
      </w:r>
      <w:r w:rsidR="008E27D1" w:rsidRPr="003365D9">
        <w:t xml:space="preserve"> when both parties sign the civil partnership document</w:t>
      </w:r>
      <w:r w:rsidR="00643EE3" w:rsidRPr="003365D9">
        <w:t>, w</w:t>
      </w:r>
      <w:r w:rsidR="008E27D1" w:rsidRPr="003365D9">
        <w:t xml:space="preserve">hereas a marriage can only be entered into when parties say their vows </w:t>
      </w:r>
      <w:r w:rsidR="00380E63" w:rsidRPr="003365D9">
        <w:t xml:space="preserve">to </w:t>
      </w:r>
      <w:r w:rsidR="008E27D1" w:rsidRPr="003365D9">
        <w:t xml:space="preserve">each other. </w:t>
      </w:r>
      <w:r w:rsidR="00643EE3" w:rsidRPr="0033024D">
        <w:t>Kenya does not</w:t>
      </w:r>
      <w:r w:rsidR="0033024D" w:rsidRPr="0033024D">
        <w:t xml:space="preserve"> have any </w:t>
      </w:r>
      <w:r w:rsidR="00643EE3" w:rsidRPr="0033024D">
        <w:t>provisions on same sex marriages or partnerships.</w:t>
      </w:r>
      <w:r w:rsidR="0033024D">
        <w:t xml:space="preserve"> </w:t>
      </w:r>
      <w:r w:rsidR="00380E63" w:rsidRPr="003365D9">
        <w:t>T</w:t>
      </w:r>
      <w:r w:rsidR="00643EE3" w:rsidRPr="003365D9">
        <w:t xml:space="preserve">his can be attributed to the peoples’ religious backgrounds. Communities like the Kikuyu practice woman-to-woman marriages, when the first wife is unable to bear children. This type of marriage is not similar to the same sex marriages of the U.K. The relationship between the women resembles surrogacy, as the second wife’s duty is to bear the children of the couple. </w:t>
      </w:r>
      <w:r w:rsidR="00380E63" w:rsidRPr="003365D9">
        <w:t xml:space="preserve">The provisions of same sex marriages in the U.K would not satisfy the local needs of Kenyans. If the provisions were to be transplanted, the transplant would not be efficient.  </w:t>
      </w:r>
    </w:p>
    <w:p w14:paraId="0D3BA529" w14:textId="23D1BF21" w:rsidR="004E6D37" w:rsidRPr="00A20E6E" w:rsidRDefault="0033024D" w:rsidP="004E6D37">
      <w:pPr>
        <w:rPr>
          <w:highlight w:val="yellow"/>
        </w:rPr>
      </w:pPr>
      <w:r w:rsidRPr="0033024D">
        <w:lastRenderedPageBreak/>
        <w:t xml:space="preserve">In the U.K, </w:t>
      </w:r>
      <w:r w:rsidR="004E6D37" w:rsidRPr="0033024D">
        <w:t xml:space="preserve">transgendered people </w:t>
      </w:r>
      <w:r w:rsidRPr="003365D9">
        <w:t>can</w:t>
      </w:r>
      <w:r w:rsidR="004E6D37" w:rsidRPr="003365D9">
        <w:t xml:space="preserve"> marry someone of the opposite gender or same gender to their acquired gender.</w:t>
      </w:r>
      <w:r w:rsidR="003426A5" w:rsidRPr="003365D9">
        <w:t xml:space="preserve"> </w:t>
      </w:r>
      <w:r w:rsidR="005275CF">
        <w:t>To do this, t</w:t>
      </w:r>
      <w:r w:rsidR="003426A5" w:rsidRPr="003365D9">
        <w:t xml:space="preserve">hey </w:t>
      </w:r>
      <w:r w:rsidR="005275CF">
        <w:t xml:space="preserve">are required </w:t>
      </w:r>
      <w:r w:rsidR="004E6D37" w:rsidRPr="003365D9">
        <w:t xml:space="preserve">to </w:t>
      </w:r>
      <w:r w:rsidR="005275CF">
        <w:t xml:space="preserve">have a </w:t>
      </w:r>
      <w:r w:rsidR="004E6D37" w:rsidRPr="003365D9">
        <w:t xml:space="preserve">full gender recognition certificate </w:t>
      </w:r>
      <w:r w:rsidR="005275CF">
        <w:t>from</w:t>
      </w:r>
      <w:r w:rsidR="004E6D37" w:rsidRPr="003365D9">
        <w:t xml:space="preserve"> the Gender Recognition Panel.</w:t>
      </w:r>
      <w:r w:rsidR="003426A5" w:rsidRPr="003365D9">
        <w:t xml:space="preserve"> The certificate</w:t>
      </w:r>
      <w:r w:rsidR="005275CF">
        <w:t xml:space="preserve"> </w:t>
      </w:r>
      <w:r w:rsidR="004E6D37" w:rsidRPr="003365D9">
        <w:t>reflect</w:t>
      </w:r>
      <w:r w:rsidR="005275CF">
        <w:t>s</w:t>
      </w:r>
      <w:r w:rsidR="004E6D37" w:rsidRPr="003365D9">
        <w:t xml:space="preserve"> </w:t>
      </w:r>
      <w:r w:rsidR="003426A5" w:rsidRPr="003365D9">
        <w:t xml:space="preserve">the </w:t>
      </w:r>
      <w:r w:rsidR="004E6D37" w:rsidRPr="003365D9">
        <w:t xml:space="preserve">gender </w:t>
      </w:r>
      <w:r w:rsidR="003426A5" w:rsidRPr="003365D9">
        <w:t xml:space="preserve">they identify as. If they do not </w:t>
      </w:r>
      <w:r w:rsidR="005275CF">
        <w:t xml:space="preserve">have </w:t>
      </w:r>
      <w:r w:rsidR="003426A5" w:rsidRPr="003365D9">
        <w:t xml:space="preserve">the </w:t>
      </w:r>
      <w:r w:rsidR="004E6D37" w:rsidRPr="003365D9">
        <w:t>certificate, they are legally considered to be the gender they were assigned at birth.</w:t>
      </w:r>
      <w:r w:rsidR="003426A5" w:rsidRPr="003365D9">
        <w:rPr>
          <w:rStyle w:val="FootnoteReference"/>
        </w:rPr>
        <w:footnoteReference w:id="87"/>
      </w:r>
    </w:p>
    <w:p w14:paraId="77A57210" w14:textId="3197D3FB" w:rsidR="004E6D37" w:rsidRPr="00D105DC" w:rsidRDefault="003426A5" w:rsidP="00D105DC">
      <w:r w:rsidRPr="00A20E6E">
        <w:t>Marriage law has developed in Kenya and in the U.K quite differently. In the U.K it is evident that the laws evolved over time to remedy a shortcoming that was present in past law.</w:t>
      </w:r>
      <w:r w:rsidR="00AE61A9" w:rsidRPr="00A20E6E">
        <w:t xml:space="preserve"> T</w:t>
      </w:r>
      <w:r w:rsidRPr="00A20E6E">
        <w:t xml:space="preserve">he law developed over a long period of time, tracing back to the first settlers in England, the Anglo-Saxons. On the other hand, some Kenyan marriage laws were </w:t>
      </w:r>
      <w:r w:rsidR="00AE61A9" w:rsidRPr="00A20E6E">
        <w:t>forcefully transplanted during colonisation, without considering the cultural differences between the two countries.</w:t>
      </w:r>
      <w:r w:rsidR="00AE61A9">
        <w:t xml:space="preserve"> </w:t>
      </w:r>
      <w:r w:rsidR="00A20E6E">
        <w:t xml:space="preserve">The lobbying done today by western countries may be viewed as attempts at influencing the culture of African communities. This </w:t>
      </w:r>
      <w:r w:rsidR="00E85895">
        <w:t xml:space="preserve">is arguably a modern attempt at transplantation, as lobbying involves </w:t>
      </w:r>
      <w:r w:rsidR="003F1A14">
        <w:t>‘</w:t>
      </w:r>
      <w:r w:rsidR="00E85895" w:rsidRPr="00E85895">
        <w:t xml:space="preserve">influencing or attempting to influence legislative action or nonaction through oral or written communication or an attempt to obtain the goodwill of a member or employee of the </w:t>
      </w:r>
      <w:r w:rsidR="00E85895">
        <w:t>l</w:t>
      </w:r>
      <w:r w:rsidR="00E85895" w:rsidRPr="00E85895">
        <w:t>egislature</w:t>
      </w:r>
      <w:r w:rsidR="003F1A14">
        <w:t>’.</w:t>
      </w:r>
      <w:r w:rsidR="00E85895">
        <w:rPr>
          <w:rStyle w:val="FootnoteReference"/>
        </w:rPr>
        <w:footnoteReference w:id="88"/>
      </w:r>
      <w:r w:rsidR="00A20E6E">
        <w:t xml:space="preserve">  </w:t>
      </w:r>
    </w:p>
    <w:p w14:paraId="580AD48D" w14:textId="331491C2" w:rsidR="000F4352" w:rsidRPr="000F4352" w:rsidRDefault="003C1825" w:rsidP="00E23D20">
      <w:pPr>
        <w:pStyle w:val="Heading2"/>
      </w:pPr>
      <w:bookmarkStart w:id="58" w:name="_Toc78407994"/>
      <w:r>
        <w:t>4.</w:t>
      </w:r>
      <w:r w:rsidR="008E27D1">
        <w:t>2</w:t>
      </w:r>
      <w:r>
        <w:t xml:space="preserve"> </w:t>
      </w:r>
      <w:r w:rsidR="000F4352" w:rsidRPr="000F4352">
        <w:t>CONFLICT CAUSED BY TRANSPLANTED MARRIAGE LAWS</w:t>
      </w:r>
      <w:bookmarkEnd w:id="58"/>
    </w:p>
    <w:p w14:paraId="32890E20" w14:textId="7FCBD88C" w:rsidR="000F4352" w:rsidRPr="000F4352" w:rsidRDefault="000F4352" w:rsidP="000F4352">
      <w:r w:rsidRPr="000F4352">
        <w:t xml:space="preserve">During the colonial period, the colonial administration used various techniques such as referring to English cases and deeming African laws inconsistent with laws made by the protectorate or repugnant to justice and morality. This demonstrated how African customary law was subordinated to statutory law and common law. Statutory provisions such as the requirement for registration of marriages was another method used by the colonial administration. This required marriages to be registered but did not recognise a lot of African customary marriages. The marriage certificated were only issued for Christian marriages. Because of the East African Order in Council many of the practices followed by Africans were not recognised anymore. A man could no longer marry his sister, cousin, </w:t>
      </w:r>
      <w:proofErr w:type="gramStart"/>
      <w:r w:rsidRPr="000F4352">
        <w:t>aunt</w:t>
      </w:r>
      <w:proofErr w:type="gramEnd"/>
      <w:r w:rsidRPr="000F4352">
        <w:t xml:space="preserve"> or niece.</w:t>
      </w:r>
      <w:r w:rsidRPr="000F4352">
        <w:rPr>
          <w:vertAlign w:val="superscript"/>
        </w:rPr>
        <w:footnoteReference w:id="89"/>
      </w:r>
      <w:r w:rsidRPr="000F4352">
        <w:t xml:space="preserve"> Marriage to blood relatives were considered void ab initio, a practice that had been allowed by customary marriages.</w:t>
      </w:r>
      <w:r w:rsidRPr="000F4352">
        <w:rPr>
          <w:vertAlign w:val="superscript"/>
        </w:rPr>
        <w:footnoteReference w:id="90"/>
      </w:r>
      <w:r w:rsidR="006A1514" w:rsidRPr="006A1514">
        <w:t xml:space="preserve"> </w:t>
      </w:r>
      <w:r w:rsidR="005006A0">
        <w:t>This was also practiced in the U.K until the enactment of t</w:t>
      </w:r>
      <w:r w:rsidR="006A1514" w:rsidRPr="006A1514">
        <w:t xml:space="preserve">he Marriage Act </w:t>
      </w:r>
      <w:r w:rsidR="006A1514">
        <w:t xml:space="preserve">of </w:t>
      </w:r>
      <w:r w:rsidR="006A1514" w:rsidRPr="006A1514">
        <w:t xml:space="preserve">1949 </w:t>
      </w:r>
      <w:r w:rsidR="005006A0">
        <w:t xml:space="preserve">which </w:t>
      </w:r>
      <w:r w:rsidR="006A1514">
        <w:t xml:space="preserve">contains </w:t>
      </w:r>
      <w:r w:rsidR="006A1514" w:rsidRPr="006A1514">
        <w:t xml:space="preserve">the </w:t>
      </w:r>
      <w:r w:rsidR="0074517C">
        <w:t>‘</w:t>
      </w:r>
      <w:r w:rsidR="006A1514" w:rsidRPr="006A1514">
        <w:t xml:space="preserve">prohibited degrees of kinship within </w:t>
      </w:r>
      <w:r w:rsidR="006A1514" w:rsidRPr="006A1514">
        <w:lastRenderedPageBreak/>
        <w:t>which one c</w:t>
      </w:r>
      <w:r w:rsidR="005006A0">
        <w:t>an</w:t>
      </w:r>
      <w:r w:rsidR="006A1514" w:rsidRPr="006A1514">
        <w:t>not marry</w:t>
      </w:r>
      <w:r w:rsidR="005006A0">
        <w:t>. The provisions</w:t>
      </w:r>
      <w:r w:rsidR="006A1514" w:rsidRPr="006A1514">
        <w:t xml:space="preserve"> describ</w:t>
      </w:r>
      <w:r w:rsidR="005006A0">
        <w:t>e</w:t>
      </w:r>
      <w:r w:rsidR="006A1514" w:rsidRPr="006A1514">
        <w:t xml:space="preserve"> in detail the cases in which marriage </w:t>
      </w:r>
      <w:r w:rsidR="005006A0">
        <w:t>i</w:t>
      </w:r>
      <w:r w:rsidR="006A1514" w:rsidRPr="006A1514">
        <w:t xml:space="preserve">s </w:t>
      </w:r>
      <w:r w:rsidR="0074517C">
        <w:t>illegal</w:t>
      </w:r>
      <w:r w:rsidR="006A1514" w:rsidRPr="006A1514">
        <w:t xml:space="preserve"> </w:t>
      </w:r>
      <w:r w:rsidR="0074517C">
        <w:t xml:space="preserve">because of </w:t>
      </w:r>
      <w:r w:rsidR="006A1514" w:rsidRPr="006A1514">
        <w:t>consanguinity or marital affinity</w:t>
      </w:r>
      <w:r w:rsidR="006A1514">
        <w:t xml:space="preserve"> in the U.K</w:t>
      </w:r>
      <w:r w:rsidR="0074517C">
        <w:t>’</w:t>
      </w:r>
      <w:r w:rsidR="006A1514" w:rsidRPr="006A1514">
        <w:t>.</w:t>
      </w:r>
      <w:r w:rsidR="006A1514">
        <w:rPr>
          <w:rStyle w:val="FootnoteReference"/>
        </w:rPr>
        <w:footnoteReference w:id="91"/>
      </w:r>
      <w:r w:rsidR="006A1514">
        <w:t xml:space="preserve"> Prior to this, there were no legal provisions that prohibited marriage to blood relatives. </w:t>
      </w:r>
    </w:p>
    <w:p w14:paraId="4EEFA07D" w14:textId="77777777" w:rsidR="000F4352" w:rsidRPr="000F4352" w:rsidRDefault="000F4352" w:rsidP="000F4352">
      <w:r w:rsidRPr="000F4352">
        <w:t xml:space="preserve">The Marriage Ordinance of 1902 allowed native Africans to get married under the Ordinance, but in situations where someone was to die intestate, the succession laws used would be those derived from common law, this subjugated African succession customs to common law. In </w:t>
      </w:r>
      <w:r w:rsidRPr="000F4352">
        <w:rPr>
          <w:i/>
        </w:rPr>
        <w:t xml:space="preserve">Cole v Cole, </w:t>
      </w:r>
      <w:r w:rsidRPr="000F4352">
        <w:t>it was held that when parties married under the Ordinance, they were meant to cut ties with customary law.</w:t>
      </w:r>
      <w:r w:rsidRPr="000F4352">
        <w:rPr>
          <w:vertAlign w:val="superscript"/>
        </w:rPr>
        <w:footnoteReference w:id="92"/>
      </w:r>
      <w:r w:rsidRPr="000F4352">
        <w:t xml:space="preserve"> This shows how much statutory provisions tried to subordinate customary law, not by making the laws seem repugnant but by conforming the parties who were privy to marriages under the Ordinance follow English rules and laws and ignoring the customary ones. Both by marriage and succession laws.</w:t>
      </w:r>
    </w:p>
    <w:p w14:paraId="59ECC475" w14:textId="77777777" w:rsidR="000F4352" w:rsidRPr="000F4352" w:rsidRDefault="000F4352" w:rsidP="000F4352">
      <w:r w:rsidRPr="000F4352">
        <w:t>The Native Christian Marriage Ordinance of 1904 was also another legislation that was strictly monogamous. The laws however, allowed parties to apply African customary laws in matters of succession. Common law rules like presumption of marriage and pledging for husband’s credit were applied to Kenya. Individual freedom in terms of economic individualism was lost as many people were converting from African marriages in order to be issued with certificates because this was required by landlords. However, the current provisions in the Marriage Act, 2014 provide for both monogamous and polygamous as well as customary marriages. Section 6(2) and (3) of the Marriage Act, 2014 recognises both polygamous and monogamous marriages and Section 8 of the Marriage Act 2014 covers the conversion of marriages from potentially polygamous to monogamous. The provisions of the Act have consolidated marriage laws and also issue certificates of registration for African customary marriages. With the 2010 Constitution, issues such as the lack of equality in marriage were tackled in Article 20(4) which provides for equality and non-discrimination.</w:t>
      </w:r>
    </w:p>
    <w:p w14:paraId="6B39AFAB" w14:textId="3071EF90" w:rsidR="000F4352" w:rsidRPr="000F4352" w:rsidRDefault="000F4352" w:rsidP="000F4352">
      <w:r w:rsidRPr="000F4352">
        <w:t xml:space="preserve">Section 3(1) of the Judicature Act still states that African customary law can only be applied in civil cases and when </w:t>
      </w:r>
      <w:r w:rsidR="00AB7486">
        <w:t xml:space="preserve">it is </w:t>
      </w:r>
      <w:r w:rsidRPr="000F4352">
        <w:t xml:space="preserve">not repugnant to justice and morality, or inconsistent with any laws. Article 2(4) of the Constitution also states that any customary law that is inconsistent with the Constitution would be void. Therefore, in the colonial period, a lot of legislation and cases existed </w:t>
      </w:r>
      <w:r w:rsidRPr="000F4352">
        <w:lastRenderedPageBreak/>
        <w:t>that subordinated African customary law. These provisions can still be seen today in the form of the Judicature Act. “Native laws” were only applied when issues to do with personal status arose and even then, it was to the extent stated above. The technique developed by the colonisers of separating Africans by statute and religion, then placing English laws</w:t>
      </w:r>
      <w:r w:rsidR="00170FCD">
        <w:t xml:space="preserve"> </w:t>
      </w:r>
      <w:r w:rsidRPr="000F4352">
        <w:t xml:space="preserve">to take </w:t>
      </w:r>
      <w:r w:rsidR="00170FCD">
        <w:t xml:space="preserve">control of </w:t>
      </w:r>
      <w:r w:rsidRPr="000F4352">
        <w:t xml:space="preserve">the land, demonstrated how </w:t>
      </w:r>
      <w:r w:rsidR="00170FCD">
        <w:t>taking</w:t>
      </w:r>
      <w:r w:rsidRPr="000F4352">
        <w:t xml:space="preserve"> control</w:t>
      </w:r>
      <w:r w:rsidR="00170FCD">
        <w:t xml:space="preserve"> of</w:t>
      </w:r>
      <w:r w:rsidRPr="000F4352">
        <w:t xml:space="preserve"> the family,</w:t>
      </w:r>
      <w:r w:rsidR="00170FCD">
        <w:t xml:space="preserve"> </w:t>
      </w:r>
      <w:r w:rsidRPr="000F4352">
        <w:t xml:space="preserve">would be easier </w:t>
      </w:r>
      <w:r w:rsidR="00170FCD">
        <w:t>by</w:t>
      </w:r>
      <w:r w:rsidRPr="000F4352">
        <w:t xml:space="preserve"> plac</w:t>
      </w:r>
      <w:r w:rsidR="00170FCD">
        <w:t>ing</w:t>
      </w:r>
      <w:r w:rsidRPr="000F4352">
        <w:t xml:space="preserve"> statutory and English laws in Kenya. African marriages were considered to be involuntary communal unions capable of being dissolved without judicial involvement and unequal in the status of men and women.</w:t>
      </w:r>
    </w:p>
    <w:p w14:paraId="6CA2326C" w14:textId="7CB787D0" w:rsidR="008D65BE" w:rsidRDefault="000F4352" w:rsidP="000F4352">
      <w:r w:rsidRPr="000F4352">
        <w:t xml:space="preserve">The Divorce Ordinance applied to monogamous marriages only. In customary marriages, when divorcing under the Ordinance, the husband had to prove adultery and desertion. </w:t>
      </w:r>
      <w:r w:rsidR="00AB7486">
        <w:t xml:space="preserve">In </w:t>
      </w:r>
      <w:r w:rsidRPr="000F4352">
        <w:t>African customary laws divorce was by free will with no legal proceedings. By introducing new legislation on the protectorate, the colonisers continuously diminished African customary law. Scholars like Eugene Cotran disagreed with the non-recognition and the terming of dowry as bride purchase. He also disagreed with other phrases that were used to refer to wives such as concubines and casual liaisons. He stated that dowry should be the peripheral rule.</w:t>
      </w:r>
    </w:p>
    <w:p w14:paraId="1F1513EE" w14:textId="27E233B2" w:rsidR="000F4352" w:rsidRPr="000F4352" w:rsidRDefault="00DE019C" w:rsidP="000F4352">
      <w:pPr>
        <w:rPr>
          <w:b/>
          <w:bCs/>
          <w:color w:val="FF0000"/>
        </w:rPr>
      </w:pPr>
      <w:r>
        <w:t>In many communities, dowry d</w:t>
      </w:r>
      <w:r w:rsidR="00AE3661">
        <w:t>eno</w:t>
      </w:r>
      <w:r>
        <w:t xml:space="preserve">tes the eligibility of the suitor and </w:t>
      </w:r>
      <w:r w:rsidR="00AE3661">
        <w:t>demonstrates</w:t>
      </w:r>
      <w:r>
        <w:t xml:space="preserve"> his cap</w:t>
      </w:r>
      <w:r w:rsidR="00AE3661">
        <w:t>ability</w:t>
      </w:r>
      <w:r>
        <w:t xml:space="preserve"> of providing for his bride. </w:t>
      </w:r>
      <w:r w:rsidR="00345F82">
        <w:t>Dowry is a symbol of the communities of the man and the woman unifying.</w:t>
      </w:r>
      <w:r w:rsidR="00345F82">
        <w:rPr>
          <w:rStyle w:val="FootnoteReference"/>
        </w:rPr>
        <w:footnoteReference w:id="93"/>
      </w:r>
      <w:r w:rsidR="00345F82">
        <w:t xml:space="preserve"> It demonstrates the two families coming together and is an indication of the commitment </w:t>
      </w:r>
      <w:r w:rsidR="00E60444">
        <w:t>the groom is prepared to make to his bride and her family.</w:t>
      </w:r>
      <w:r w:rsidR="00345F82">
        <w:t xml:space="preserve"> </w:t>
      </w:r>
      <w:r w:rsidR="00E60444" w:rsidRPr="001F3838">
        <w:t>Women</w:t>
      </w:r>
      <w:r w:rsidR="00E60444">
        <w:t xml:space="preserve"> played a big role in the household and the payment of dowry was seen as a method of compensating the parents for the lost labo</w:t>
      </w:r>
      <w:r w:rsidR="001F3838">
        <w:t>u</w:t>
      </w:r>
      <w:r w:rsidR="00E60444">
        <w:t>r.</w:t>
      </w:r>
      <w:r w:rsidR="006D6044">
        <w:t xml:space="preserve"> The brides were also not allowed to get remarried after dowry was paid. This is because it was seen as a sign of permanent commitment. </w:t>
      </w:r>
      <w:r w:rsidR="001F3838">
        <w:t>In the Abagusii community, dowry was viewed as a method of not only enriching the bride’s family economically but also providing the bride’s brothers with the economic resources to get married.</w:t>
      </w:r>
      <w:r w:rsidR="006D6044">
        <w:rPr>
          <w:rStyle w:val="FootnoteReference"/>
        </w:rPr>
        <w:footnoteReference w:id="94"/>
      </w:r>
      <w:r w:rsidR="001F3838">
        <w:t xml:space="preserve"> Dowry is a tradition practiced by most African communities and to reduce this ceremony to nothing but bride purchase would be inconsiderate.</w:t>
      </w:r>
      <w:r w:rsidR="00E60444">
        <w:t xml:space="preserve"> </w:t>
      </w:r>
    </w:p>
    <w:p w14:paraId="06AA5F04" w14:textId="77CEB5C8" w:rsidR="000F4352" w:rsidRPr="000F4352" w:rsidRDefault="000F4352" w:rsidP="000F4352">
      <w:pPr>
        <w:rPr>
          <w:b/>
          <w:bCs/>
        </w:rPr>
      </w:pPr>
      <w:r w:rsidRPr="000F4352">
        <w:lastRenderedPageBreak/>
        <w:t xml:space="preserve">Historically, it is evident that African customary law has been subject to various forms of subordination to statutory law and English common law, as they are </w:t>
      </w:r>
      <w:r w:rsidR="00AB7486">
        <w:t>o</w:t>
      </w:r>
      <w:r w:rsidRPr="000F4352">
        <w:t>nly applied when not inconsistent with statutes or repugnant to justice and morality. The various marriage systems available have led to a lot of confusion among the citizens. With provisions existing for customary, civil and Christian marriages, people end up getting married under numerous systems because they d</w:t>
      </w:r>
      <w:r w:rsidR="00AB7486">
        <w:t xml:space="preserve">o </w:t>
      </w:r>
      <w:r w:rsidRPr="000F4352">
        <w:t>n</w:t>
      </w:r>
      <w:r w:rsidR="00AB7486">
        <w:t>o</w:t>
      </w:r>
      <w:r w:rsidRPr="000F4352">
        <w:t>t understand which system is the best.</w:t>
      </w:r>
      <w:r w:rsidR="00D957CC">
        <w:t xml:space="preserve"> This can be seen when a couple gets married under African customary law, then have a church wedding under</w:t>
      </w:r>
      <w:r w:rsidR="006773EF">
        <w:t xml:space="preserve"> statutory law.</w:t>
      </w:r>
      <w:r w:rsidR="00D957CC">
        <w:t xml:space="preserve"> </w:t>
      </w:r>
      <w:r w:rsidRPr="000F4352">
        <w:t xml:space="preserve">The transplanted laws have caused conflict between the systems, with people trying to figure out which system is the best one and shifting between different forms of marriages. </w:t>
      </w:r>
    </w:p>
    <w:p w14:paraId="510BCFDA" w14:textId="0EB3DA09" w:rsidR="000F4352" w:rsidRPr="000F4352" w:rsidRDefault="00BB5787" w:rsidP="00E23D20">
      <w:pPr>
        <w:pStyle w:val="Heading2"/>
      </w:pPr>
      <w:r>
        <w:t xml:space="preserve"> </w:t>
      </w:r>
      <w:bookmarkStart w:id="60" w:name="_Toc78407995"/>
      <w:r w:rsidR="000F4352" w:rsidRPr="000F4352">
        <w:t>4.</w:t>
      </w:r>
      <w:r w:rsidR="008E27D1">
        <w:t>3</w:t>
      </w:r>
      <w:r w:rsidR="00D105DC">
        <w:t xml:space="preserve"> </w:t>
      </w:r>
      <w:r w:rsidR="000F4352" w:rsidRPr="000F4352">
        <w:t>ARE THE FUSION OF THE DONOR AND RECIPIENT LAWS EFFICIENT?</w:t>
      </w:r>
      <w:bookmarkEnd w:id="60"/>
    </w:p>
    <w:p w14:paraId="4D31CF43" w14:textId="2FD71F07" w:rsidR="000F4352" w:rsidRPr="000F4352" w:rsidRDefault="000F4352" w:rsidP="000F4352">
      <w:pPr>
        <w:rPr>
          <w:color w:val="FF0000"/>
        </w:rPr>
      </w:pPr>
      <w:r w:rsidRPr="000F4352">
        <w:t>This section will examine the desirability of transplantation by discussing how efficient the process has been. Communities had their own traditional customs, practices and customary laws that were used to regulate how they operated. This included how marriages were conducted, and how they could be dissolved. These customs had been used for years and passed down from generation to generation. The passing o</w:t>
      </w:r>
      <w:r w:rsidR="00AB7486">
        <w:t>f</w:t>
      </w:r>
      <w:r w:rsidRPr="000F4352">
        <w:t xml:space="preserve"> Orders in Council and other transplanted laws, subjugated some of these practices. Examining the transplantation from this perspective, would warrant an answer that the transplantation is not desirable. This is because it was forcefully placed on communities despite the fact that they had various ways of conducting and regulating themselves based on years of customs. These customs formed part of their culture and was entrenched in their way of life. It is from this perspective, that the transplantation would appear to be unreasonable. </w:t>
      </w:r>
      <w:r w:rsidR="006773EF">
        <w:t xml:space="preserve">The hybrid theory states that </w:t>
      </w:r>
      <w:r w:rsidR="002720B4">
        <w:t xml:space="preserve">a middle ground needs to be sought and that laws should only be borrowed in areas of law that require it. </w:t>
      </w:r>
      <w:r w:rsidR="002720B4" w:rsidRPr="002720B4">
        <w:t>In areas where developing countries have provisions under customary law, foreign laws are not a requirement.</w:t>
      </w:r>
      <w:r w:rsidR="002720B4">
        <w:t xml:space="preserve"> In this case, the traditional marriage practices and customs should not have been interfered with.  </w:t>
      </w:r>
    </w:p>
    <w:p w14:paraId="0AE91ADB" w14:textId="4E396EBA" w:rsidR="000F4352" w:rsidRPr="000F4352" w:rsidRDefault="000F4352" w:rsidP="000F4352">
      <w:r w:rsidRPr="000F4352">
        <w:t xml:space="preserve">However, nations frequently borrow doctrines from each other, and as Kahn-Freund put it, it is acceptable when the context of the recipient country has been examined and considered before the transplantation occurs. Customary marriages had some practices that were inherently misogynistic and sexist. Women’s rights to own property, inherit, manage or dispose-off the property has continuously been under attack from customs and laws. These practices made it so that female children rarely inherited from their parents on an equal basis as their brothers. The reason for this, </w:t>
      </w:r>
      <w:r w:rsidRPr="000F4352">
        <w:lastRenderedPageBreak/>
        <w:t xml:space="preserve">was that women were expected to marry and be “absorbed” by their husbands’ families. This was seen in the case of </w:t>
      </w:r>
      <w:proofErr w:type="spellStart"/>
      <w:r w:rsidRPr="000F4352">
        <w:rPr>
          <w:i/>
        </w:rPr>
        <w:t>Rono</w:t>
      </w:r>
      <w:proofErr w:type="spellEnd"/>
      <w:r w:rsidRPr="000F4352">
        <w:rPr>
          <w:i/>
        </w:rPr>
        <w:t xml:space="preserve"> v </w:t>
      </w:r>
      <w:proofErr w:type="spellStart"/>
      <w:r w:rsidRPr="000F4352">
        <w:rPr>
          <w:i/>
        </w:rPr>
        <w:t>Rono</w:t>
      </w:r>
      <w:proofErr w:type="spellEnd"/>
      <w:r w:rsidRPr="000F4352">
        <w:t>.</w:t>
      </w:r>
      <w:r w:rsidRPr="000F4352">
        <w:rPr>
          <w:vertAlign w:val="superscript"/>
        </w:rPr>
        <w:footnoteReference w:id="95"/>
      </w:r>
      <w:r w:rsidRPr="000F4352">
        <w:t xml:space="preserve"> Some practices such as marrying blood relatives were considered to be ethically questionable as they involved marriages that went beyond the degree of consanguinity. These practices that could be considered to be unjust were done away with by the transplantation laws. Therefore, to some extent, the transplantation could be said to be desirable. </w:t>
      </w:r>
    </w:p>
    <w:p w14:paraId="65F74944" w14:textId="1CB363E8" w:rsidR="00AE61A9" w:rsidRDefault="000F4352" w:rsidP="00AE61A9">
      <w:r w:rsidRPr="000F4352">
        <w:t xml:space="preserve">The various changes that have occurred in the marriage regime have dealt with contextualising the transplanted marriage laws with the experiences and customs of the people. Which is why, polygamous marriages are recognisable and customary marriages can be registered and certified under the Marriage Act, 2014. The transplanted marriage </w:t>
      </w:r>
      <w:r w:rsidR="003F037A" w:rsidRPr="000F4352">
        <w:t>laws,</w:t>
      </w:r>
      <w:r w:rsidRPr="000F4352">
        <w:t xml:space="preserve"> therefore, have been efficiently fused into the regime, albeit through a rather lengthy process.</w:t>
      </w:r>
      <w:r w:rsidR="006D1E67">
        <w:t xml:space="preserve"> </w:t>
      </w:r>
      <w:r w:rsidR="007A294C">
        <w:t>According to the hybrid theory, t</w:t>
      </w:r>
      <w:r w:rsidR="006D1E67">
        <w:t>he evolving nature of customary laws suggests that if they were to be globalised, the legal transplantations would have no negative effects on traditional communities</w:t>
      </w:r>
      <w:r w:rsidR="007A294C">
        <w:t>.</w:t>
      </w:r>
      <w:r w:rsidRPr="000F4352">
        <w:t xml:space="preserve"> </w:t>
      </w:r>
    </w:p>
    <w:p w14:paraId="7E9E01ED" w14:textId="1186DE23" w:rsidR="00AE61A9" w:rsidRDefault="00AE61A9" w:rsidP="00AE61A9"/>
    <w:p w14:paraId="7E049A49" w14:textId="7BEC01F9" w:rsidR="00AE61A9" w:rsidRDefault="00AE61A9" w:rsidP="00AE61A9"/>
    <w:p w14:paraId="2814A7D1" w14:textId="3B76C83B" w:rsidR="00AE61A9" w:rsidRDefault="00AE61A9" w:rsidP="00AE61A9"/>
    <w:p w14:paraId="56EC47F7" w14:textId="4191A1FA" w:rsidR="00AE61A9" w:rsidRDefault="00AE61A9" w:rsidP="00AE61A9"/>
    <w:p w14:paraId="0AFFC618" w14:textId="115F4B22" w:rsidR="00AE61A9" w:rsidRDefault="00AE61A9" w:rsidP="00AE61A9"/>
    <w:p w14:paraId="0FD2049D" w14:textId="0707A36D" w:rsidR="00AE61A9" w:rsidRDefault="00AE61A9" w:rsidP="00AE61A9"/>
    <w:p w14:paraId="4B153C67" w14:textId="08BB10EA" w:rsidR="00AE61A9" w:rsidRDefault="00AE61A9" w:rsidP="00AE61A9"/>
    <w:p w14:paraId="0B849E27" w14:textId="79B3FA08" w:rsidR="00AE61A9" w:rsidRDefault="00AE61A9" w:rsidP="00AE61A9"/>
    <w:p w14:paraId="088C0A22" w14:textId="7F6D6C53" w:rsidR="00AE61A9" w:rsidRDefault="00AE61A9" w:rsidP="00AE61A9"/>
    <w:p w14:paraId="23E1B247" w14:textId="248106AA" w:rsidR="00AE61A9" w:rsidRDefault="00AE61A9" w:rsidP="00AE61A9"/>
    <w:p w14:paraId="04E97C6E" w14:textId="0C57452E" w:rsidR="00AE61A9" w:rsidRDefault="00AE61A9" w:rsidP="00AE61A9"/>
    <w:p w14:paraId="73D7F545" w14:textId="77777777" w:rsidR="00AE61A9" w:rsidRDefault="00AE61A9" w:rsidP="00AE61A9"/>
    <w:p w14:paraId="49C0FAA2" w14:textId="3F3D36DC" w:rsidR="000F4352" w:rsidRPr="000F4352" w:rsidRDefault="000F4352" w:rsidP="00E23D20">
      <w:pPr>
        <w:pStyle w:val="Heading1"/>
      </w:pPr>
      <w:bookmarkStart w:id="61" w:name="_Toc78407996"/>
      <w:r w:rsidRPr="000F4352">
        <w:lastRenderedPageBreak/>
        <w:t>CHAPTER 5: CONCLUSION AND RECOMMENDATIONS</w:t>
      </w:r>
      <w:bookmarkEnd w:id="61"/>
    </w:p>
    <w:p w14:paraId="2D2080FB" w14:textId="6DA6B400" w:rsidR="00371D1E" w:rsidRPr="00371D1E" w:rsidRDefault="00371D1E" w:rsidP="00371D1E">
      <w:pPr>
        <w:pStyle w:val="Heading2"/>
        <w:rPr>
          <w:sz w:val="24"/>
          <w:szCs w:val="24"/>
        </w:rPr>
      </w:pPr>
      <w:bookmarkStart w:id="62" w:name="_Toc78407997"/>
      <w:r>
        <w:t>5.1 CONCLUSION</w:t>
      </w:r>
      <w:bookmarkEnd w:id="62"/>
    </w:p>
    <w:p w14:paraId="0B5BF970" w14:textId="39167202" w:rsidR="000F4352" w:rsidRPr="000F4352" w:rsidRDefault="000F4352" w:rsidP="000F4352">
      <w:r w:rsidRPr="000F4352">
        <w:t>Before 2010, courts regarded customary law as inferior to statutory law. This is evident from provisions such as Section 2 of the Magistrates Court Act and Section 3(2) of the Judicature Act, which restricted the application of customary law. The fact that customary law has to be proven in court because it is uncodified is also another indication of its inferior complex. Unlike statutory laws which have notoriety, only few customary laws have been codified</w:t>
      </w:r>
      <w:r w:rsidRPr="000F4352">
        <w:rPr>
          <w:vertAlign w:val="superscript"/>
        </w:rPr>
        <w:footnoteReference w:id="96"/>
      </w:r>
      <w:r w:rsidRPr="000F4352">
        <w:t>. The 2010 Constitution provides a new surge of hope to communities who can now use traditional dispute resolution mechanisms that lie in the centre of their customs and believes. The courts have also proved that African customary law works alongside municipal law in cases such as the Mohammed case, cited above.</w:t>
      </w:r>
    </w:p>
    <w:p w14:paraId="627CF655" w14:textId="77777777" w:rsidR="000F4352" w:rsidRPr="000F4352" w:rsidRDefault="000F4352" w:rsidP="000F4352">
      <w:r w:rsidRPr="000F4352">
        <w:t>There is no doubt that Kenya is a pluralist state, with the laws allowing the application of customary laws in certain areas. The effect of the transplantation of the English legal system on Kenyans however, is still a great influence on the legal system. The law does not seem to be autochthonous as it borrows much of its content from other legal systems. For instance, ‘Kenya’s constitution has mirrored many of the provisions of the South African constitution, especially those under its Bill of Rights and the chapters on spheres of government and public administration’</w:t>
      </w:r>
      <w:r w:rsidRPr="000F4352">
        <w:rPr>
          <w:vertAlign w:val="superscript"/>
        </w:rPr>
        <w:footnoteReference w:id="97"/>
      </w:r>
      <w:r w:rsidRPr="000F4352">
        <w:t xml:space="preserve">. </w:t>
      </w:r>
      <w:r w:rsidRPr="005275CF">
        <w:t>The progress of theoretically including African customary law, as well as practically applying it, is commendable</w:t>
      </w:r>
      <w:r w:rsidRPr="000F4352">
        <w:t>.</w:t>
      </w:r>
    </w:p>
    <w:p w14:paraId="6F030101" w14:textId="7ADFC303" w:rsidR="000F4352" w:rsidRPr="000F4352" w:rsidRDefault="000F4352" w:rsidP="000F4352">
      <w:r w:rsidRPr="000F4352">
        <w:t>African customary law plays a large role in the history of Kenyans. The Kenyan legal system has indeed progressed by allowing the traditional customs to be applied, however, the application of these traditional dispute resolution mechanisms is too limited. The constitution limits the application to instances where the traditional custom is not repugnant to any written law within the country. This puts a burden on its application and makes it dependent on the transplanted laws that are not indigenous to the society. The courts should try and increase the notoriety of African customary law because it heavily ties with our culture as Kenyans, our history and our customs and belie</w:t>
      </w:r>
      <w:r w:rsidR="000A169B">
        <w:t>f</w:t>
      </w:r>
      <w:r w:rsidRPr="000F4352">
        <w:t>s.</w:t>
      </w:r>
    </w:p>
    <w:p w14:paraId="614A734E" w14:textId="3B61C654" w:rsidR="000F4352" w:rsidRDefault="000F4352" w:rsidP="000F4352">
      <w:r w:rsidRPr="000F4352">
        <w:lastRenderedPageBreak/>
        <w:t xml:space="preserve">The hybrid theory proposes that legal borrowing should only be done where appropriate, and goes on to further list areas of law, where borrowing is allowed. These areas are those that are not closely tied with the culture of people. Borrowing in areas that are acceptable, should be done with moderation, and the borrowed laws should be adopted to fit the specific experiences of the people. Lord Denning stated that </w:t>
      </w:r>
      <w:r w:rsidR="00F611B6">
        <w:t>‘</w:t>
      </w:r>
      <w:r w:rsidRPr="000F4352">
        <w:t xml:space="preserve">people must have laws which they understand and which they will respect. He went further to explain that common law cannot </w:t>
      </w:r>
      <w:r w:rsidR="00F611B6">
        <w:t>satisfy</w:t>
      </w:r>
      <w:r w:rsidRPr="000F4352">
        <w:t xml:space="preserve"> this role except with considerable </w:t>
      </w:r>
      <w:proofErr w:type="gramStart"/>
      <w:r w:rsidRPr="000F4352">
        <w:t>qualifications</w:t>
      </w:r>
      <w:r w:rsidR="00F611B6">
        <w:t>’</w:t>
      </w:r>
      <w:proofErr w:type="gramEnd"/>
      <w:r w:rsidRPr="000F4352">
        <w:t>.</w:t>
      </w:r>
      <w:r w:rsidRPr="000F4352">
        <w:rPr>
          <w:vertAlign w:val="superscript"/>
        </w:rPr>
        <w:footnoteReference w:id="98"/>
      </w:r>
      <w:r w:rsidRPr="000F4352">
        <w:t xml:space="preserve"> This suggests that laws should be drafted to solve specific problem areas that are encountered. Lawmakers should assess the problems a society faces and make laws that solve these real problems. It is only when these laws solve the existing real problems in a society that it can be said that they are efficient in their operation.</w:t>
      </w:r>
    </w:p>
    <w:p w14:paraId="6DE37944" w14:textId="790CFA66" w:rsidR="00AE61A9" w:rsidRDefault="003F037A" w:rsidP="000F4352">
      <w:r>
        <w:t>T</w:t>
      </w:r>
      <w:r w:rsidR="00AE61A9">
        <w:t xml:space="preserve">he transplantation of marriage laws in Kenya </w:t>
      </w:r>
      <w:r>
        <w:t>was applied as a tool of domination by the British. This method of transplantation is not a desirable form of legal development as it does not consider the personal experiences of the local people, which goes against the hybrid theory. However, the Marriage Act, 2014 has contextualised these transplanted laws</w:t>
      </w:r>
      <w:r w:rsidR="00AE689E">
        <w:t>. The current provisions are suitable with the culture and traditions of communities.</w:t>
      </w:r>
    </w:p>
    <w:p w14:paraId="4E414BA9" w14:textId="5971F0A6" w:rsidR="00371D1E" w:rsidRDefault="00371D1E" w:rsidP="00371D1E">
      <w:pPr>
        <w:pStyle w:val="Heading2"/>
      </w:pPr>
      <w:bookmarkStart w:id="63" w:name="_Toc78407998"/>
      <w:r>
        <w:t>5.2 RECOMMENDATIONS</w:t>
      </w:r>
      <w:bookmarkEnd w:id="63"/>
    </w:p>
    <w:p w14:paraId="4D62BFCF" w14:textId="6F4249C1" w:rsidR="00AE689E" w:rsidRPr="00AE689E" w:rsidRDefault="009A4598" w:rsidP="00AE689E">
      <w:r w:rsidRPr="003365D9">
        <w:t xml:space="preserve">The Marriage Act, 2014 and the 2010 Constitution </w:t>
      </w:r>
      <w:r w:rsidR="00732422" w:rsidRPr="003365D9">
        <w:t xml:space="preserve">have incorporated </w:t>
      </w:r>
      <w:r w:rsidRPr="003365D9">
        <w:t>the issues that were caused by transplanted laws. However, o</w:t>
      </w:r>
      <w:r w:rsidR="00AE689E" w:rsidRPr="003365D9">
        <w:t xml:space="preserve">ther areas of marriage law are still in need of development. </w:t>
      </w:r>
      <w:r w:rsidRPr="003365D9">
        <w:t xml:space="preserve">Kenya </w:t>
      </w:r>
      <w:r w:rsidRPr="005275CF">
        <w:t xml:space="preserve">should borrow a leaf from foreign marriage laws like those of the U.K that cater for </w:t>
      </w:r>
      <w:r w:rsidRPr="003365D9">
        <w:t xml:space="preserve">same sex marriages and intersex marriages. Provisions on recognition or non-recognition of such marriages should be included in the Marriage Act. </w:t>
      </w:r>
      <w:r w:rsidR="00AE689E" w:rsidRPr="003365D9">
        <w:t xml:space="preserve">These types of relationships have become quite common </w:t>
      </w:r>
      <w:r w:rsidRPr="003365D9">
        <w:t>recently,</w:t>
      </w:r>
      <w:r w:rsidR="00AE689E" w:rsidRPr="003365D9">
        <w:t xml:space="preserve"> yet the law does not recognise them. </w:t>
      </w:r>
      <w:r w:rsidRPr="003365D9">
        <w:t xml:space="preserve">Provisions on such relationships should be included in the Act as well. In Kenya, the rights and duties of parties </w:t>
      </w:r>
      <w:r w:rsidR="00B62015" w:rsidRPr="003365D9">
        <w:t xml:space="preserve">who are involved in surrogacy and in-vitro fertilisation </w:t>
      </w:r>
      <w:r w:rsidRPr="003365D9">
        <w:t xml:space="preserve">are also not provided for within the law. Seeing as technological advances are making such procedures seem more viable, legal provisions should be </w:t>
      </w:r>
      <w:r w:rsidR="00B62015" w:rsidRPr="003365D9">
        <w:t xml:space="preserve">included. The provisions on these developments should not be borrowed from other </w:t>
      </w:r>
      <w:r w:rsidR="006E432D" w:rsidRPr="003365D9">
        <w:t>countries but</w:t>
      </w:r>
      <w:r w:rsidR="00B62015" w:rsidRPr="003365D9">
        <w:t xml:space="preserve"> should be tailored to fit the needs of Kenyans.</w:t>
      </w:r>
      <w:r>
        <w:t xml:space="preserve"> </w:t>
      </w:r>
    </w:p>
    <w:p w14:paraId="40FCE430" w14:textId="7D9041AB" w:rsidR="000F4352" w:rsidRPr="000F4352" w:rsidRDefault="003365D9" w:rsidP="0019386F">
      <w:pPr>
        <w:pStyle w:val="Heading1"/>
      </w:pPr>
      <w:bookmarkStart w:id="64" w:name="_Toc78407999"/>
      <w:r>
        <w:lastRenderedPageBreak/>
        <w:t xml:space="preserve">CHAPTER 6: </w:t>
      </w:r>
      <w:r w:rsidR="0019386F">
        <w:t>BIBLIOGRAPHY</w:t>
      </w:r>
      <w:bookmarkEnd w:id="64"/>
    </w:p>
    <w:p w14:paraId="4461B140" w14:textId="1CB08ED9" w:rsidR="00A45DDC" w:rsidRDefault="006E432D" w:rsidP="006E432D">
      <w:pPr>
        <w:pStyle w:val="Heading2"/>
      </w:pPr>
      <w:bookmarkStart w:id="65" w:name="_Toc78408000"/>
      <w:r>
        <w:t>6.1 BOOKS</w:t>
      </w:r>
      <w:bookmarkEnd w:id="65"/>
    </w:p>
    <w:p w14:paraId="6D71CB28" w14:textId="68AF8537" w:rsidR="00096B52" w:rsidRDefault="00096B52" w:rsidP="006E432D">
      <w:r w:rsidRPr="00096B52">
        <w:t xml:space="preserve">Folger R, </w:t>
      </w:r>
      <w:proofErr w:type="spellStart"/>
      <w:r w:rsidRPr="00096B52">
        <w:t>Cropanzano</w:t>
      </w:r>
      <w:proofErr w:type="spellEnd"/>
      <w:r w:rsidRPr="00096B52">
        <w:t xml:space="preserve"> R, Goldman B, ‘What is the relationship between justice and morality?’ in </w:t>
      </w:r>
      <w:proofErr w:type="spellStart"/>
      <w:r w:rsidRPr="00096B52">
        <w:t>Grenberg</w:t>
      </w:r>
      <w:proofErr w:type="spellEnd"/>
      <w:r w:rsidRPr="00096B52">
        <w:t xml:space="preserve"> J and Colquitt J (ed), 1</w:t>
      </w:r>
      <w:r w:rsidRPr="00096B52">
        <w:rPr>
          <w:vertAlign w:val="superscript"/>
        </w:rPr>
        <w:t>st</w:t>
      </w:r>
      <w:r w:rsidRPr="00096B52">
        <w:t xml:space="preserve"> ed, </w:t>
      </w:r>
      <w:r w:rsidRPr="00096B52">
        <w:rPr>
          <w:i/>
          <w:iCs/>
        </w:rPr>
        <w:t>Handbook of organisational justice</w:t>
      </w:r>
      <w:r w:rsidRPr="00096B52">
        <w:t>, Lawrence Erlbaum Associates Publishers, 2005, 216.</w:t>
      </w:r>
    </w:p>
    <w:p w14:paraId="5EFD0650" w14:textId="191FA10A" w:rsidR="006E432D" w:rsidRDefault="006E432D" w:rsidP="006E432D">
      <w:r w:rsidRPr="006E432D">
        <w:t>Watson A, ‘Legal transplants: An approach to comparative law’, University of Georgia Press 1974, 2nd edition</w:t>
      </w:r>
      <w:r w:rsidR="00E16234">
        <w:t>.</w:t>
      </w:r>
    </w:p>
    <w:p w14:paraId="18C3B77D" w14:textId="4053DB5D" w:rsidR="00E16234" w:rsidRDefault="00E16234" w:rsidP="00E16234">
      <w:pPr>
        <w:pStyle w:val="Heading2"/>
      </w:pPr>
      <w:bookmarkStart w:id="66" w:name="_Toc78408001"/>
      <w:r>
        <w:t>6.2 CHAPTERS IN BOOKS</w:t>
      </w:r>
      <w:bookmarkEnd w:id="66"/>
    </w:p>
    <w:p w14:paraId="2BDD3868" w14:textId="5855C3D2" w:rsidR="00E04601" w:rsidRDefault="00E04601" w:rsidP="00E04601">
      <w:r w:rsidRPr="006E432D">
        <w:t xml:space="preserve">Cottrell J and </w:t>
      </w:r>
      <w:proofErr w:type="spellStart"/>
      <w:r w:rsidRPr="006E432D">
        <w:t>Ghai</w:t>
      </w:r>
      <w:proofErr w:type="spellEnd"/>
      <w:r w:rsidRPr="006E432D">
        <w:t xml:space="preserve"> Y, ‘The Contribution of the South African Constitution to Kenya's Constitution’ in Rosalind Dixon &amp; </w:t>
      </w:r>
      <w:proofErr w:type="spellStart"/>
      <w:r w:rsidRPr="006E432D">
        <w:t>Theunis</w:t>
      </w:r>
      <w:proofErr w:type="spellEnd"/>
      <w:r w:rsidRPr="006E432D">
        <w:t xml:space="preserve"> Roux (ed.), </w:t>
      </w:r>
      <w:hyperlink r:id="rId25" w:history="1">
        <w:r w:rsidRPr="00E04601">
          <w:rPr>
            <w:rStyle w:val="Hyperlink"/>
            <w:i/>
            <w:iCs/>
            <w:color w:val="000000" w:themeColor="text1"/>
            <w:u w:val="none"/>
          </w:rPr>
          <w:t>Constitutional Triumphs, Constitutional Disappointments : A Critical Assessment of the 1996 South African Constitution's Local and International Influence,</w:t>
        </w:r>
      </w:hyperlink>
      <w:r w:rsidRPr="00E04601">
        <w:rPr>
          <w:i/>
          <w:iCs/>
          <w:color w:val="000000" w:themeColor="text1"/>
        </w:rPr>
        <w:t> </w:t>
      </w:r>
      <w:r w:rsidRPr="006E432D">
        <w:t>Cambridge University Press, March 2018, 252.</w:t>
      </w:r>
    </w:p>
    <w:p w14:paraId="6D464393" w14:textId="11DAA759" w:rsidR="003365D9" w:rsidRPr="00E04601" w:rsidRDefault="003365D9" w:rsidP="00E04601">
      <w:r w:rsidRPr="003365D9">
        <w:t xml:space="preserve">Gachenga E, ‘Gender dimensions of customary water resource governance: Marakwet case study’, </w:t>
      </w:r>
      <w:proofErr w:type="spellStart"/>
      <w:r w:rsidRPr="003365D9">
        <w:t>Hellum</w:t>
      </w:r>
      <w:proofErr w:type="spellEnd"/>
      <w:r w:rsidRPr="003365D9">
        <w:t xml:space="preserve"> A, </w:t>
      </w:r>
      <w:proofErr w:type="spellStart"/>
      <w:r w:rsidRPr="003365D9">
        <w:t>Kameri-Mbote</w:t>
      </w:r>
      <w:proofErr w:type="spellEnd"/>
      <w:r w:rsidRPr="003365D9">
        <w:t xml:space="preserve"> P, and </w:t>
      </w:r>
      <w:proofErr w:type="spellStart"/>
      <w:r w:rsidRPr="003365D9">
        <w:t>Koppen</w:t>
      </w:r>
      <w:proofErr w:type="spellEnd"/>
      <w:r w:rsidRPr="003365D9">
        <w:t xml:space="preserve"> B (eds) in </w:t>
      </w:r>
      <w:r w:rsidRPr="003365D9">
        <w:rPr>
          <w:i/>
          <w:iCs/>
        </w:rPr>
        <w:t>Water is life: Women’s human rights in national and local water governance in southern and eastern Africa</w:t>
      </w:r>
      <w:r w:rsidRPr="003365D9">
        <w:t>, Weaver Press, Harare, 2015, 189.</w:t>
      </w:r>
    </w:p>
    <w:p w14:paraId="434BB9C9" w14:textId="10D57BF1" w:rsidR="00E16234" w:rsidRPr="006E432D" w:rsidRDefault="00E16234" w:rsidP="00E16234">
      <w:pPr>
        <w:pStyle w:val="Heading2"/>
      </w:pPr>
      <w:bookmarkStart w:id="67" w:name="_Toc78408002"/>
      <w:r>
        <w:t>6.3 JOURNAL ARTICLE</w:t>
      </w:r>
      <w:r w:rsidR="00CC1F73">
        <w:t>S</w:t>
      </w:r>
      <w:bookmarkEnd w:id="67"/>
    </w:p>
    <w:p w14:paraId="22681250" w14:textId="78074327" w:rsidR="006E432D" w:rsidRPr="006E432D" w:rsidRDefault="00E16234" w:rsidP="00E16234">
      <w:r w:rsidRPr="00E16234">
        <w:t xml:space="preserve">Abdo M and </w:t>
      </w:r>
      <w:proofErr w:type="spellStart"/>
      <w:r w:rsidRPr="00E16234">
        <w:t>Abegaz</w:t>
      </w:r>
      <w:proofErr w:type="spellEnd"/>
      <w:r w:rsidRPr="00E16234">
        <w:t xml:space="preserve"> G, ‘Legal transplantation’, Abyssinia Law, 23 March 2012.</w:t>
      </w:r>
    </w:p>
    <w:p w14:paraId="70A94FD3" w14:textId="506CDCD8" w:rsidR="006E432D" w:rsidRDefault="006E432D" w:rsidP="006E432D">
      <w:r w:rsidRPr="006E432D">
        <w:t xml:space="preserve">Bennett T W, </w:t>
      </w:r>
      <w:r w:rsidRPr="00E04601">
        <w:rPr>
          <w:iCs/>
        </w:rPr>
        <w:t>‘Comparative law and African Customary Law’</w:t>
      </w:r>
      <w:r w:rsidRPr="006E432D">
        <w:rPr>
          <w:i/>
        </w:rPr>
        <w:t xml:space="preserve">, </w:t>
      </w:r>
      <w:r w:rsidRPr="006E432D">
        <w:t>Oxford handbook of comparative law, 2006, abstract and keywords.</w:t>
      </w:r>
    </w:p>
    <w:p w14:paraId="7B6133E4" w14:textId="74A75342" w:rsidR="00096B52" w:rsidRPr="006E432D" w:rsidRDefault="00096B52" w:rsidP="006E432D">
      <w:r w:rsidRPr="00096B52">
        <w:t xml:space="preserve">Cairns J, ‘Watson, Walton, and the history of legal transplants’, </w:t>
      </w:r>
      <w:proofErr w:type="spellStart"/>
      <w:r w:rsidRPr="00096B52">
        <w:t>Digitalcommons.law</w:t>
      </w:r>
      <w:proofErr w:type="spellEnd"/>
      <w:r w:rsidRPr="00096B52">
        <w:t>, 640.</w:t>
      </w:r>
    </w:p>
    <w:p w14:paraId="6FD900DE" w14:textId="21043B07" w:rsidR="006E432D" w:rsidRDefault="006E432D" w:rsidP="006E432D">
      <w:r w:rsidRPr="006E432D">
        <w:t xml:space="preserve">Cardozo B, </w:t>
      </w:r>
      <w:r w:rsidR="00E04601">
        <w:t>‘</w:t>
      </w:r>
      <w:r w:rsidRPr="00E04601">
        <w:t>The growth of the law</w:t>
      </w:r>
      <w:r w:rsidR="00E04601">
        <w:t>’</w:t>
      </w:r>
      <w:r w:rsidRPr="006E432D">
        <w:t>, Yale University Press, New Haven, 1924, 52.</w:t>
      </w:r>
    </w:p>
    <w:p w14:paraId="2AFDE7CB" w14:textId="006B69F8" w:rsidR="00E04601" w:rsidRDefault="00E04601" w:rsidP="00E04601">
      <w:r w:rsidRPr="00E04601">
        <w:t xml:space="preserve">Cotran E, ‘The development and reform of the law in Kenya’, 27 Journal of African Law, School of Oriental and African Studies, 43. </w:t>
      </w:r>
    </w:p>
    <w:p w14:paraId="33CCFC94" w14:textId="31A648EA" w:rsidR="00096B52" w:rsidRDefault="00096B52" w:rsidP="00E04601">
      <w:r w:rsidRPr="00096B52">
        <w:t xml:space="preserve">Cotran E, ‘Marriage, divorce and succession laws in Kenya: Is integration or unification possible?’ 40 Journal of African Law 2, Liber </w:t>
      </w:r>
      <w:proofErr w:type="spellStart"/>
      <w:r w:rsidRPr="00096B52">
        <w:t>Amicorum</w:t>
      </w:r>
      <w:proofErr w:type="spellEnd"/>
      <w:r w:rsidRPr="00096B52">
        <w:t xml:space="preserve"> for Professor James S. Reed, 1996, 196.</w:t>
      </w:r>
    </w:p>
    <w:p w14:paraId="69B2166F" w14:textId="77777777" w:rsidR="00E04601" w:rsidRPr="00E04601" w:rsidRDefault="00E04601" w:rsidP="00E04601">
      <w:proofErr w:type="spellStart"/>
      <w:r w:rsidRPr="00E04601">
        <w:lastRenderedPageBreak/>
        <w:t>Diala</w:t>
      </w:r>
      <w:proofErr w:type="spellEnd"/>
      <w:r w:rsidRPr="00E04601">
        <w:t xml:space="preserve"> A and </w:t>
      </w:r>
      <w:proofErr w:type="spellStart"/>
      <w:r w:rsidRPr="00E04601">
        <w:t>Kangwa</w:t>
      </w:r>
      <w:proofErr w:type="spellEnd"/>
      <w:r w:rsidRPr="00E04601">
        <w:t xml:space="preserve"> B, ‘Rethinking the interface between customary law and constitutionalism in sub-Saharan Africa’ De Jure Law Journal, 2019, 206.</w:t>
      </w:r>
    </w:p>
    <w:p w14:paraId="3A595203" w14:textId="77A10F29" w:rsidR="00E04601" w:rsidRDefault="00E04601" w:rsidP="006E432D">
      <w:proofErr w:type="spellStart"/>
      <w:r w:rsidRPr="00E04601">
        <w:t>Gadaffi</w:t>
      </w:r>
      <w:proofErr w:type="spellEnd"/>
      <w:r w:rsidRPr="00E04601">
        <w:t xml:space="preserve"> Y and Tatu M, ‘Derivation action under the Companies Act 2015: New jurisprudence or mere codification of common law principles?’ 2(1) Strathmore Law Journal, 2016, 76.</w:t>
      </w:r>
    </w:p>
    <w:p w14:paraId="78CF8270" w14:textId="3A4C27BC" w:rsidR="00E04601" w:rsidRDefault="00096B52" w:rsidP="006E432D">
      <w:r w:rsidRPr="00096B52">
        <w:t>Gaitán M, ‘The challenges of legal transplants in a globalized context: A case study on ‘working’ examples’, University of Warwick, Dissertation, October 2014, 8.</w:t>
      </w:r>
    </w:p>
    <w:p w14:paraId="169D394E" w14:textId="594F8314" w:rsidR="00CC1F73" w:rsidRDefault="00CC1F73" w:rsidP="006E432D">
      <w:r w:rsidRPr="00CC1F73">
        <w:t>Harrell S and Dickey S, ‘Dowry systems in complex societies’, 24 Ethnology 2, University of Pittsburgh - Of the Commonwealth System of Higher Education, 1985, 105.</w:t>
      </w:r>
    </w:p>
    <w:p w14:paraId="3712817F" w14:textId="77777777" w:rsidR="00096B52" w:rsidRPr="00096B52" w:rsidRDefault="00096B52" w:rsidP="00096B52">
      <w:proofErr w:type="spellStart"/>
      <w:r w:rsidRPr="00096B52">
        <w:t>Kameri-Mbote</w:t>
      </w:r>
      <w:proofErr w:type="spellEnd"/>
      <w:r w:rsidRPr="00096B52">
        <w:t xml:space="preserve"> P, ‘Gender dimensions of Law, Colonialism and Inheritance in East Africa: Kenyan women's experiences’ 35(3) Law and Politics in Africa, Asia and Latin America,</w:t>
      </w:r>
      <w:r w:rsidRPr="00096B52">
        <w:rPr>
          <w:i/>
          <w:iCs/>
        </w:rPr>
        <w:t xml:space="preserve"> </w:t>
      </w:r>
      <w:r w:rsidRPr="00096B52">
        <w:t>2002, 373.</w:t>
      </w:r>
    </w:p>
    <w:p w14:paraId="6F82AF2F" w14:textId="02155980" w:rsidR="00096B52" w:rsidRDefault="00096B52" w:rsidP="006E432D">
      <w:r w:rsidRPr="00096B52">
        <w:t xml:space="preserve">Kariuki F, </w:t>
      </w:r>
      <w:r w:rsidRPr="00096B52">
        <w:rPr>
          <w:iCs/>
        </w:rPr>
        <w:t>‘Customary law jurisprudence from Kenyan courts: Implications for traditional justice system’</w:t>
      </w:r>
      <w:r w:rsidRPr="00096B52">
        <w:t>, 8.</w:t>
      </w:r>
    </w:p>
    <w:p w14:paraId="5B6E35FA" w14:textId="64C3D151" w:rsidR="00E04601" w:rsidRDefault="00E04601" w:rsidP="00E04601">
      <w:r w:rsidRPr="00E04601">
        <w:t>Lisa Owino, ‘Application of African Customary Law: Tracing its degradation and analysing the challenges it confronts’, Strathmore Law Review, January 2016, 143.</w:t>
      </w:r>
    </w:p>
    <w:p w14:paraId="7CCD4CEF" w14:textId="77777777" w:rsidR="00096B52" w:rsidRPr="00096B52" w:rsidRDefault="00096B52" w:rsidP="00096B52">
      <w:r w:rsidRPr="00096B52">
        <w:t>Marc G, ‘Predators and parasites: lawyer-bashing and civil justice’ 28 Georgia Law Review, 680.</w:t>
      </w:r>
    </w:p>
    <w:p w14:paraId="47421007" w14:textId="6E17592D" w:rsidR="00096B52" w:rsidRPr="00E04601" w:rsidRDefault="00096B52" w:rsidP="00E04601">
      <w:r w:rsidRPr="00096B52">
        <w:t>Martin N, ‘The role of history and culture in developing bankruptcy and insolvency systems: The perils of legal transplantation’ 28 Boston College International and Comparative Law Review 1, 2.</w:t>
      </w:r>
    </w:p>
    <w:p w14:paraId="2E1997BB" w14:textId="783A41DB" w:rsidR="00E04601" w:rsidRDefault="00E04601" w:rsidP="00E04601">
      <w:r w:rsidRPr="00E04601">
        <w:t>Malik A, ‘Customary law in a modern Kenya’, The platform for law, justice and society, Nairobi, 11 April 2017, para. 3.</w:t>
      </w:r>
    </w:p>
    <w:p w14:paraId="6DFD5C53" w14:textId="1EFEE8D3" w:rsidR="00096B52" w:rsidRDefault="00096B52" w:rsidP="00E04601">
      <w:r w:rsidRPr="00096B52">
        <w:t xml:space="preserve">Nelson H, ‘The law and the lady: Consent and marriage in nineteenth-century British literature’ published Doctor of Philosophy Thesis, Purdue University, Indiana, 2015, 2.  </w:t>
      </w:r>
    </w:p>
    <w:p w14:paraId="7107F6F0" w14:textId="4D7B03FC" w:rsidR="00096B52" w:rsidRPr="00E04601" w:rsidRDefault="00096B52" w:rsidP="00E04601">
      <w:proofErr w:type="spellStart"/>
      <w:r w:rsidRPr="00096B52">
        <w:t>Ojwang</w:t>
      </w:r>
      <w:proofErr w:type="spellEnd"/>
      <w:r w:rsidRPr="00096B52">
        <w:t xml:space="preserve"> J.B. ‘Constitutional trends in Africa: The Kenya case symposium: Africa in the third millennium: Legal challenges and prospects’, 10(1) Transnational Law and Contemporary Problems, 519.</w:t>
      </w:r>
    </w:p>
    <w:p w14:paraId="26DEA798" w14:textId="4F2BAD55" w:rsidR="00E04601" w:rsidRDefault="00E04601" w:rsidP="00E04601">
      <w:r w:rsidRPr="00E04601">
        <w:t>Okoth-</w:t>
      </w:r>
      <w:proofErr w:type="spellStart"/>
      <w:r w:rsidRPr="00E04601">
        <w:t>Ogendo</w:t>
      </w:r>
      <w:proofErr w:type="spellEnd"/>
      <w:r w:rsidRPr="00E04601">
        <w:t xml:space="preserve"> HWO, ‘The tragic African commons: A century of expropriation, suppression and subversion,’ 1 University of Nairobi Law Journal, 2003, 110</w:t>
      </w:r>
    </w:p>
    <w:p w14:paraId="23E97A6E" w14:textId="08174511" w:rsidR="00E04601" w:rsidRPr="006E432D" w:rsidRDefault="00E04601" w:rsidP="006E432D">
      <w:r w:rsidRPr="00E04601">
        <w:lastRenderedPageBreak/>
        <w:t>Otto Kahn-Freund, ‘On uses and misuses of comparative law’, 37(1) Model Law Review, 1974, 16.</w:t>
      </w:r>
    </w:p>
    <w:p w14:paraId="73032886" w14:textId="37C46F47" w:rsidR="006E432D" w:rsidRDefault="006E432D" w:rsidP="006E432D">
      <w:proofErr w:type="spellStart"/>
      <w:r w:rsidRPr="006E432D">
        <w:t>Saguy</w:t>
      </w:r>
      <w:proofErr w:type="spellEnd"/>
      <w:r w:rsidRPr="006E432D">
        <w:t xml:space="preserve"> A and Stuart F, ‘Culture and Law: Beyond a paradigm of cause and effect’, 619 The Annals of the American Academy of Political and Social Science 2008, Sage Publications, 149.</w:t>
      </w:r>
    </w:p>
    <w:p w14:paraId="05EDD01D" w14:textId="6FAB43F4" w:rsidR="00E04601" w:rsidRPr="006E432D" w:rsidRDefault="00E04601" w:rsidP="006E432D">
      <w:r w:rsidRPr="00E04601">
        <w:t>Tylor E, ‘</w:t>
      </w:r>
      <w:r w:rsidRPr="00E04601">
        <w:rPr>
          <w:iCs/>
        </w:rPr>
        <w:t>Primitive culture: Research into the development of mythology, philosophy, religion, art and custom’</w:t>
      </w:r>
      <w:r w:rsidRPr="00E04601">
        <w:t>, London: John Murray, 1871, 1.</w:t>
      </w:r>
    </w:p>
    <w:p w14:paraId="59EB1350" w14:textId="737CED6B" w:rsidR="006E432D" w:rsidRPr="006E432D" w:rsidRDefault="006E432D" w:rsidP="006E432D">
      <w:r w:rsidRPr="006E432D">
        <w:t>Varner I and Varner K, ‘The relationship between culture and legal systems and the impact on intercultural business communication’ 3 Global Advances in Business and Communications Conference &amp; Journal 1, 1.</w:t>
      </w:r>
    </w:p>
    <w:p w14:paraId="3897B0EA" w14:textId="2573D765" w:rsidR="00096B52" w:rsidRPr="006E432D" w:rsidRDefault="006E432D" w:rsidP="006E432D">
      <w:r w:rsidRPr="006E432D">
        <w:t xml:space="preserve">Watson A, </w:t>
      </w:r>
      <w:r w:rsidR="00E04601">
        <w:t>‘</w:t>
      </w:r>
      <w:r w:rsidRPr="006E432D">
        <w:t>Legal transplants: An Approach to Comparative Law</w:t>
      </w:r>
      <w:r w:rsidR="00E04601">
        <w:t>’</w:t>
      </w:r>
      <w:r w:rsidRPr="006E432D">
        <w:t xml:space="preserve">, University of Georgia Press, Edinburgh, 1974, </w:t>
      </w:r>
      <w:r w:rsidR="00096B52">
        <w:t>56.</w:t>
      </w:r>
    </w:p>
    <w:p w14:paraId="04628F11" w14:textId="35E1239A" w:rsidR="006E432D" w:rsidRPr="006E432D" w:rsidRDefault="006E432D" w:rsidP="006E432D">
      <w:proofErr w:type="spellStart"/>
      <w:r w:rsidRPr="006E432D">
        <w:t>Zongling</w:t>
      </w:r>
      <w:proofErr w:type="spellEnd"/>
      <w:r w:rsidRPr="006E432D">
        <w:t xml:space="preserve"> S, ‘Legal transplant and comparative law’, 51(4) Revue Internationale De Droit </w:t>
      </w:r>
      <w:proofErr w:type="spellStart"/>
      <w:r w:rsidRPr="006E432D">
        <w:t>Comparé</w:t>
      </w:r>
      <w:proofErr w:type="spellEnd"/>
      <w:r w:rsidRPr="006E432D">
        <w:t>, 1999, 853.</w:t>
      </w:r>
      <w:r w:rsidRPr="006E432D">
        <w:tab/>
      </w:r>
    </w:p>
    <w:p w14:paraId="50A79D6F" w14:textId="5EB8ED09" w:rsidR="00E16234" w:rsidRPr="00E16234" w:rsidRDefault="00E16234" w:rsidP="00E16234">
      <w:pPr>
        <w:pStyle w:val="Heading2"/>
      </w:pPr>
      <w:bookmarkStart w:id="68" w:name="_Toc78408003"/>
      <w:r w:rsidRPr="00E16234">
        <w:t>6.4 ONLINE RESOURCES</w:t>
      </w:r>
      <w:bookmarkEnd w:id="68"/>
    </w:p>
    <w:p w14:paraId="2C1488F8" w14:textId="77777777" w:rsidR="00CC1F73" w:rsidRPr="00CC1F73" w:rsidRDefault="00CC1F73" w:rsidP="00CC1F73">
      <w:proofErr w:type="spellStart"/>
      <w:r w:rsidRPr="00CC1F73">
        <w:t>Atika</w:t>
      </w:r>
      <w:proofErr w:type="spellEnd"/>
      <w:r w:rsidRPr="00CC1F73">
        <w:t xml:space="preserve"> School, ‘Importance of paying dowry in traditional African societies’, 15 August 2019 -&lt; </w:t>
      </w:r>
      <w:hyperlink r:id="rId26" w:history="1">
        <w:r w:rsidRPr="00CC1F73">
          <w:rPr>
            <w:rStyle w:val="Hyperlink"/>
          </w:rPr>
          <w:t>https://www.atikaschool.org/cre-questions-and-answers/importance-of-paying-dowry-in-traditional-african-society</w:t>
        </w:r>
      </w:hyperlink>
      <w:r w:rsidRPr="00CC1F73">
        <w:t>&gt; on 20 December 2020.</w:t>
      </w:r>
    </w:p>
    <w:p w14:paraId="2AD7589A" w14:textId="5ED01ABC" w:rsidR="00CC1F73" w:rsidRDefault="00CC1F73" w:rsidP="00CC1F73">
      <w:bookmarkStart w:id="69" w:name="_Hlk64331213"/>
      <w:r w:rsidRPr="00CC1F73">
        <w:t>Cornell International Journal Online, ‘</w:t>
      </w:r>
      <w:r w:rsidRPr="00CC1F73">
        <w:rPr>
          <w:iCs/>
        </w:rPr>
        <w:t>International law in South Africa and Kenya’</w:t>
      </w:r>
      <w:r w:rsidRPr="00CC1F73">
        <w:rPr>
          <w:i/>
        </w:rPr>
        <w:t>,</w:t>
      </w:r>
      <w:r w:rsidRPr="00CC1F73">
        <w:t xml:space="preserve"> 9 December 2013 -&lt; </w:t>
      </w:r>
      <w:hyperlink r:id="rId27" w:history="1">
        <w:r w:rsidRPr="00CC1F73">
          <w:rPr>
            <w:rStyle w:val="Hyperlink"/>
          </w:rPr>
          <w:t>http://cornellilj.org/international-law-in-south-africa-and-kenya/</w:t>
        </w:r>
      </w:hyperlink>
      <w:r w:rsidRPr="00CC1F73">
        <w:t>&gt; on 24 September 20</w:t>
      </w:r>
      <w:bookmarkEnd w:id="69"/>
      <w:r w:rsidRPr="00CC1F73">
        <w:t>20.</w:t>
      </w:r>
    </w:p>
    <w:p w14:paraId="709E82D9" w14:textId="1A0BE762" w:rsidR="00CC1F73" w:rsidRPr="00CC1F73" w:rsidRDefault="00CC1F73" w:rsidP="00CC1F73">
      <w:r w:rsidRPr="00CC1F73">
        <w:t>Everitt L, ‘Ten key moments in the history of marriage’, BBC News Magazine, 14 March 2012 &lt;</w:t>
      </w:r>
      <w:hyperlink r:id="rId28" w:anchor=":~:text=The%20Marriage%20Act%20of%201836,cities%20across%20England%20and%20Wales.&amp;text=Apart%20from%20a%20brief%20period,the%20couples%20weren't%20members" w:history="1">
        <w:r w:rsidRPr="00CC1F73">
          <w:rPr>
            <w:rStyle w:val="Hyperlink"/>
          </w:rPr>
          <w:t>https://www.bbc.com/news/magazine 17351133#:~:text=The%20Marriage%20Act%20of%201836,cities%20across%20England%20and%20Wales.&amp;text=Apart%20from%20a%20brief%20period,the%20couples%20weren't%20members</w:t>
        </w:r>
      </w:hyperlink>
    </w:p>
    <w:p w14:paraId="4E16BFC0" w14:textId="162A2D37" w:rsidR="00096B52" w:rsidRDefault="00096B52" w:rsidP="00E04601">
      <w:r>
        <w:t>&lt;</w:t>
      </w:r>
      <w:hyperlink r:id="rId29" w:history="1">
        <w:r w:rsidRPr="00E04601">
          <w:rPr>
            <w:rStyle w:val="Hyperlink"/>
          </w:rPr>
          <w:t>https://www.kenyans.co.ke/news/41743-customary-marriage-registration-process-kenya</w:t>
        </w:r>
      </w:hyperlink>
      <w:r w:rsidR="00E04601" w:rsidRPr="00E04601">
        <w:t>&gt; on 5 September 2020.</w:t>
      </w:r>
    </w:p>
    <w:p w14:paraId="6B154CED" w14:textId="6D02C049" w:rsidR="00CC1F73" w:rsidRPr="00CC1F73" w:rsidRDefault="00CC1F73" w:rsidP="00E04601">
      <w:pPr>
        <w:rPr>
          <w:vertAlign w:val="superscript"/>
        </w:rPr>
      </w:pPr>
      <w:r w:rsidRPr="00CC1F73">
        <w:lastRenderedPageBreak/>
        <w:t>Harrison J, ‘Who were the Anglo-Saxons?’ British Library, -&lt;</w:t>
      </w:r>
      <w:hyperlink r:id="rId30" w:history="1">
        <w:r w:rsidRPr="00CC1F73">
          <w:rPr>
            <w:rStyle w:val="Hyperlink"/>
          </w:rPr>
          <w:t>https://www.bl.uk/anglo-saxons/articles/who-were-the-anglo-saxons#</w:t>
        </w:r>
      </w:hyperlink>
      <w:r w:rsidRPr="00CC1F73">
        <w:t>&gt; on 20 December 2020.</w:t>
      </w:r>
    </w:p>
    <w:p w14:paraId="024F553C" w14:textId="5E696621" w:rsidR="00E04601" w:rsidRDefault="00E04601" w:rsidP="006E432D">
      <w:r w:rsidRPr="00E04601">
        <w:t>The Pacific Institute, ‘Why narcissism creates unjust cultures’, 4 June 2020 -&lt;</w:t>
      </w:r>
      <w:hyperlink r:id="rId31" w:history="1">
        <w:r w:rsidRPr="00E04601">
          <w:rPr>
            <w:rStyle w:val="Hyperlink"/>
          </w:rPr>
          <w:t>https://au.thepacificinstitute.com/blog/202006/04/why-narcissism-creates-unjust-cultures/</w:t>
        </w:r>
      </w:hyperlink>
      <w:r w:rsidRPr="00E04601">
        <w:t xml:space="preserve">&gt;. </w:t>
      </w:r>
    </w:p>
    <w:p w14:paraId="0C7FE6A5" w14:textId="45C53B5F" w:rsidR="00CC1F73" w:rsidRPr="006E432D" w:rsidRDefault="00CC1F73" w:rsidP="006E432D">
      <w:proofErr w:type="spellStart"/>
      <w:r w:rsidRPr="00CC1F73">
        <w:t>Rocketlawyer</w:t>
      </w:r>
      <w:proofErr w:type="spellEnd"/>
      <w:r w:rsidRPr="00CC1F73">
        <w:t xml:space="preserve">, ‘Getting married in the U.K legally’, -&lt; </w:t>
      </w:r>
      <w:hyperlink r:id="rId32" w:history="1">
        <w:r w:rsidRPr="00CC1F73">
          <w:rPr>
            <w:rStyle w:val="Hyperlink"/>
          </w:rPr>
          <w:t>https://www.rocketlawyer.com/gb/en/quick-guides/getting-married</w:t>
        </w:r>
      </w:hyperlink>
      <w:r w:rsidRPr="00CC1F73">
        <w:t>&gt; on 10 February 2021.</w:t>
      </w:r>
    </w:p>
    <w:p w14:paraId="0E72F348" w14:textId="0D0D8447" w:rsidR="006E432D" w:rsidRPr="006E432D" w:rsidRDefault="006E432D" w:rsidP="006E432D">
      <w:r w:rsidRPr="006E432D">
        <w:t xml:space="preserve">UK parliament, ‘The law of marriage’, -&lt; </w:t>
      </w:r>
      <w:hyperlink r:id="rId33" w:history="1">
        <w:r w:rsidRPr="006E432D">
          <w:rPr>
            <w:rStyle w:val="Hyperlink"/>
          </w:rPr>
          <w:t>https://www.parliament.uk/about/living-heritage/transformingsociety/private-lives/relationships/overview/lawofmarriage-/</w:t>
        </w:r>
      </w:hyperlink>
      <w:r w:rsidRPr="006E432D">
        <w:t xml:space="preserve">&gt; on 1 February 2021. </w:t>
      </w:r>
    </w:p>
    <w:p w14:paraId="04FC8182" w14:textId="77777777" w:rsidR="006E432D" w:rsidRPr="006E432D" w:rsidRDefault="006E432D" w:rsidP="006E432D"/>
    <w:p w14:paraId="279E5460" w14:textId="77777777" w:rsidR="006E432D" w:rsidRPr="006E432D" w:rsidRDefault="006E432D" w:rsidP="006E432D"/>
    <w:p w14:paraId="72D9C847" w14:textId="77777777" w:rsidR="00A45DDC" w:rsidRPr="00A45DDC" w:rsidRDefault="00A45DDC" w:rsidP="00A45DDC"/>
    <w:p w14:paraId="27E53871" w14:textId="77777777" w:rsidR="00A45DDC" w:rsidRPr="00A45DDC" w:rsidRDefault="00A45DDC" w:rsidP="00A45DDC"/>
    <w:p w14:paraId="1A1A60B8" w14:textId="77777777" w:rsidR="00874CB5" w:rsidRDefault="00874CB5"/>
    <w:sectPr w:rsidR="00874CB5" w:rsidSect="00E7205E">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6C7743" w14:textId="77777777" w:rsidR="00D3442C" w:rsidRDefault="00D3442C" w:rsidP="0006618D">
      <w:pPr>
        <w:spacing w:after="0" w:line="240" w:lineRule="auto"/>
      </w:pPr>
      <w:r>
        <w:separator/>
      </w:r>
    </w:p>
  </w:endnote>
  <w:endnote w:type="continuationSeparator" w:id="0">
    <w:p w14:paraId="14587AE2" w14:textId="77777777" w:rsidR="00D3442C" w:rsidRDefault="00D3442C" w:rsidP="0006618D">
      <w:pPr>
        <w:spacing w:after="0" w:line="240" w:lineRule="auto"/>
      </w:pPr>
      <w:r>
        <w:continuationSeparator/>
      </w:r>
    </w:p>
  </w:endnote>
  <w:endnote w:type="continuationNotice" w:id="1">
    <w:p w14:paraId="3506A2FC" w14:textId="77777777" w:rsidR="00D3442C" w:rsidRDefault="00D3442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3175520"/>
      <w:docPartObj>
        <w:docPartGallery w:val="Page Numbers (Bottom of Page)"/>
        <w:docPartUnique/>
      </w:docPartObj>
    </w:sdtPr>
    <w:sdtEndPr>
      <w:rPr>
        <w:noProof/>
      </w:rPr>
    </w:sdtEndPr>
    <w:sdtContent>
      <w:p w14:paraId="61B4A7BF" w14:textId="51CB44E5" w:rsidR="007A294C" w:rsidRDefault="007A294C">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D5CFF86" w14:textId="77777777" w:rsidR="007A294C" w:rsidRDefault="007A294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D20C2E" w14:textId="77777777" w:rsidR="00D3442C" w:rsidRDefault="00D3442C" w:rsidP="0006618D">
      <w:pPr>
        <w:spacing w:after="0" w:line="240" w:lineRule="auto"/>
      </w:pPr>
      <w:r>
        <w:separator/>
      </w:r>
    </w:p>
  </w:footnote>
  <w:footnote w:type="continuationSeparator" w:id="0">
    <w:p w14:paraId="4AFFD8D4" w14:textId="77777777" w:rsidR="00D3442C" w:rsidRDefault="00D3442C" w:rsidP="0006618D">
      <w:pPr>
        <w:spacing w:after="0" w:line="240" w:lineRule="auto"/>
      </w:pPr>
      <w:r>
        <w:continuationSeparator/>
      </w:r>
    </w:p>
  </w:footnote>
  <w:footnote w:type="continuationNotice" w:id="1">
    <w:p w14:paraId="057D94C3" w14:textId="77777777" w:rsidR="00D3442C" w:rsidRDefault="00D3442C">
      <w:pPr>
        <w:spacing w:after="0" w:line="240" w:lineRule="auto"/>
      </w:pPr>
    </w:p>
  </w:footnote>
  <w:footnote w:id="2">
    <w:p w14:paraId="7BE964A5" w14:textId="77777777" w:rsidR="007A294C" w:rsidRPr="00774CAA" w:rsidRDefault="007A294C" w:rsidP="0006618D">
      <w:pPr>
        <w:pStyle w:val="FootnoteText"/>
      </w:pPr>
      <w:r w:rsidRPr="00774CAA">
        <w:rPr>
          <w:rStyle w:val="FootnoteReference"/>
        </w:rPr>
        <w:footnoteRef/>
      </w:r>
      <w:r w:rsidRPr="00774CAA">
        <w:t xml:space="preserve"> Abdo M and Abegaz G, ‘Legal transplantation’, Abyssinia Law, 23 March 2012.</w:t>
      </w:r>
    </w:p>
  </w:footnote>
  <w:footnote w:id="3">
    <w:p w14:paraId="43C7127D" w14:textId="77777777" w:rsidR="007A294C" w:rsidRPr="00774CAA" w:rsidRDefault="007A294C" w:rsidP="0006618D">
      <w:pPr>
        <w:pStyle w:val="FootnoteText"/>
      </w:pPr>
      <w:r w:rsidRPr="00774CAA">
        <w:rPr>
          <w:rStyle w:val="FootnoteReference"/>
        </w:rPr>
        <w:footnoteRef/>
      </w:r>
      <w:r w:rsidRPr="00774CAA">
        <w:t xml:space="preserve"> </w:t>
      </w:r>
      <w:bookmarkStart w:id="10" w:name="_Hlk36116799"/>
      <w:r w:rsidRPr="00774CAA">
        <w:t xml:space="preserve">Abdo M and </w:t>
      </w:r>
      <w:r w:rsidRPr="00774CAA">
        <w:t>Abegaz G, ‘Legal transplantation’, Abyssinia Law, 23 March 2012.</w:t>
      </w:r>
      <w:bookmarkEnd w:id="10"/>
    </w:p>
  </w:footnote>
  <w:footnote w:id="4">
    <w:p w14:paraId="471D2BB0" w14:textId="3C4C8283" w:rsidR="007A294C" w:rsidRPr="00774CAA" w:rsidRDefault="007A294C" w:rsidP="0006618D">
      <w:pPr>
        <w:pStyle w:val="FootnoteText"/>
      </w:pPr>
      <w:r w:rsidRPr="00774CAA">
        <w:rPr>
          <w:rStyle w:val="FootnoteReference"/>
        </w:rPr>
        <w:footnoteRef/>
      </w:r>
      <w:r w:rsidRPr="00774CAA">
        <w:t xml:space="preserve"> </w:t>
      </w:r>
      <w:bookmarkStart w:id="11" w:name="_Hlk36116999"/>
      <w:bookmarkStart w:id="12" w:name="_Hlk36113878"/>
      <w:r w:rsidRPr="00774CAA">
        <w:t>Lisa Owino, ‘Application of African Customary Law: Tracing its degradation and analysing the challenges it confronts’, Strathmore Law Review, January 2016</w:t>
      </w:r>
      <w:bookmarkEnd w:id="11"/>
      <w:r w:rsidRPr="00774CAA">
        <w:t>, 143.</w:t>
      </w:r>
      <w:bookmarkEnd w:id="12"/>
    </w:p>
  </w:footnote>
  <w:footnote w:id="5">
    <w:p w14:paraId="4521D674" w14:textId="77777777" w:rsidR="007A294C" w:rsidRPr="00774CAA" w:rsidRDefault="007A294C" w:rsidP="0006618D">
      <w:pPr>
        <w:pStyle w:val="FootnoteText"/>
      </w:pPr>
      <w:r w:rsidRPr="00774CAA">
        <w:rPr>
          <w:rStyle w:val="FootnoteReference"/>
        </w:rPr>
        <w:footnoteRef/>
      </w:r>
      <w:r w:rsidRPr="00774CAA">
        <w:t xml:space="preserve"> Lisa Owino, ‘Application of African Customary Law: Tracing its degradation and analysing the challenges it confronts’, Strathmore Law Review, January, 2016, 143.</w:t>
      </w:r>
    </w:p>
  </w:footnote>
  <w:footnote w:id="6">
    <w:p w14:paraId="3E2CFFF9" w14:textId="77777777" w:rsidR="007A294C" w:rsidRPr="00774CAA" w:rsidRDefault="007A294C" w:rsidP="0006618D">
      <w:pPr>
        <w:pStyle w:val="FootnoteText"/>
      </w:pPr>
      <w:r w:rsidRPr="00774CAA">
        <w:rPr>
          <w:rStyle w:val="FootnoteReference"/>
        </w:rPr>
        <w:footnoteRef/>
      </w:r>
      <w:r w:rsidRPr="00774CAA">
        <w:t xml:space="preserve"> Malik A, ‘Customary law in a modern Kenya’, The platform for law, justice and society, Nairobi, 11 April 2017, para. 3</w:t>
      </w:r>
      <w:r>
        <w:t>.</w:t>
      </w:r>
    </w:p>
  </w:footnote>
  <w:footnote w:id="7">
    <w:p w14:paraId="5F64D982" w14:textId="77777777" w:rsidR="007A294C" w:rsidRPr="00774CAA" w:rsidRDefault="007A294C" w:rsidP="0006618D">
      <w:pPr>
        <w:pStyle w:val="FootnoteText"/>
      </w:pPr>
      <w:r w:rsidRPr="00774CAA">
        <w:rPr>
          <w:rStyle w:val="FootnoteReference"/>
        </w:rPr>
        <w:footnoteRef/>
      </w:r>
      <w:r w:rsidRPr="00774CAA">
        <w:t xml:space="preserve"> Article 57 of the </w:t>
      </w:r>
      <w:r w:rsidRPr="00774CAA">
        <w:rPr>
          <w:i/>
          <w:iCs/>
        </w:rPr>
        <w:t>Native Courts Regulation Ordinance</w:t>
      </w:r>
      <w:r w:rsidRPr="00774CAA">
        <w:t xml:space="preserve"> applied Islamic laws to Muslims.</w:t>
      </w:r>
    </w:p>
  </w:footnote>
  <w:footnote w:id="8">
    <w:p w14:paraId="3AF93934" w14:textId="0D03AA31" w:rsidR="007A294C" w:rsidRPr="00774CAA" w:rsidRDefault="007A294C" w:rsidP="0006618D">
      <w:pPr>
        <w:pStyle w:val="FootnoteText"/>
      </w:pPr>
      <w:r w:rsidRPr="00774CAA">
        <w:rPr>
          <w:rStyle w:val="FootnoteReference"/>
        </w:rPr>
        <w:footnoteRef/>
      </w:r>
      <w:r w:rsidRPr="00774CAA">
        <w:t xml:space="preserve"> Okoth-</w:t>
      </w:r>
      <w:r w:rsidRPr="00774CAA">
        <w:t xml:space="preserve">Ogendo HWO, ‘The tragic African commons: A century of expropriation, suppression and subversion,’ </w:t>
      </w:r>
      <w:r>
        <w:t xml:space="preserve">1 </w:t>
      </w:r>
      <w:r w:rsidRPr="00774CAA">
        <w:t>University of Nairobi Law Journal</w:t>
      </w:r>
      <w:r>
        <w:t>,</w:t>
      </w:r>
      <w:r w:rsidRPr="00774CAA">
        <w:t xml:space="preserve"> 2003, 1</w:t>
      </w:r>
      <w:r>
        <w:t>10</w:t>
      </w:r>
      <w:r w:rsidRPr="00774CAA">
        <w:t>.</w:t>
      </w:r>
    </w:p>
  </w:footnote>
  <w:footnote w:id="9">
    <w:p w14:paraId="336C2AE8" w14:textId="77777777" w:rsidR="007A294C" w:rsidRPr="00774CAA" w:rsidRDefault="007A294C" w:rsidP="00E86FC5">
      <w:pPr>
        <w:pStyle w:val="FootnoteText"/>
      </w:pPr>
      <w:r>
        <w:rPr>
          <w:rStyle w:val="FootnoteReference"/>
        </w:rPr>
        <w:footnoteRef/>
      </w:r>
      <w:r>
        <w:t xml:space="preserve"> </w:t>
      </w:r>
      <w:r w:rsidRPr="00774CAA">
        <w:t>Watson A, ‘Legal transplants: An approach to comparative law’, University of Georgia Press 1974, 2nd edition.</w:t>
      </w:r>
    </w:p>
  </w:footnote>
  <w:footnote w:id="10">
    <w:p w14:paraId="25806D64" w14:textId="6F818704" w:rsidR="007A294C" w:rsidRDefault="007A294C">
      <w:pPr>
        <w:pStyle w:val="FootnoteText"/>
      </w:pPr>
      <w:r>
        <w:rPr>
          <w:rStyle w:val="FootnoteReference"/>
        </w:rPr>
        <w:footnoteRef/>
      </w:r>
      <w:r>
        <w:t xml:space="preserve"> </w:t>
      </w:r>
      <w:r w:rsidRPr="008F791B">
        <w:t xml:space="preserve">Otto Kahn-Freund, </w:t>
      </w:r>
      <w:r>
        <w:t>‘</w:t>
      </w:r>
      <w:r w:rsidRPr="008F791B">
        <w:t xml:space="preserve">On </w:t>
      </w:r>
      <w:r>
        <w:t>u</w:t>
      </w:r>
      <w:r w:rsidRPr="008F791B">
        <w:t xml:space="preserve">ses and </w:t>
      </w:r>
      <w:r>
        <w:t>m</w:t>
      </w:r>
      <w:r w:rsidRPr="008F791B">
        <w:t xml:space="preserve">isuses of </w:t>
      </w:r>
      <w:r>
        <w:t>c</w:t>
      </w:r>
      <w:r w:rsidRPr="008F791B">
        <w:t xml:space="preserve">omparative </w:t>
      </w:r>
      <w:r>
        <w:t>l</w:t>
      </w:r>
      <w:r w:rsidRPr="008F791B">
        <w:t>aw</w:t>
      </w:r>
      <w:r>
        <w:t>’</w:t>
      </w:r>
      <w:r w:rsidRPr="008F791B">
        <w:t>, 37</w:t>
      </w:r>
      <w:r>
        <w:t>(1)</w:t>
      </w:r>
      <w:r w:rsidRPr="008F791B">
        <w:t xml:space="preserve"> M</w:t>
      </w:r>
      <w:r>
        <w:t xml:space="preserve">odel Law Review, </w:t>
      </w:r>
      <w:r w:rsidRPr="008F791B">
        <w:t>1974</w:t>
      </w:r>
      <w:r>
        <w:t>, 16</w:t>
      </w:r>
      <w:r w:rsidRPr="008F791B">
        <w:t>.</w:t>
      </w:r>
    </w:p>
  </w:footnote>
  <w:footnote w:id="11">
    <w:p w14:paraId="737A2E5F" w14:textId="0F370734" w:rsidR="007A294C" w:rsidRDefault="007A294C" w:rsidP="006E0717">
      <w:pPr>
        <w:pStyle w:val="FootnoteText"/>
        <w:spacing w:line="276" w:lineRule="auto"/>
      </w:pPr>
      <w:r>
        <w:rPr>
          <w:rStyle w:val="FootnoteReference"/>
        </w:rPr>
        <w:footnoteRef/>
      </w:r>
      <w:r>
        <w:t xml:space="preserve"> Tylor E, ‘</w:t>
      </w:r>
      <w:r w:rsidRPr="00CC1F73">
        <w:rPr>
          <w:iCs/>
        </w:rPr>
        <w:t>Primitive culture: Research into the development of mythology, philosophy, religion, art and custom</w:t>
      </w:r>
      <w:r>
        <w:rPr>
          <w:iCs/>
        </w:rPr>
        <w:t>’</w:t>
      </w:r>
      <w:r>
        <w:t>, London: John Murray, 1871, 1.</w:t>
      </w:r>
    </w:p>
  </w:footnote>
  <w:footnote w:id="12">
    <w:p w14:paraId="3151DEA2" w14:textId="5F5720C9" w:rsidR="007A294C" w:rsidRDefault="007A294C" w:rsidP="006E0717">
      <w:pPr>
        <w:pStyle w:val="FootnoteText"/>
        <w:spacing w:line="276" w:lineRule="auto"/>
      </w:pPr>
      <w:r>
        <w:rPr>
          <w:rStyle w:val="FootnoteReference"/>
        </w:rPr>
        <w:footnoteRef/>
      </w:r>
      <w:r>
        <w:t xml:space="preserve"> ‘</w:t>
      </w:r>
      <w:r>
        <w:rPr>
          <w:i/>
        </w:rPr>
        <w:t xml:space="preserve">Meaning of culture’, </w:t>
      </w:r>
      <w:r>
        <w:t>Cambridge English Dictionary, -&lt;</w:t>
      </w:r>
      <w:hyperlink r:id="rId1" w:history="1">
        <w:r w:rsidRPr="0002620C">
          <w:rPr>
            <w:rStyle w:val="Hyperlink"/>
          </w:rPr>
          <w:t>http://dictionary.cambridge.org/dictionary/english/culture</w:t>
        </w:r>
      </w:hyperlink>
      <w:r>
        <w:t>&gt; on 23 September 2019.</w:t>
      </w:r>
    </w:p>
  </w:footnote>
  <w:footnote w:id="13">
    <w:p w14:paraId="2CD6CAE3" w14:textId="2CEA6074" w:rsidR="007A294C" w:rsidRDefault="007A294C" w:rsidP="006E0717">
      <w:pPr>
        <w:pStyle w:val="FootnoteText"/>
        <w:spacing w:line="276" w:lineRule="auto"/>
      </w:pPr>
      <w:r>
        <w:rPr>
          <w:rStyle w:val="FootnoteReference"/>
        </w:rPr>
        <w:footnoteRef/>
      </w:r>
      <w:r>
        <w:t xml:space="preserve"> Black’s Law Dictionary, 2</w:t>
      </w:r>
      <w:r>
        <w:rPr>
          <w:vertAlign w:val="superscript"/>
        </w:rPr>
        <w:t>nd</w:t>
      </w:r>
      <w:r>
        <w:t xml:space="preserve"> ed.</w:t>
      </w:r>
    </w:p>
  </w:footnote>
  <w:footnote w:id="14">
    <w:p w14:paraId="6FD7CDF2" w14:textId="77777777" w:rsidR="007A294C" w:rsidRDefault="007A294C" w:rsidP="00F0127A">
      <w:pPr>
        <w:pStyle w:val="FootnoteText"/>
        <w:spacing w:line="276" w:lineRule="auto"/>
      </w:pPr>
      <w:r>
        <w:rPr>
          <w:rStyle w:val="FootnoteReference"/>
        </w:rPr>
        <w:footnoteRef/>
      </w:r>
      <w:r>
        <w:t xml:space="preserve"> Bennett T W, </w:t>
      </w:r>
      <w:r>
        <w:rPr>
          <w:i/>
        </w:rPr>
        <w:t xml:space="preserve">‘Comparative law and African Customary Law’, </w:t>
      </w:r>
      <w:r>
        <w:t>Oxford handbook of comparative law, 2006, abstract and keywords.</w:t>
      </w:r>
    </w:p>
  </w:footnote>
  <w:footnote w:id="15">
    <w:p w14:paraId="6E768171" w14:textId="57993861" w:rsidR="007A294C" w:rsidRPr="0065638C" w:rsidRDefault="007A294C" w:rsidP="0065638C">
      <w:pPr>
        <w:pStyle w:val="FootnoteText"/>
      </w:pPr>
      <w:r>
        <w:rPr>
          <w:rStyle w:val="FootnoteReference"/>
        </w:rPr>
        <w:footnoteRef/>
      </w:r>
      <w:r>
        <w:t xml:space="preserve"> </w:t>
      </w:r>
      <w:bookmarkStart w:id="28" w:name="_Hlk65768635"/>
      <w:bookmarkStart w:id="29" w:name="_Hlk65743675"/>
      <w:r>
        <w:t>Gachenga E, ‘Gender dimensions of customary water resource governance: Marakwet case study’,</w:t>
      </w:r>
      <w:r w:rsidRPr="005E5C41">
        <w:rPr>
          <w:sz w:val="24"/>
          <w:szCs w:val="24"/>
        </w:rPr>
        <w:t xml:space="preserve"> </w:t>
      </w:r>
      <w:r w:rsidRPr="005E5C41">
        <w:t>Hellum</w:t>
      </w:r>
      <w:r>
        <w:t xml:space="preserve"> A</w:t>
      </w:r>
      <w:r w:rsidRPr="005E5C41">
        <w:t>, Kameri-Mbote</w:t>
      </w:r>
      <w:r>
        <w:t xml:space="preserve"> P</w:t>
      </w:r>
      <w:r w:rsidRPr="005E5C41">
        <w:t>, and Koppen</w:t>
      </w:r>
      <w:r>
        <w:t xml:space="preserve"> B (eds) in </w:t>
      </w:r>
      <w:r w:rsidRPr="0065638C">
        <w:rPr>
          <w:i/>
          <w:iCs/>
        </w:rPr>
        <w:t>Water is life</w:t>
      </w:r>
      <w:r>
        <w:rPr>
          <w:i/>
          <w:iCs/>
        </w:rPr>
        <w:t>: W</w:t>
      </w:r>
      <w:r w:rsidRPr="005E5C41">
        <w:rPr>
          <w:i/>
          <w:iCs/>
        </w:rPr>
        <w:t xml:space="preserve">omen’s human rights in national and local water governance in southern and eastern </w:t>
      </w:r>
      <w:r>
        <w:rPr>
          <w:i/>
          <w:iCs/>
        </w:rPr>
        <w:t>A</w:t>
      </w:r>
      <w:r w:rsidRPr="005E5C41">
        <w:rPr>
          <w:i/>
          <w:iCs/>
        </w:rPr>
        <w:t>frica</w:t>
      </w:r>
      <w:r>
        <w:t>, Weaver Press, Harare, 2015, 189.</w:t>
      </w:r>
      <w:bookmarkEnd w:id="28"/>
    </w:p>
    <w:bookmarkEnd w:id="29"/>
  </w:footnote>
  <w:footnote w:id="16">
    <w:p w14:paraId="4504BA45" w14:textId="4A16B374" w:rsidR="007A294C" w:rsidRDefault="007A294C" w:rsidP="00F0127A">
      <w:pPr>
        <w:pStyle w:val="FootnoteText"/>
        <w:spacing w:line="276" w:lineRule="auto"/>
      </w:pPr>
      <w:r>
        <w:rPr>
          <w:rStyle w:val="FootnoteReference"/>
        </w:rPr>
        <w:footnoteRef/>
      </w:r>
      <w:r>
        <w:t xml:space="preserve"> Section 3(2) </w:t>
      </w:r>
      <w:r>
        <w:rPr>
          <w:i/>
          <w:iCs/>
        </w:rPr>
        <w:t>Judicature Act</w:t>
      </w:r>
      <w:r>
        <w:t xml:space="preserve"> (Act No. 14 of 1977).  </w:t>
      </w:r>
    </w:p>
  </w:footnote>
  <w:footnote w:id="17">
    <w:p w14:paraId="616ABE8F" w14:textId="77777777" w:rsidR="007A294C" w:rsidRDefault="007A294C" w:rsidP="00F0127A">
      <w:pPr>
        <w:pStyle w:val="FootnoteText"/>
        <w:spacing w:line="276" w:lineRule="auto"/>
      </w:pPr>
      <w:r>
        <w:rPr>
          <w:rStyle w:val="FootnoteReference"/>
        </w:rPr>
        <w:footnoteRef/>
      </w:r>
      <w:r>
        <w:t xml:space="preserve"> Article 162, </w:t>
      </w:r>
      <w:r>
        <w:rPr>
          <w:i/>
        </w:rPr>
        <w:t xml:space="preserve">Constitution of Kenya </w:t>
      </w:r>
      <w:r>
        <w:t>(2010).</w:t>
      </w:r>
    </w:p>
  </w:footnote>
  <w:footnote w:id="18">
    <w:p w14:paraId="571D5774" w14:textId="77777777" w:rsidR="007A294C" w:rsidRDefault="007A294C" w:rsidP="00F0127A">
      <w:pPr>
        <w:pStyle w:val="FootnoteText"/>
        <w:spacing w:line="276" w:lineRule="auto"/>
      </w:pPr>
      <w:r>
        <w:rPr>
          <w:rStyle w:val="FootnoteReference"/>
        </w:rPr>
        <w:footnoteRef/>
      </w:r>
      <w:r>
        <w:t xml:space="preserve"> Article 159 (2) (c) and (3) </w:t>
      </w:r>
      <w:r>
        <w:rPr>
          <w:i/>
        </w:rPr>
        <w:t xml:space="preserve">Constitution of Kenya </w:t>
      </w:r>
      <w:r>
        <w:t>(2010).</w:t>
      </w:r>
    </w:p>
  </w:footnote>
  <w:footnote w:id="19">
    <w:p w14:paraId="1BB0DF60" w14:textId="77777777" w:rsidR="007A294C" w:rsidRDefault="007A294C" w:rsidP="00F0127A">
      <w:pPr>
        <w:pStyle w:val="FootnoteText"/>
        <w:spacing w:line="276" w:lineRule="auto"/>
      </w:pPr>
      <w:r>
        <w:rPr>
          <w:rStyle w:val="FootnoteReference"/>
        </w:rPr>
        <w:footnoteRef/>
      </w:r>
      <w:r>
        <w:t xml:space="preserve"> Article 11, </w:t>
      </w:r>
      <w:r>
        <w:rPr>
          <w:i/>
        </w:rPr>
        <w:t xml:space="preserve">Constitution of Kenya </w:t>
      </w:r>
      <w:r>
        <w:t>(2010).</w:t>
      </w:r>
    </w:p>
  </w:footnote>
  <w:footnote w:id="20">
    <w:p w14:paraId="44681D97" w14:textId="03DE6ACD" w:rsidR="007A294C" w:rsidRPr="000272CB" w:rsidRDefault="007A294C">
      <w:pPr>
        <w:pStyle w:val="FootnoteText"/>
      </w:pPr>
      <w:r>
        <w:rPr>
          <w:rStyle w:val="FootnoteReference"/>
        </w:rPr>
        <w:footnoteRef/>
      </w:r>
      <w:r>
        <w:t xml:space="preserve"> Cardozo B, ‘</w:t>
      </w:r>
      <w:r w:rsidRPr="00CC1F73">
        <w:t>The growth of the law</w:t>
      </w:r>
      <w:r>
        <w:t xml:space="preserve">’, Yale University Press, </w:t>
      </w:r>
      <w:r w:rsidRPr="000272CB">
        <w:t xml:space="preserve">New Haven, </w:t>
      </w:r>
      <w:r>
        <w:t>1924, 52.</w:t>
      </w:r>
    </w:p>
  </w:footnote>
  <w:footnote w:id="21">
    <w:p w14:paraId="061445BA" w14:textId="77777777" w:rsidR="007A294C" w:rsidRDefault="007A294C" w:rsidP="0006618D">
      <w:pPr>
        <w:pStyle w:val="FootnoteText"/>
      </w:pPr>
      <w:r>
        <w:rPr>
          <w:rStyle w:val="FootnoteReference"/>
        </w:rPr>
        <w:footnoteRef/>
      </w:r>
      <w:r>
        <w:t xml:space="preserve"> </w:t>
      </w:r>
      <w:r w:rsidRPr="00475E46">
        <w:t>Saguy A and Stuart F, ‘Culture and Law: Beyond a paradigm of cause and effect’, 619 The Annals of the American Academy of Political and Social Science 2008, Sage Publications, 149.</w:t>
      </w:r>
    </w:p>
  </w:footnote>
  <w:footnote w:id="22">
    <w:p w14:paraId="52C3AF22" w14:textId="77777777" w:rsidR="007A294C" w:rsidRPr="002A0843" w:rsidRDefault="007A294C" w:rsidP="0006618D">
      <w:pPr>
        <w:pStyle w:val="FootnoteText"/>
      </w:pPr>
      <w:r w:rsidRPr="002A0843">
        <w:rPr>
          <w:rStyle w:val="FootnoteReference"/>
        </w:rPr>
        <w:footnoteRef/>
      </w:r>
      <w:r w:rsidRPr="002A0843">
        <w:t xml:space="preserve"> </w:t>
      </w:r>
      <w:r w:rsidRPr="00AD47FD">
        <w:t xml:space="preserve">Saguy A and Stuart F, </w:t>
      </w:r>
      <w:r>
        <w:t>‘</w:t>
      </w:r>
      <w:r w:rsidRPr="00AD47FD">
        <w:t xml:space="preserve">Culture and Law: Beyond a </w:t>
      </w:r>
      <w:r>
        <w:t>p</w:t>
      </w:r>
      <w:r w:rsidRPr="00AD47FD">
        <w:t xml:space="preserve">aradigm of </w:t>
      </w:r>
      <w:r>
        <w:t>c</w:t>
      </w:r>
      <w:r w:rsidRPr="00AD47FD">
        <w:t xml:space="preserve">ause and </w:t>
      </w:r>
      <w:r>
        <w:t>e</w:t>
      </w:r>
      <w:r w:rsidRPr="00AD47FD">
        <w:t>ffect</w:t>
      </w:r>
      <w:r>
        <w:t xml:space="preserve">’, 619 </w:t>
      </w:r>
      <w:r w:rsidRPr="00AD47FD">
        <w:t>The Annals of the American Academy of Political and Social Science</w:t>
      </w:r>
      <w:r>
        <w:t xml:space="preserve"> 2008, Sage Publications, 149. </w:t>
      </w:r>
    </w:p>
  </w:footnote>
  <w:footnote w:id="23">
    <w:p w14:paraId="38229EE4" w14:textId="77777777" w:rsidR="007A294C" w:rsidRPr="00D93136" w:rsidRDefault="007A294C" w:rsidP="0006618D">
      <w:pPr>
        <w:pStyle w:val="FootnoteText"/>
      </w:pPr>
      <w:r w:rsidRPr="00D93136">
        <w:rPr>
          <w:rStyle w:val="FootnoteReference"/>
        </w:rPr>
        <w:footnoteRef/>
      </w:r>
      <w:r w:rsidRPr="00D93136">
        <w:t xml:space="preserve"> </w:t>
      </w:r>
      <w:r w:rsidRPr="00AD47FD">
        <w:t>Varner I and Varner K</w:t>
      </w:r>
      <w:r w:rsidRPr="00D93136">
        <w:t>,</w:t>
      </w:r>
      <w:r>
        <w:t xml:space="preserve"> ‘</w:t>
      </w:r>
      <w:r w:rsidRPr="00AD47FD">
        <w:t xml:space="preserve">The </w:t>
      </w:r>
      <w:r>
        <w:t>r</w:t>
      </w:r>
      <w:r w:rsidRPr="00AD47FD">
        <w:t xml:space="preserve">elationship </w:t>
      </w:r>
      <w:r>
        <w:t>b</w:t>
      </w:r>
      <w:r w:rsidRPr="00AD47FD">
        <w:t xml:space="preserve">etween </w:t>
      </w:r>
      <w:r>
        <w:t>c</w:t>
      </w:r>
      <w:r w:rsidRPr="00AD47FD">
        <w:t xml:space="preserve">ulture and </w:t>
      </w:r>
      <w:r>
        <w:t>l</w:t>
      </w:r>
      <w:r w:rsidRPr="00AD47FD">
        <w:t xml:space="preserve">egal </w:t>
      </w:r>
      <w:r>
        <w:t>s</w:t>
      </w:r>
      <w:r w:rsidRPr="00AD47FD">
        <w:t xml:space="preserve">ystems and the </w:t>
      </w:r>
      <w:r>
        <w:t>i</w:t>
      </w:r>
      <w:r w:rsidRPr="00AD47FD">
        <w:t xml:space="preserve">mpact on </w:t>
      </w:r>
      <w:r>
        <w:t>i</w:t>
      </w:r>
      <w:r w:rsidRPr="00AD47FD">
        <w:t xml:space="preserve">ntercultural </w:t>
      </w:r>
      <w:r>
        <w:t>b</w:t>
      </w:r>
      <w:r w:rsidRPr="00AD47FD">
        <w:t xml:space="preserve">usiness </w:t>
      </w:r>
      <w:r>
        <w:t>c</w:t>
      </w:r>
      <w:r w:rsidRPr="00AD47FD">
        <w:t>ommunication</w:t>
      </w:r>
      <w:r>
        <w:t xml:space="preserve">’ 3 </w:t>
      </w:r>
      <w:r w:rsidRPr="00AD47FD">
        <w:t>Global Advances in Business and Communications Conference &amp; Journal</w:t>
      </w:r>
      <w:r>
        <w:t xml:space="preserve"> 1, 1.</w:t>
      </w:r>
    </w:p>
  </w:footnote>
  <w:footnote w:id="24">
    <w:p w14:paraId="23366E1E" w14:textId="77777777" w:rsidR="007A294C" w:rsidRPr="004A3ECF" w:rsidRDefault="007A294C" w:rsidP="0006618D">
      <w:pPr>
        <w:pStyle w:val="FootnoteText"/>
        <w:spacing w:line="276" w:lineRule="auto"/>
        <w:rPr>
          <w:rFonts w:eastAsia="Calibri"/>
        </w:rPr>
      </w:pPr>
      <w:r>
        <w:rPr>
          <w:rStyle w:val="FootnoteReference"/>
        </w:rPr>
        <w:footnoteRef/>
      </w:r>
      <w:r>
        <w:t xml:space="preserve"> </w:t>
      </w:r>
      <w:r w:rsidRPr="004A3ECF">
        <w:rPr>
          <w:rFonts w:eastAsia="Calibri"/>
        </w:rPr>
        <w:t xml:space="preserve">Article </w:t>
      </w:r>
      <w:r>
        <w:rPr>
          <w:rFonts w:eastAsia="Calibri"/>
        </w:rPr>
        <w:t>27(8)</w:t>
      </w:r>
      <w:r w:rsidRPr="004A3ECF">
        <w:rPr>
          <w:rFonts w:eastAsia="Calibri"/>
        </w:rPr>
        <w:t xml:space="preserve">, </w:t>
      </w:r>
      <w:r w:rsidRPr="004A3ECF">
        <w:rPr>
          <w:rFonts w:eastAsia="Calibri"/>
          <w:i/>
        </w:rPr>
        <w:t xml:space="preserve">Constitution of Kenya </w:t>
      </w:r>
      <w:r w:rsidRPr="004A3ECF">
        <w:rPr>
          <w:rFonts w:eastAsia="Calibri"/>
        </w:rPr>
        <w:t>(2010).</w:t>
      </w:r>
    </w:p>
  </w:footnote>
  <w:footnote w:id="25">
    <w:p w14:paraId="658A931B" w14:textId="77777777" w:rsidR="007A294C" w:rsidRPr="002A796C" w:rsidRDefault="007A294C" w:rsidP="0006618D">
      <w:pPr>
        <w:pStyle w:val="FootnoteText"/>
      </w:pPr>
      <w:r>
        <w:rPr>
          <w:rStyle w:val="FootnoteReference"/>
        </w:rPr>
        <w:footnoteRef/>
      </w:r>
      <w:r>
        <w:t xml:space="preserve"> </w:t>
      </w:r>
      <w:r w:rsidRPr="002A796C">
        <w:t xml:space="preserve">Watson A, Legal transplants: An Approach to Comparative Law, University of Georgia Press, Edinburgh, 1974, </w:t>
      </w:r>
    </w:p>
  </w:footnote>
  <w:footnote w:id="26">
    <w:p w14:paraId="103A5258" w14:textId="77777777" w:rsidR="007A294C" w:rsidRPr="002A796C" w:rsidRDefault="007A294C" w:rsidP="0006618D">
      <w:pPr>
        <w:pStyle w:val="FootnoteText"/>
      </w:pPr>
      <w:r w:rsidRPr="002A796C">
        <w:rPr>
          <w:rStyle w:val="FootnoteReference"/>
        </w:rPr>
        <w:footnoteRef/>
      </w:r>
      <w:r w:rsidRPr="002A796C">
        <w:t xml:space="preserve"> Watson A, Legal transplants: An Approach to Comparative Law, Scottish Academic Press, Edinburgh, 19. </w:t>
      </w:r>
    </w:p>
  </w:footnote>
  <w:footnote w:id="27">
    <w:p w14:paraId="2875C426" w14:textId="77777777" w:rsidR="007A294C" w:rsidRPr="002A796C" w:rsidRDefault="007A294C" w:rsidP="0006618D">
      <w:pPr>
        <w:pStyle w:val="FootnoteText"/>
      </w:pPr>
      <w:r w:rsidRPr="002A796C">
        <w:rPr>
          <w:rStyle w:val="FootnoteReference"/>
        </w:rPr>
        <w:footnoteRef/>
      </w:r>
      <w:r w:rsidRPr="002A796C">
        <w:t xml:space="preserve"> Watson A, Legal transplants: An Approach to Comparative Law, Scottish Academic Press, Edinburgh, 19.</w:t>
      </w:r>
    </w:p>
  </w:footnote>
  <w:footnote w:id="28">
    <w:p w14:paraId="22AC3A41" w14:textId="77777777" w:rsidR="007A294C" w:rsidRDefault="007A294C" w:rsidP="0006618D">
      <w:pPr>
        <w:pStyle w:val="FootnoteText"/>
      </w:pPr>
      <w:r w:rsidRPr="002A796C">
        <w:rPr>
          <w:rStyle w:val="FootnoteReference"/>
        </w:rPr>
        <w:footnoteRef/>
      </w:r>
      <w:r w:rsidRPr="002A796C">
        <w:t xml:space="preserve"> Abdo M and </w:t>
      </w:r>
      <w:r w:rsidRPr="002A796C">
        <w:t>Abegaz G, ‘Legal transplantation’, Abyssinia Law, para. 17.</w:t>
      </w:r>
    </w:p>
  </w:footnote>
  <w:footnote w:id="29">
    <w:p w14:paraId="44439C44" w14:textId="77777777" w:rsidR="007A294C" w:rsidRPr="002A796C" w:rsidRDefault="007A294C" w:rsidP="0006618D">
      <w:pPr>
        <w:pStyle w:val="FootnoteText"/>
      </w:pPr>
      <w:r>
        <w:rPr>
          <w:rStyle w:val="FootnoteReference"/>
        </w:rPr>
        <w:footnoteRef/>
      </w:r>
      <w:r>
        <w:t xml:space="preserve"> </w:t>
      </w:r>
      <w:r w:rsidRPr="002A796C">
        <w:t>Gadaffi Y and Tatu M, ‘Derivation action under the Companies Act 2015: New jurisprudence or mere codification of common law principles?’ 2</w:t>
      </w:r>
      <w:r>
        <w:t>(1)</w:t>
      </w:r>
      <w:r w:rsidRPr="002A796C">
        <w:t xml:space="preserve"> Strathmore Law Journal, 2016, 76.</w:t>
      </w:r>
    </w:p>
  </w:footnote>
  <w:footnote w:id="30">
    <w:p w14:paraId="70CEAF92" w14:textId="77777777" w:rsidR="007A294C" w:rsidRPr="00905064" w:rsidRDefault="007A294C" w:rsidP="0006618D">
      <w:pPr>
        <w:pStyle w:val="FootnoteText"/>
      </w:pPr>
      <w:r>
        <w:rPr>
          <w:rStyle w:val="FootnoteReference"/>
        </w:rPr>
        <w:footnoteRef/>
      </w:r>
      <w:r>
        <w:t xml:space="preserve"> </w:t>
      </w:r>
      <w:r>
        <w:t>Diala A and Kangwa B, ‘</w:t>
      </w:r>
      <w:r w:rsidRPr="00AD47FD">
        <w:t>Rethinking the interface between customary law and constitutionalism in sub-Saharan Africa</w:t>
      </w:r>
      <w:r>
        <w:t>’ De Jure Law Journal, 2019, 206.</w:t>
      </w:r>
    </w:p>
  </w:footnote>
  <w:footnote w:id="31">
    <w:p w14:paraId="44327032" w14:textId="77777777" w:rsidR="007A294C" w:rsidRPr="005E3D9D" w:rsidRDefault="007A294C" w:rsidP="0006618D">
      <w:pPr>
        <w:pStyle w:val="FootnoteText"/>
      </w:pPr>
      <w:r>
        <w:rPr>
          <w:rStyle w:val="FootnoteReference"/>
        </w:rPr>
        <w:footnoteRef/>
      </w:r>
      <w:r>
        <w:t xml:space="preserve"> Cotran E, ‘</w:t>
      </w:r>
      <w:r w:rsidRPr="005E3D9D">
        <w:t xml:space="preserve">The </w:t>
      </w:r>
      <w:r>
        <w:t>d</w:t>
      </w:r>
      <w:r w:rsidRPr="005E3D9D">
        <w:t xml:space="preserve">evelopment and </w:t>
      </w:r>
      <w:r>
        <w:t>r</w:t>
      </w:r>
      <w:r w:rsidRPr="005E3D9D">
        <w:t xml:space="preserve">eform of the </w:t>
      </w:r>
      <w:r>
        <w:t>l</w:t>
      </w:r>
      <w:r w:rsidRPr="005E3D9D">
        <w:t>aw in Kenya</w:t>
      </w:r>
      <w:r>
        <w:t xml:space="preserve">’, 27 </w:t>
      </w:r>
      <w:r w:rsidRPr="005E3D9D">
        <w:t>Journal of African Law</w:t>
      </w:r>
      <w:r>
        <w:t>,</w:t>
      </w:r>
      <w:r w:rsidRPr="005E3D9D">
        <w:rPr>
          <w:sz w:val="22"/>
          <w:szCs w:val="22"/>
        </w:rPr>
        <w:t xml:space="preserve"> </w:t>
      </w:r>
      <w:r w:rsidRPr="005E3D9D">
        <w:t>School of Oriental and African Studies</w:t>
      </w:r>
      <w:r>
        <w:t xml:space="preserve">, 43. </w:t>
      </w:r>
    </w:p>
  </w:footnote>
  <w:footnote w:id="32">
    <w:p w14:paraId="5E070741" w14:textId="77777777" w:rsidR="007A294C" w:rsidRDefault="007A294C" w:rsidP="0006618D">
      <w:pPr>
        <w:pStyle w:val="FootnoteText"/>
      </w:pPr>
      <w:r>
        <w:rPr>
          <w:rStyle w:val="FootnoteReference"/>
        </w:rPr>
        <w:footnoteRef/>
      </w:r>
      <w:r>
        <w:t xml:space="preserve"> </w:t>
      </w:r>
      <w:r w:rsidRPr="00E94694">
        <w:t xml:space="preserve">Kameri-Mbote P, ‘Gender dimensions of Law, Colonialism and Inheritance in East Africa: Kenyan women's experiences’ 35(3) </w:t>
      </w:r>
      <w:r w:rsidRPr="00CC1F73">
        <w:t>Law and Politics in Africa, Asia and Latin America</w:t>
      </w:r>
      <w:r w:rsidRPr="00E94694">
        <w:t>,</w:t>
      </w:r>
      <w:r w:rsidRPr="00E94694">
        <w:rPr>
          <w:i/>
          <w:iCs/>
        </w:rPr>
        <w:t xml:space="preserve"> </w:t>
      </w:r>
      <w:r w:rsidRPr="00E94694">
        <w:t>2002, 37</w:t>
      </w:r>
      <w:r>
        <w:t>3</w:t>
      </w:r>
      <w:r w:rsidRPr="00E94694">
        <w:t>.</w:t>
      </w:r>
    </w:p>
  </w:footnote>
  <w:footnote w:id="33">
    <w:p w14:paraId="4EAE2154" w14:textId="77777777" w:rsidR="007A294C" w:rsidRPr="004354FE" w:rsidRDefault="007A294C" w:rsidP="0006618D">
      <w:pPr>
        <w:pStyle w:val="FootnoteText"/>
      </w:pPr>
      <w:r w:rsidRPr="004354FE">
        <w:rPr>
          <w:rStyle w:val="FootnoteReference"/>
        </w:rPr>
        <w:footnoteRef/>
      </w:r>
      <w:r w:rsidRPr="004354FE">
        <w:t xml:space="preserve"> Martin N, ‘The role of history and culture in developing bankruptcy and insolvency systems: The perils of legal transplantation’ 28 Boston College International and Comparative Law Review 1, 2.</w:t>
      </w:r>
    </w:p>
  </w:footnote>
  <w:footnote w:id="34">
    <w:p w14:paraId="09416FC2" w14:textId="77777777" w:rsidR="007A294C" w:rsidRPr="004354FE" w:rsidRDefault="007A294C" w:rsidP="0006618D">
      <w:pPr>
        <w:pStyle w:val="FootnoteText"/>
      </w:pPr>
      <w:r w:rsidRPr="004354FE">
        <w:rPr>
          <w:rStyle w:val="FootnoteReference"/>
        </w:rPr>
        <w:footnoteRef/>
      </w:r>
      <w:r w:rsidRPr="004354FE">
        <w:t xml:space="preserve"> Gaitán M, ‘The challenges of legal transplants in a globalized context: A case study on ‘working’ examples’, University of Warwick, Dissertation, October 2014, 8.</w:t>
      </w:r>
    </w:p>
  </w:footnote>
  <w:footnote w:id="35">
    <w:p w14:paraId="6896E56B" w14:textId="286B468A" w:rsidR="007A294C" w:rsidRDefault="007A294C">
      <w:pPr>
        <w:pStyle w:val="FootnoteText"/>
      </w:pPr>
      <w:r>
        <w:rPr>
          <w:rStyle w:val="FootnoteReference"/>
        </w:rPr>
        <w:footnoteRef/>
      </w:r>
      <w:r>
        <w:t xml:space="preserve"> Marc G, ‘Predators and parasites: lawyer-bashing and civil justice’ 28 Georgia Law Review, 680.</w:t>
      </w:r>
    </w:p>
  </w:footnote>
  <w:footnote w:id="36">
    <w:p w14:paraId="2E690998" w14:textId="77777777" w:rsidR="007A294C" w:rsidRPr="004354FE" w:rsidRDefault="007A294C" w:rsidP="0006618D">
      <w:pPr>
        <w:pStyle w:val="FootnoteText"/>
      </w:pPr>
      <w:r w:rsidRPr="004354FE">
        <w:rPr>
          <w:rStyle w:val="FootnoteReference"/>
        </w:rPr>
        <w:footnoteRef/>
      </w:r>
      <w:r w:rsidRPr="004354FE">
        <w:t xml:space="preserve"> </w:t>
      </w:r>
      <w:bookmarkStart w:id="36" w:name="_Hlk36124462"/>
      <w:r w:rsidRPr="004354FE">
        <w:t>Cairns J, ‘Watson, Walton, and the history of legal transplants’</w:t>
      </w:r>
      <w:bookmarkEnd w:id="36"/>
      <w:r w:rsidRPr="004354FE">
        <w:t xml:space="preserve">, </w:t>
      </w:r>
      <w:r w:rsidRPr="004354FE">
        <w:t>Digitalcommons.law, 640.</w:t>
      </w:r>
    </w:p>
  </w:footnote>
  <w:footnote w:id="37">
    <w:p w14:paraId="0EA1D4D4" w14:textId="77777777" w:rsidR="007A294C" w:rsidRPr="004354FE" w:rsidRDefault="007A294C" w:rsidP="0006618D">
      <w:pPr>
        <w:pStyle w:val="FootnoteText"/>
      </w:pPr>
      <w:r w:rsidRPr="004354FE">
        <w:rPr>
          <w:rStyle w:val="FootnoteReference"/>
        </w:rPr>
        <w:footnoteRef/>
      </w:r>
      <w:r w:rsidRPr="004354FE">
        <w:t xml:space="preserve"> Cairns J, ‘Watson, Walton, and the history of legal transplants’, </w:t>
      </w:r>
      <w:r w:rsidRPr="004354FE">
        <w:t>Digitalcommons.law, 641.</w:t>
      </w:r>
    </w:p>
  </w:footnote>
  <w:footnote w:id="38">
    <w:p w14:paraId="716E7CDD" w14:textId="77777777" w:rsidR="007A294C" w:rsidRPr="004354FE" w:rsidRDefault="007A294C" w:rsidP="0006618D">
      <w:pPr>
        <w:pStyle w:val="FootnoteText"/>
      </w:pPr>
      <w:r w:rsidRPr="004354FE">
        <w:rPr>
          <w:rStyle w:val="FootnoteReference"/>
        </w:rPr>
        <w:footnoteRef/>
      </w:r>
      <w:r w:rsidRPr="004354FE">
        <w:t xml:space="preserve"> </w:t>
      </w:r>
      <w:bookmarkStart w:id="37" w:name="_Hlk36126088"/>
      <w:r w:rsidRPr="004354FE">
        <w:t>Gaitán M, ‘The challenges of legal transplants in a globalized context: A case study on ‘working’ examples’, University of Warwick, Dissertation, October 2014, 20.</w:t>
      </w:r>
    </w:p>
    <w:bookmarkEnd w:id="37"/>
  </w:footnote>
  <w:footnote w:id="39">
    <w:p w14:paraId="36B91ECD" w14:textId="77777777" w:rsidR="007A294C" w:rsidRPr="004354FE" w:rsidRDefault="007A294C" w:rsidP="0006618D">
      <w:pPr>
        <w:pStyle w:val="FootnoteText"/>
      </w:pPr>
      <w:r w:rsidRPr="004354FE">
        <w:rPr>
          <w:rStyle w:val="FootnoteReference"/>
        </w:rPr>
        <w:footnoteRef/>
      </w:r>
      <w:r w:rsidRPr="004354FE">
        <w:t xml:space="preserve"> Gaitán M, ‘The challenges of legal transplants in a globalized context: A case study on ‘working’ examples’, University of Warwick, Dissertation, October 2014, 20.</w:t>
      </w:r>
    </w:p>
  </w:footnote>
  <w:footnote w:id="40">
    <w:p w14:paraId="76DF6354" w14:textId="77777777" w:rsidR="007A294C" w:rsidRPr="004354FE" w:rsidRDefault="007A294C" w:rsidP="0006618D">
      <w:pPr>
        <w:pStyle w:val="FootnoteText"/>
      </w:pPr>
      <w:r w:rsidRPr="004354FE">
        <w:rPr>
          <w:rStyle w:val="FootnoteReference"/>
        </w:rPr>
        <w:footnoteRef/>
      </w:r>
      <w:r w:rsidRPr="004354FE">
        <w:t xml:space="preserve"> Abdo M and </w:t>
      </w:r>
      <w:r w:rsidRPr="004354FE">
        <w:t>Abegaz G, ‘Legal transplantation’, Abyssinia Law, para. 16.</w:t>
      </w:r>
    </w:p>
  </w:footnote>
  <w:footnote w:id="41">
    <w:p w14:paraId="72F28AF1" w14:textId="77777777" w:rsidR="007A294C" w:rsidRPr="004354FE" w:rsidRDefault="007A294C" w:rsidP="0006618D">
      <w:pPr>
        <w:pStyle w:val="FootnoteText"/>
      </w:pPr>
      <w:r w:rsidRPr="004354FE">
        <w:rPr>
          <w:rStyle w:val="FootnoteReference"/>
        </w:rPr>
        <w:footnoteRef/>
      </w:r>
      <w:r w:rsidRPr="004354FE">
        <w:t xml:space="preserve"> Kahn-Freund O, ‘On the uses and misuses of comparative law’, 37</w:t>
      </w:r>
      <w:r>
        <w:t>(1)</w:t>
      </w:r>
      <w:r w:rsidRPr="004354FE">
        <w:t xml:space="preserve"> Mo</w:t>
      </w:r>
      <w:r>
        <w:t>dern Law Review</w:t>
      </w:r>
      <w:r w:rsidRPr="004354FE">
        <w:t>, 1974, 6.</w:t>
      </w:r>
    </w:p>
  </w:footnote>
  <w:footnote w:id="42">
    <w:p w14:paraId="0D071C35" w14:textId="77777777" w:rsidR="007A294C" w:rsidRPr="004354FE" w:rsidRDefault="007A294C" w:rsidP="0006618D">
      <w:pPr>
        <w:pStyle w:val="FootnoteText"/>
      </w:pPr>
      <w:r w:rsidRPr="004354FE">
        <w:rPr>
          <w:rStyle w:val="FootnoteReference"/>
        </w:rPr>
        <w:footnoteRef/>
      </w:r>
      <w:r w:rsidRPr="004354FE">
        <w:t xml:space="preserve"> Abdo M and </w:t>
      </w:r>
      <w:r w:rsidRPr="004354FE">
        <w:t>Abegaz G, ‘Legal transplantation’, Abyssinia Law, para. 17.</w:t>
      </w:r>
    </w:p>
  </w:footnote>
  <w:footnote w:id="43">
    <w:p w14:paraId="64D1DC57" w14:textId="77777777" w:rsidR="007A294C" w:rsidRPr="004354FE" w:rsidRDefault="007A294C" w:rsidP="0006618D">
      <w:pPr>
        <w:pStyle w:val="FootnoteText"/>
      </w:pPr>
      <w:r w:rsidRPr="004354FE">
        <w:rPr>
          <w:rStyle w:val="FootnoteReference"/>
        </w:rPr>
        <w:footnoteRef/>
      </w:r>
      <w:r w:rsidRPr="004354FE">
        <w:t xml:space="preserve"> Kahn-Freund O, ‘On the uses and misuses of comparative law’, 5-6.</w:t>
      </w:r>
    </w:p>
  </w:footnote>
  <w:footnote w:id="44">
    <w:p w14:paraId="61FEF38F" w14:textId="77777777" w:rsidR="007A294C" w:rsidRPr="004354FE" w:rsidRDefault="007A294C" w:rsidP="0006618D">
      <w:pPr>
        <w:pStyle w:val="FootnoteText"/>
      </w:pPr>
      <w:r w:rsidRPr="004354FE">
        <w:rPr>
          <w:rStyle w:val="FootnoteReference"/>
        </w:rPr>
        <w:footnoteRef/>
      </w:r>
      <w:r w:rsidRPr="004354FE">
        <w:t xml:space="preserve"> </w:t>
      </w:r>
      <w:bookmarkStart w:id="38" w:name="_Hlk36120755"/>
      <w:bookmarkStart w:id="39" w:name="_Hlk36120756"/>
      <w:r w:rsidRPr="004354FE">
        <w:t>Gaitán M, ‘The challenges of legal transplants in a globalized context: A case study on ‘working’ examples’, University of Warwick, Dissertation, October 2014, 19.</w:t>
      </w:r>
      <w:bookmarkEnd w:id="38"/>
      <w:bookmarkEnd w:id="39"/>
    </w:p>
  </w:footnote>
  <w:footnote w:id="45">
    <w:p w14:paraId="0CD29BC1" w14:textId="77777777" w:rsidR="007A294C" w:rsidRPr="004354FE" w:rsidRDefault="007A294C" w:rsidP="0006618D">
      <w:pPr>
        <w:pStyle w:val="FootnoteText"/>
      </w:pPr>
      <w:r w:rsidRPr="004354FE">
        <w:rPr>
          <w:rStyle w:val="FootnoteReference"/>
        </w:rPr>
        <w:footnoteRef/>
      </w:r>
      <w:r>
        <w:t xml:space="preserve"> </w:t>
      </w:r>
      <w:r w:rsidRPr="004354FE">
        <w:t>Zongling</w:t>
      </w:r>
      <w:r>
        <w:t xml:space="preserve"> S</w:t>
      </w:r>
      <w:r w:rsidRPr="004354FE">
        <w:t xml:space="preserve">, ‘Legal transplant and comparative law’, </w:t>
      </w:r>
      <w:r>
        <w:t xml:space="preserve">51(4) </w:t>
      </w:r>
      <w:r w:rsidRPr="00A8184D">
        <w:t xml:space="preserve">Revue </w:t>
      </w:r>
      <w:r>
        <w:t>I</w:t>
      </w:r>
      <w:r w:rsidRPr="00A8184D">
        <w:t xml:space="preserve">nternationale </w:t>
      </w:r>
      <w:r>
        <w:t>D</w:t>
      </w:r>
      <w:r w:rsidRPr="00A8184D">
        <w:t xml:space="preserve">e </w:t>
      </w:r>
      <w:r>
        <w:t>D</w:t>
      </w:r>
      <w:r w:rsidRPr="00A8184D">
        <w:t xml:space="preserve">roit </w:t>
      </w:r>
      <w:r>
        <w:t>C</w:t>
      </w:r>
      <w:r w:rsidRPr="006304EC">
        <w:t>omparé</w:t>
      </w:r>
      <w:r>
        <w:t>, 1999, 853.</w:t>
      </w:r>
    </w:p>
  </w:footnote>
  <w:footnote w:id="46">
    <w:p w14:paraId="06ADF6AF" w14:textId="77777777" w:rsidR="007A294C" w:rsidRPr="006D693D" w:rsidRDefault="007A294C" w:rsidP="0006618D">
      <w:pPr>
        <w:pStyle w:val="FootnoteText"/>
      </w:pPr>
      <w:r>
        <w:rPr>
          <w:rStyle w:val="FootnoteReference"/>
        </w:rPr>
        <w:footnoteRef/>
      </w:r>
      <w:r>
        <w:t xml:space="preserve"> </w:t>
      </w:r>
      <w:r>
        <w:rPr>
          <w:i/>
          <w:iCs/>
        </w:rPr>
        <w:t xml:space="preserve">Mary </w:t>
      </w:r>
      <w:r>
        <w:rPr>
          <w:i/>
          <w:iCs/>
        </w:rPr>
        <w:t xml:space="preserve">Rono v Jane Rono and another </w:t>
      </w:r>
      <w:r>
        <w:t>(2005) eKLR.</w:t>
      </w:r>
    </w:p>
  </w:footnote>
  <w:footnote w:id="47">
    <w:p w14:paraId="5ADD5A8F" w14:textId="77777777" w:rsidR="007A294C" w:rsidRPr="00D2185E" w:rsidRDefault="007A294C" w:rsidP="0006618D">
      <w:pPr>
        <w:pStyle w:val="FootnoteText"/>
      </w:pPr>
      <w:r>
        <w:rPr>
          <w:rStyle w:val="FootnoteReference"/>
        </w:rPr>
        <w:footnoteRef/>
      </w:r>
      <w:r>
        <w:t xml:space="preserve"> </w:t>
      </w:r>
      <w:r>
        <w:rPr>
          <w:i/>
          <w:iCs/>
        </w:rPr>
        <w:t xml:space="preserve">R v </w:t>
      </w:r>
      <w:r>
        <w:rPr>
          <w:i/>
          <w:iCs/>
        </w:rPr>
        <w:t xml:space="preserve">Amkeyo </w:t>
      </w:r>
      <w:r>
        <w:t xml:space="preserve">(1917) KLR 14. </w:t>
      </w:r>
    </w:p>
  </w:footnote>
  <w:footnote w:id="48">
    <w:p w14:paraId="78E8089F" w14:textId="77777777" w:rsidR="007A294C" w:rsidRPr="00D2185E" w:rsidRDefault="007A294C" w:rsidP="0006618D">
      <w:pPr>
        <w:pStyle w:val="FootnoteText"/>
      </w:pPr>
      <w:r>
        <w:rPr>
          <w:rStyle w:val="FootnoteReference"/>
        </w:rPr>
        <w:footnoteRef/>
      </w:r>
      <w:r>
        <w:t xml:space="preserve"> </w:t>
      </w:r>
      <w:r>
        <w:rPr>
          <w:i/>
          <w:iCs/>
        </w:rPr>
        <w:t xml:space="preserve">R v </w:t>
      </w:r>
      <w:r>
        <w:rPr>
          <w:i/>
          <w:iCs/>
        </w:rPr>
        <w:t xml:space="preserve">Mwakio Asani </w:t>
      </w:r>
      <w:r>
        <w:t>(1932) 14 KLR 145.</w:t>
      </w:r>
    </w:p>
  </w:footnote>
  <w:footnote w:id="49">
    <w:p w14:paraId="11F77C6C" w14:textId="52B47764" w:rsidR="007A294C" w:rsidRPr="00096A28" w:rsidRDefault="007A294C">
      <w:pPr>
        <w:pStyle w:val="FootnoteText"/>
      </w:pPr>
      <w:r>
        <w:rPr>
          <w:rStyle w:val="FootnoteReference"/>
        </w:rPr>
        <w:footnoteRef/>
      </w:r>
      <w:r>
        <w:t xml:space="preserve"> </w:t>
      </w:r>
      <w:r>
        <w:rPr>
          <w:i/>
          <w:iCs/>
        </w:rPr>
        <w:t>Hyde v Hyde</w:t>
      </w:r>
      <w:r>
        <w:t xml:space="preserve"> (1866), English court of probate and divorce.</w:t>
      </w:r>
    </w:p>
  </w:footnote>
  <w:footnote w:id="50">
    <w:p w14:paraId="1FB30937" w14:textId="77777777" w:rsidR="007A294C" w:rsidRPr="00830A14" w:rsidRDefault="007A294C" w:rsidP="00A45DDC">
      <w:pPr>
        <w:pStyle w:val="FootnoteText"/>
        <w:rPr>
          <w:color w:val="FF0000"/>
        </w:rPr>
      </w:pPr>
      <w:r w:rsidRPr="00830A14">
        <w:rPr>
          <w:rStyle w:val="FootnoteReference"/>
        </w:rPr>
        <w:footnoteRef/>
      </w:r>
      <w:r w:rsidRPr="00830A14">
        <w:t xml:space="preserve"> </w:t>
      </w:r>
      <w:r w:rsidRPr="00830A14">
        <w:rPr>
          <w:bCs/>
          <w:i/>
          <w:iCs/>
        </w:rPr>
        <w:t>Gwao bin Kilimo v Kisunda bin Ifuti</w:t>
      </w:r>
      <w:r>
        <w:rPr>
          <w:bCs/>
        </w:rPr>
        <w:t xml:space="preserve"> (1938), High court of Tanganyika.</w:t>
      </w:r>
    </w:p>
  </w:footnote>
  <w:footnote w:id="51">
    <w:p w14:paraId="3275455E" w14:textId="77777777" w:rsidR="007A294C" w:rsidRPr="00A95065" w:rsidRDefault="007A294C" w:rsidP="00A45DDC">
      <w:pPr>
        <w:pStyle w:val="FootnoteText"/>
      </w:pPr>
      <w:r>
        <w:rPr>
          <w:rStyle w:val="FootnoteReference"/>
        </w:rPr>
        <w:footnoteRef/>
      </w:r>
      <w:r>
        <w:t xml:space="preserve"> Folger R, </w:t>
      </w:r>
      <w:r>
        <w:t>Cropanzano R, Goldman B, ‘What is the relationship between justice and morality?’ in Grenberg J and Colquitt J (ed), 1</w:t>
      </w:r>
      <w:r w:rsidRPr="004B5087">
        <w:rPr>
          <w:vertAlign w:val="superscript"/>
        </w:rPr>
        <w:t>st</w:t>
      </w:r>
      <w:r>
        <w:t xml:space="preserve"> ed, </w:t>
      </w:r>
      <w:r w:rsidRPr="00A95065">
        <w:rPr>
          <w:i/>
          <w:iCs/>
        </w:rPr>
        <w:t>Handbook of organisational justice</w:t>
      </w:r>
      <w:r>
        <w:t>, Lawrence Erlbaum Associates Publishers, 2005, 216.</w:t>
      </w:r>
    </w:p>
  </w:footnote>
  <w:footnote w:id="52">
    <w:p w14:paraId="57F2FE70" w14:textId="77777777" w:rsidR="007A294C" w:rsidRDefault="007A294C" w:rsidP="00A45DDC">
      <w:pPr>
        <w:pStyle w:val="FootnoteText"/>
      </w:pPr>
      <w:r>
        <w:rPr>
          <w:rStyle w:val="FootnoteReference"/>
        </w:rPr>
        <w:footnoteRef/>
      </w:r>
      <w:r>
        <w:t xml:space="preserve"> </w:t>
      </w:r>
      <w:r>
        <w:t>Kameri-Mbote P, ‘</w:t>
      </w:r>
      <w:r w:rsidRPr="00C95973">
        <w:t xml:space="preserve">Gender dimensions of Law, </w:t>
      </w:r>
      <w:r>
        <w:t>c</w:t>
      </w:r>
      <w:r w:rsidRPr="00C95973">
        <w:t xml:space="preserve">olonialism and </w:t>
      </w:r>
      <w:r>
        <w:t>i</w:t>
      </w:r>
      <w:r w:rsidRPr="00C95973">
        <w:t>nheritance in East Africa: Kenyan women's experiences</w:t>
      </w:r>
      <w:r>
        <w:t xml:space="preserve">’ 35(3) Law and Politics in Africa, Asia and Latin America, 2002, 377. </w:t>
      </w:r>
    </w:p>
  </w:footnote>
  <w:footnote w:id="53">
    <w:p w14:paraId="2017FFFB" w14:textId="0DBFA090" w:rsidR="007A294C" w:rsidRPr="00477979" w:rsidRDefault="007A294C" w:rsidP="00A45DDC">
      <w:pPr>
        <w:pStyle w:val="FootnoteText"/>
      </w:pPr>
      <w:r>
        <w:rPr>
          <w:rStyle w:val="FootnoteReference"/>
        </w:rPr>
        <w:footnoteRef/>
      </w:r>
      <w:r>
        <w:t xml:space="preserve"> Owino A, ‘</w:t>
      </w:r>
      <w:r w:rsidRPr="00477979">
        <w:t>Customary Marriage: Registration Process in Kenya</w:t>
      </w:r>
      <w:r>
        <w:t>’ Kenyans, 15 July 2019 -&lt;</w:t>
      </w:r>
      <w:hyperlink r:id="rId2" w:history="1">
        <w:r w:rsidRPr="003C1CD1">
          <w:rPr>
            <w:rStyle w:val="Hyperlink"/>
          </w:rPr>
          <w:t>https://www.kenyans.co.ke/news/41743-customary-marriage-registration-process-kenya</w:t>
        </w:r>
      </w:hyperlink>
      <w:r>
        <w:t>&gt; on 5 September 2020.</w:t>
      </w:r>
    </w:p>
  </w:footnote>
  <w:footnote w:id="54">
    <w:p w14:paraId="53C40C3C" w14:textId="77777777" w:rsidR="007A294C" w:rsidRDefault="007A294C" w:rsidP="00A45DDC">
      <w:pPr>
        <w:pStyle w:val="FootnoteText"/>
      </w:pPr>
      <w:r>
        <w:rPr>
          <w:rStyle w:val="FootnoteReference"/>
        </w:rPr>
        <w:footnoteRef/>
      </w:r>
      <w:r>
        <w:t xml:space="preserve"> These types of marriages are referred to as sororate marriages. </w:t>
      </w:r>
      <w:r w:rsidRPr="00D51AA7">
        <w:rPr>
          <w:vertAlign w:val="superscript"/>
        </w:rPr>
        <w:footnoteRef/>
      </w:r>
      <w:r w:rsidRPr="00D51AA7">
        <w:t xml:space="preserve"> Owino A, ‘Customary Marriage: Registration Process in Kenya’ Kenyans, 15 July 2019 -&lt;</w:t>
      </w:r>
      <w:hyperlink r:id="rId3" w:history="1">
        <w:r w:rsidRPr="00D51AA7">
          <w:rPr>
            <w:rStyle w:val="Hyperlink"/>
          </w:rPr>
          <w:t>https://www.kenyans.co.ke/news/41743-customary-marriage-registration-process-kenya</w:t>
        </w:r>
      </w:hyperlink>
      <w:r w:rsidRPr="00D51AA7">
        <w:t>&gt; on 5 September 2020.</w:t>
      </w:r>
    </w:p>
  </w:footnote>
  <w:footnote w:id="55">
    <w:p w14:paraId="231641A6" w14:textId="77777777" w:rsidR="007A294C" w:rsidRDefault="007A294C" w:rsidP="00A45DDC">
      <w:pPr>
        <w:pStyle w:val="FootnoteText"/>
      </w:pPr>
      <w:r>
        <w:rPr>
          <w:rStyle w:val="FootnoteReference"/>
        </w:rPr>
        <w:footnoteRef/>
      </w:r>
      <w:r>
        <w:t xml:space="preserve"> These marriages are referred to as leviratic marriages. </w:t>
      </w:r>
      <w:r w:rsidRPr="00D51AA7">
        <w:t>Owino A, ‘Customary Marriage: Registration Process in Kenya’ Kenyans, 15 July 2019 -&lt;</w:t>
      </w:r>
      <w:hyperlink r:id="rId4" w:history="1">
        <w:r w:rsidRPr="00D51AA7">
          <w:rPr>
            <w:rStyle w:val="Hyperlink"/>
          </w:rPr>
          <w:t>https://www.kenyans.co.ke/news/41743-customary-marriage-registration-process-kenya</w:t>
        </w:r>
      </w:hyperlink>
      <w:r w:rsidRPr="00D51AA7">
        <w:t>&gt; on 5 September 2020.</w:t>
      </w:r>
    </w:p>
  </w:footnote>
  <w:footnote w:id="56">
    <w:p w14:paraId="27E14DB4" w14:textId="77777777" w:rsidR="007A294C" w:rsidRDefault="007A294C" w:rsidP="00A45DDC">
      <w:pPr>
        <w:pStyle w:val="FootnoteText"/>
      </w:pPr>
      <w:r>
        <w:rPr>
          <w:rStyle w:val="FootnoteReference"/>
        </w:rPr>
        <w:footnoteRef/>
      </w:r>
      <w:r>
        <w:t xml:space="preserve"> </w:t>
      </w:r>
      <w:r w:rsidRPr="00D51AA7">
        <w:t xml:space="preserve"> </w:t>
      </w:r>
      <w:bookmarkStart w:id="44" w:name="_Hlk65767037"/>
      <w:r w:rsidRPr="00D51AA7">
        <w:t>Owino A, ‘Customary Marriage: Registration Process in Kenya’ Kenyans, 15 July 2019 -&lt;</w:t>
      </w:r>
      <w:hyperlink r:id="rId5" w:history="1">
        <w:r w:rsidRPr="00D51AA7">
          <w:rPr>
            <w:rStyle w:val="Hyperlink"/>
          </w:rPr>
          <w:t>https://www.kenyans.co.ke/news/41743-customary-marriage-registration-process-kenya</w:t>
        </w:r>
      </w:hyperlink>
      <w:r w:rsidRPr="00D51AA7">
        <w:t>&gt; on 5 September 2020.</w:t>
      </w:r>
    </w:p>
    <w:bookmarkEnd w:id="44"/>
  </w:footnote>
  <w:footnote w:id="57">
    <w:p w14:paraId="44A0281F" w14:textId="5FC7EC49" w:rsidR="007E75B5" w:rsidRPr="0074486D" w:rsidRDefault="007E75B5" w:rsidP="007E75B5">
      <w:pPr>
        <w:pStyle w:val="FootnoteText"/>
      </w:pPr>
      <w:r>
        <w:rPr>
          <w:rStyle w:val="FootnoteReference"/>
        </w:rPr>
        <w:footnoteRef/>
      </w:r>
      <w:r>
        <w:t xml:space="preserve"> </w:t>
      </w:r>
      <w:r w:rsidR="0074486D" w:rsidRPr="0074486D">
        <w:t>Owino A, ‘Customary Marriage: Registration Process in Kenya’ Kenyans, 15 July 2019 -&lt;</w:t>
      </w:r>
      <w:hyperlink r:id="rId6" w:history="1">
        <w:r w:rsidR="0074486D" w:rsidRPr="0074486D">
          <w:rPr>
            <w:rStyle w:val="Hyperlink"/>
          </w:rPr>
          <w:t>https://www.kenyans.co.ke/news/41743-customary-marriage-registration-process-kenya</w:t>
        </w:r>
      </w:hyperlink>
      <w:r w:rsidR="0074486D" w:rsidRPr="0074486D">
        <w:t>&gt; on 5 September 2020.</w:t>
      </w:r>
    </w:p>
  </w:footnote>
  <w:footnote w:id="58">
    <w:p w14:paraId="4F2FF378" w14:textId="530E1EFF" w:rsidR="007E75B5" w:rsidRPr="0074486D" w:rsidRDefault="007E75B5" w:rsidP="007E75B5">
      <w:pPr>
        <w:pStyle w:val="FootnoteText"/>
      </w:pPr>
      <w:r>
        <w:rPr>
          <w:rStyle w:val="FootnoteReference"/>
        </w:rPr>
        <w:footnoteRef/>
      </w:r>
      <w:r>
        <w:t xml:space="preserve"> </w:t>
      </w:r>
      <w:r w:rsidR="0074486D" w:rsidRPr="0074486D">
        <w:t>Owino A, ‘Customary Marriage: Registration Process in Kenya’ Kenyans, 15 July 2019 -&lt;</w:t>
      </w:r>
      <w:hyperlink r:id="rId7" w:history="1">
        <w:r w:rsidR="0074486D" w:rsidRPr="0074486D">
          <w:rPr>
            <w:rStyle w:val="Hyperlink"/>
          </w:rPr>
          <w:t>https://www.kenyans.co.ke/news/41743-customary-marriage-registration-process-kenya</w:t>
        </w:r>
      </w:hyperlink>
      <w:r w:rsidR="0074486D" w:rsidRPr="0074486D">
        <w:t>&gt; on 5 September 2020.</w:t>
      </w:r>
    </w:p>
  </w:footnote>
  <w:footnote w:id="59">
    <w:p w14:paraId="2709A24F" w14:textId="77777777" w:rsidR="007A294C" w:rsidRDefault="007A294C" w:rsidP="00DD0195">
      <w:pPr>
        <w:pStyle w:val="FootnoteText"/>
      </w:pPr>
      <w:r>
        <w:rPr>
          <w:rStyle w:val="FootnoteReference"/>
        </w:rPr>
        <w:footnoteRef/>
      </w:r>
      <w:r>
        <w:t xml:space="preserve"> The Pacific Institute, ‘Why narcissism creates unjust cultures’, 4 June 2020 -&lt;</w:t>
      </w:r>
      <w:hyperlink r:id="rId8" w:history="1">
        <w:r w:rsidRPr="00F25655">
          <w:rPr>
            <w:rStyle w:val="Hyperlink"/>
          </w:rPr>
          <w:t>https://au.thepacificinstitute.com/blog/202006/04/why-narcissism-creates-unjust-cultures/</w:t>
        </w:r>
      </w:hyperlink>
      <w:r>
        <w:t xml:space="preserve">&gt;. </w:t>
      </w:r>
    </w:p>
  </w:footnote>
  <w:footnote w:id="60">
    <w:p w14:paraId="096EC869" w14:textId="77777777" w:rsidR="007A294C" w:rsidRDefault="007A294C" w:rsidP="00A45DDC">
      <w:pPr>
        <w:pStyle w:val="FootnoteText"/>
      </w:pPr>
      <w:r>
        <w:rPr>
          <w:rStyle w:val="FootnoteReference"/>
        </w:rPr>
        <w:footnoteRef/>
      </w:r>
      <w:r>
        <w:t xml:space="preserve"> </w:t>
      </w:r>
      <w:r>
        <w:t>Ojwang J.B. ‘Constitutional trends in Africa: The Kenya case symposium: Africa in the third millennium: Legal challenges and prospects’, 10(1) Transnational Law and Contemporary Problems, 519.</w:t>
      </w:r>
    </w:p>
  </w:footnote>
  <w:footnote w:id="61">
    <w:p w14:paraId="7A0B2BB3" w14:textId="77777777" w:rsidR="007A294C" w:rsidRPr="00A33BA0" w:rsidRDefault="007A294C" w:rsidP="00A45DDC">
      <w:pPr>
        <w:pStyle w:val="FootnoteText"/>
      </w:pPr>
      <w:r w:rsidRPr="00A33BA0">
        <w:rPr>
          <w:rStyle w:val="FootnoteReference"/>
        </w:rPr>
        <w:footnoteRef/>
      </w:r>
      <w:r w:rsidRPr="00A33BA0">
        <w:t xml:space="preserve"> </w:t>
      </w:r>
      <w:r w:rsidRPr="00A33BA0">
        <w:rPr>
          <w:i/>
          <w:iCs/>
        </w:rPr>
        <w:t>Cole v Col</w:t>
      </w:r>
      <w:r>
        <w:rPr>
          <w:i/>
          <w:iCs/>
        </w:rPr>
        <w:t>e</w:t>
      </w:r>
      <w:r>
        <w:t xml:space="preserve"> (1898), Supreme Court of Nigeria. </w:t>
      </w:r>
    </w:p>
  </w:footnote>
  <w:footnote w:id="62">
    <w:p w14:paraId="19985DC7" w14:textId="77777777" w:rsidR="007A294C" w:rsidRDefault="007A294C" w:rsidP="00A45DDC">
      <w:pPr>
        <w:pStyle w:val="FootnoteText"/>
      </w:pPr>
      <w:r>
        <w:rPr>
          <w:rStyle w:val="FootnoteReference"/>
        </w:rPr>
        <w:footnoteRef/>
      </w:r>
      <w:r>
        <w:t xml:space="preserve"> </w:t>
      </w:r>
      <w:bookmarkStart w:id="48" w:name="_Hlk50419087"/>
      <w:r>
        <w:t>Kameri-Mbote P, ‘Gender dimensions of Law, Colonialism and Inheritance in East Africa: Kenyan women's experiences,’ 375.</w:t>
      </w:r>
      <w:bookmarkEnd w:id="48"/>
    </w:p>
  </w:footnote>
  <w:footnote w:id="63">
    <w:p w14:paraId="1352B93F" w14:textId="1D63A7F5" w:rsidR="00277863" w:rsidRPr="00277863" w:rsidRDefault="00277863" w:rsidP="00277863">
      <w:pPr>
        <w:pStyle w:val="FootnoteText"/>
      </w:pPr>
      <w:r>
        <w:rPr>
          <w:rStyle w:val="FootnoteReference"/>
        </w:rPr>
        <w:footnoteRef/>
      </w:r>
      <w:r>
        <w:t xml:space="preserve"> </w:t>
      </w:r>
      <w:r w:rsidRPr="00277863">
        <w:rPr>
          <w:i/>
          <w:iCs/>
        </w:rPr>
        <w:t>Benjawa Jembe v Priscilla Nyondo</w:t>
      </w:r>
      <w:r w:rsidRPr="00277863">
        <w:t xml:space="preserve"> (1912) 4 EALR 160</w:t>
      </w:r>
      <w:r>
        <w:t>.</w:t>
      </w:r>
    </w:p>
    <w:p w14:paraId="7552288C" w14:textId="679973CF" w:rsidR="00277863" w:rsidRPr="00277863" w:rsidRDefault="00277863">
      <w:pPr>
        <w:pStyle w:val="FootnoteText"/>
        <w:rPr>
          <w:lang w:val="en-US"/>
        </w:rPr>
      </w:pPr>
    </w:p>
  </w:footnote>
  <w:footnote w:id="64">
    <w:p w14:paraId="74D5C891" w14:textId="7EC9F9F8" w:rsidR="0074486D" w:rsidRPr="0074486D" w:rsidRDefault="0074486D">
      <w:pPr>
        <w:pStyle w:val="FootnoteText"/>
        <w:rPr>
          <w:lang w:val="en-US"/>
        </w:rPr>
      </w:pPr>
      <w:r>
        <w:rPr>
          <w:rStyle w:val="FootnoteReference"/>
        </w:rPr>
        <w:footnoteRef/>
      </w:r>
      <w:r>
        <w:t xml:space="preserve"> </w:t>
      </w:r>
      <w:r w:rsidRPr="0074486D">
        <w:rPr>
          <w:i/>
          <w:iCs/>
        </w:rPr>
        <w:t xml:space="preserve">Fatuma Binti </w:t>
      </w:r>
      <w:r w:rsidRPr="0074486D">
        <w:rPr>
          <w:i/>
          <w:iCs/>
        </w:rPr>
        <w:t>Athuma v Ali Baka</w:t>
      </w:r>
      <w:r>
        <w:rPr>
          <w:i/>
          <w:iCs/>
        </w:rPr>
        <w:t xml:space="preserve"> </w:t>
      </w:r>
      <w:r w:rsidR="00277863">
        <w:t>(</w:t>
      </w:r>
      <w:r>
        <w:t>1918) EALR 171.</w:t>
      </w:r>
    </w:p>
  </w:footnote>
  <w:footnote w:id="65">
    <w:p w14:paraId="05525691" w14:textId="77777777" w:rsidR="007A294C" w:rsidRDefault="007A294C" w:rsidP="00A45DDC">
      <w:pPr>
        <w:pStyle w:val="FootnoteText"/>
      </w:pPr>
      <w:r>
        <w:rPr>
          <w:rStyle w:val="FootnoteReference"/>
        </w:rPr>
        <w:footnoteRef/>
      </w:r>
      <w:r>
        <w:t xml:space="preserve"> Cotran E, ‘Marriage, divorce and succession laws in Kenya: Is integration or unification possible?’ 40 Journal of African Law 2, Liber </w:t>
      </w:r>
      <w:r>
        <w:t>Amicorum for Professor James S. Reed, 1996, 196.</w:t>
      </w:r>
    </w:p>
  </w:footnote>
  <w:footnote w:id="66">
    <w:p w14:paraId="42CF9FCA" w14:textId="77777777" w:rsidR="007A294C" w:rsidRDefault="007A294C" w:rsidP="00A45DDC">
      <w:pPr>
        <w:pStyle w:val="FootnoteText"/>
      </w:pPr>
      <w:r>
        <w:rPr>
          <w:rStyle w:val="FootnoteReference"/>
        </w:rPr>
        <w:footnoteRef/>
      </w:r>
      <w:r>
        <w:t xml:space="preserve"> </w:t>
      </w:r>
      <w:r>
        <w:t>Kiage P,</w:t>
      </w:r>
      <w:r w:rsidRPr="00A33BA0">
        <w:rPr>
          <w:sz w:val="24"/>
          <w:szCs w:val="22"/>
        </w:rPr>
        <w:t xml:space="preserve"> </w:t>
      </w:r>
      <w:r w:rsidRPr="00A33BA0">
        <w:t>Family law in Kenya: Marriage, divorce and children</w:t>
      </w:r>
      <w:r>
        <w:t>, 22.</w:t>
      </w:r>
    </w:p>
  </w:footnote>
  <w:footnote w:id="67">
    <w:p w14:paraId="3231DB2E" w14:textId="77777777" w:rsidR="007A294C" w:rsidRDefault="007A294C" w:rsidP="00A45DDC">
      <w:pPr>
        <w:pStyle w:val="FootnoteText"/>
      </w:pPr>
      <w:r>
        <w:rPr>
          <w:rStyle w:val="FootnoteReference"/>
        </w:rPr>
        <w:footnoteRef/>
      </w:r>
      <w:r>
        <w:t xml:space="preserve"> </w:t>
      </w:r>
      <w:r>
        <w:t xml:space="preserve">Kiage P, </w:t>
      </w:r>
      <w:r w:rsidRPr="00A33BA0">
        <w:t>Family law in Kenya: Marriage, divorce and children</w:t>
      </w:r>
      <w:r>
        <w:t>,</w:t>
      </w:r>
      <w:r w:rsidRPr="00A33BA0">
        <w:t xml:space="preserve"> </w:t>
      </w:r>
      <w:r>
        <w:t>23.</w:t>
      </w:r>
    </w:p>
  </w:footnote>
  <w:footnote w:id="68">
    <w:p w14:paraId="7AAF5EE7" w14:textId="77777777" w:rsidR="007A294C" w:rsidRDefault="007A294C" w:rsidP="00A45DDC">
      <w:pPr>
        <w:pStyle w:val="FootnoteText"/>
        <w:tabs>
          <w:tab w:val="left" w:pos="7845"/>
        </w:tabs>
      </w:pPr>
      <w:r>
        <w:rPr>
          <w:rStyle w:val="FootnoteReference"/>
        </w:rPr>
        <w:footnoteRef/>
      </w:r>
      <w:r>
        <w:t xml:space="preserve"> </w:t>
      </w:r>
      <w:r>
        <w:t xml:space="preserve">Kiage P, </w:t>
      </w:r>
      <w:bookmarkStart w:id="52" w:name="_Hlk52283417"/>
      <w:r>
        <w:t xml:space="preserve">Family law in Kenya: Marriage, </w:t>
      </w:r>
      <w:r>
        <w:t>divorce and children</w:t>
      </w:r>
      <w:bookmarkEnd w:id="52"/>
      <w:r>
        <w:t>, 24.</w:t>
      </w:r>
      <w:r>
        <w:tab/>
      </w:r>
    </w:p>
  </w:footnote>
  <w:footnote w:id="69">
    <w:p w14:paraId="34D8BBA8" w14:textId="77777777" w:rsidR="007A294C" w:rsidRDefault="007A294C" w:rsidP="00A45DDC">
      <w:pPr>
        <w:pStyle w:val="FootnoteText"/>
      </w:pPr>
      <w:r>
        <w:rPr>
          <w:rStyle w:val="FootnoteReference"/>
        </w:rPr>
        <w:footnoteRef/>
      </w:r>
      <w:r>
        <w:t xml:space="preserve"> Cottrell J and </w:t>
      </w:r>
      <w:r>
        <w:t>Ghai Y, ‘</w:t>
      </w:r>
      <w:r w:rsidRPr="00C33760">
        <w:t>The Contribution of the South African Constitution to Kenya's Constitution</w:t>
      </w:r>
      <w:r>
        <w:t xml:space="preserve">’ </w:t>
      </w:r>
      <w:r w:rsidRPr="00C33760">
        <w:t>in Rosalind Dixon &amp; Theunis Roux (ed.), </w:t>
      </w:r>
      <w:hyperlink r:id="rId9" w:history="1">
        <w:r w:rsidRPr="00CC1F73">
          <w:rPr>
            <w:rStyle w:val="Hyperlink"/>
            <w:i/>
            <w:iCs/>
            <w:color w:val="000000" w:themeColor="text1"/>
            <w:u w:val="none"/>
          </w:rPr>
          <w:t>Constitutional Triumphs, Constitutional Disappointments : A Critical Assessment of the 1996 South African Constitution's Local and International Influence,</w:t>
        </w:r>
      </w:hyperlink>
      <w:r w:rsidRPr="00CC1F73">
        <w:rPr>
          <w:i/>
          <w:iCs/>
          <w:color w:val="000000" w:themeColor="text1"/>
        </w:rPr>
        <w:t> </w:t>
      </w:r>
      <w:r w:rsidRPr="00C33760">
        <w:t>Cambridge University Press, March 2018, 252</w:t>
      </w:r>
      <w:r>
        <w:t>.</w:t>
      </w:r>
    </w:p>
  </w:footnote>
  <w:footnote w:id="70">
    <w:p w14:paraId="79A3D9B2" w14:textId="77777777" w:rsidR="007A294C" w:rsidRDefault="007A294C" w:rsidP="00A45DDC">
      <w:pPr>
        <w:pStyle w:val="FootnoteText"/>
      </w:pPr>
      <w:r>
        <w:rPr>
          <w:rStyle w:val="FootnoteReference"/>
        </w:rPr>
        <w:footnoteRef/>
      </w:r>
      <w:r>
        <w:t xml:space="preserve"> Section 8, </w:t>
      </w:r>
      <w:r>
        <w:rPr>
          <w:i/>
        </w:rPr>
        <w:t xml:space="preserve">Marriage Act </w:t>
      </w:r>
      <w:r>
        <w:t>(No. 4 of 2014).</w:t>
      </w:r>
    </w:p>
  </w:footnote>
  <w:footnote w:id="71">
    <w:p w14:paraId="1DE36E50" w14:textId="77777777" w:rsidR="007A294C" w:rsidRDefault="007A294C" w:rsidP="00A45DDC">
      <w:pPr>
        <w:pStyle w:val="FootnoteText"/>
      </w:pPr>
      <w:r>
        <w:rPr>
          <w:rStyle w:val="FootnoteReference"/>
        </w:rPr>
        <w:footnoteRef/>
      </w:r>
      <w:r>
        <w:t xml:space="preserve"> </w:t>
      </w:r>
      <w:r w:rsidRPr="006B1506">
        <w:t>This stemmed from the strict application of marriage laws from English laws as a “voluntary union for life between one man and one woman to the exclusion of others”. Cotran E, ‘</w:t>
      </w:r>
      <w:r w:rsidRPr="006B1506">
        <w:rPr>
          <w:i/>
        </w:rPr>
        <w:t>Marriage, Divorce and Succession Laws in Kenya: Is Integration or Unification Possible?</w:t>
      </w:r>
      <w:r w:rsidRPr="006B1506">
        <w:t>’, 196.</w:t>
      </w:r>
    </w:p>
  </w:footnote>
  <w:footnote w:id="72">
    <w:p w14:paraId="390BB53A" w14:textId="77777777" w:rsidR="007A294C" w:rsidRPr="00CB5B2C" w:rsidRDefault="007A294C" w:rsidP="00A45DDC">
      <w:pPr>
        <w:pStyle w:val="FootnoteText"/>
      </w:pPr>
      <w:r>
        <w:rPr>
          <w:rStyle w:val="FootnoteReference"/>
        </w:rPr>
        <w:footnoteRef/>
      </w:r>
      <w:r>
        <w:t xml:space="preserve"> </w:t>
      </w:r>
      <w:r>
        <w:rPr>
          <w:i/>
          <w:iCs/>
        </w:rPr>
        <w:t xml:space="preserve">Re </w:t>
      </w:r>
      <w:r>
        <w:rPr>
          <w:i/>
          <w:iCs/>
        </w:rPr>
        <w:t>Reunji’s estate</w:t>
      </w:r>
      <w:r>
        <w:t xml:space="preserve"> (1977) KLR 21.</w:t>
      </w:r>
    </w:p>
  </w:footnote>
  <w:footnote w:id="73">
    <w:p w14:paraId="11343476" w14:textId="77777777" w:rsidR="007A294C" w:rsidRDefault="007A294C" w:rsidP="00A45DDC">
      <w:pPr>
        <w:pStyle w:val="FootnoteText"/>
      </w:pPr>
      <w:r>
        <w:rPr>
          <w:rStyle w:val="FootnoteReference"/>
        </w:rPr>
        <w:footnoteRef/>
      </w:r>
      <w:r>
        <w:t xml:space="preserve"> </w:t>
      </w:r>
      <w:r w:rsidRPr="000A30C2">
        <w:t xml:space="preserve">Section 43 (2), </w:t>
      </w:r>
      <w:r w:rsidRPr="000A30C2">
        <w:rPr>
          <w:i/>
        </w:rPr>
        <w:t>Marriage Act</w:t>
      </w:r>
      <w:r w:rsidRPr="000A30C2">
        <w:t xml:space="preserve"> (No. 4 of 2014).</w:t>
      </w:r>
    </w:p>
  </w:footnote>
  <w:footnote w:id="74">
    <w:p w14:paraId="1ACD43CC" w14:textId="77777777" w:rsidR="007A294C" w:rsidRDefault="007A294C" w:rsidP="00A45DDC">
      <w:pPr>
        <w:pStyle w:val="FootnoteText"/>
      </w:pPr>
      <w:r>
        <w:rPr>
          <w:rStyle w:val="FootnoteReference"/>
        </w:rPr>
        <w:footnoteRef/>
      </w:r>
      <w:r>
        <w:t xml:space="preserve"> Section 68, </w:t>
      </w:r>
      <w:r>
        <w:rPr>
          <w:i/>
        </w:rPr>
        <w:t>Marriage Act</w:t>
      </w:r>
      <w:r>
        <w:t xml:space="preserve"> (No. 4 of 2014).</w:t>
      </w:r>
    </w:p>
  </w:footnote>
  <w:footnote w:id="75">
    <w:p w14:paraId="55954C46" w14:textId="77777777" w:rsidR="007A294C" w:rsidRPr="00E85895" w:rsidRDefault="007A294C" w:rsidP="00E85895">
      <w:pPr>
        <w:pStyle w:val="FootnoteText"/>
      </w:pPr>
      <w:r>
        <w:rPr>
          <w:rStyle w:val="FootnoteReference"/>
        </w:rPr>
        <w:footnoteRef/>
      </w:r>
      <w:r>
        <w:t xml:space="preserve"> </w:t>
      </w:r>
      <w:r w:rsidRPr="00E85895">
        <w:t xml:space="preserve">Gachenga E, ‘Gender dimensions of customary water resource governance: Marakwet case study’, </w:t>
      </w:r>
      <w:r w:rsidRPr="00E85895">
        <w:t xml:space="preserve">Hellum A, Kameri-Mbote P, and Koppen B (eds) in </w:t>
      </w:r>
      <w:r w:rsidRPr="00E85895">
        <w:rPr>
          <w:i/>
          <w:iCs/>
        </w:rPr>
        <w:t>Water is life: Women’s human rights in national and local water governance in southern and eastern Africa</w:t>
      </w:r>
      <w:r w:rsidRPr="00E85895">
        <w:t>, Weaver Press, Harare, 2015, 189.</w:t>
      </w:r>
    </w:p>
    <w:p w14:paraId="35FBF29B" w14:textId="5B9C0BC5" w:rsidR="007A294C" w:rsidRPr="008D2CCA" w:rsidRDefault="007A294C">
      <w:pPr>
        <w:pStyle w:val="FootnoteText"/>
        <w:rPr>
          <w:lang w:val="en-US"/>
        </w:rPr>
      </w:pPr>
    </w:p>
  </w:footnote>
  <w:footnote w:id="76">
    <w:p w14:paraId="32C059F9" w14:textId="298A4FC3" w:rsidR="007A294C" w:rsidRDefault="007A294C" w:rsidP="00A45DDC">
      <w:pPr>
        <w:pStyle w:val="FootnoteText"/>
        <w:spacing w:line="276" w:lineRule="auto"/>
        <w:rPr>
          <w:rFonts w:asciiTheme="minorHAnsi" w:hAnsiTheme="minorHAnsi"/>
        </w:rPr>
      </w:pPr>
      <w:r>
        <w:rPr>
          <w:rStyle w:val="FootnoteReference"/>
        </w:rPr>
        <w:footnoteRef/>
      </w:r>
      <w:r>
        <w:t xml:space="preserve"> </w:t>
      </w:r>
      <w:r w:rsidRPr="007E517F">
        <w:rPr>
          <w:i/>
        </w:rPr>
        <w:t xml:space="preserve">Ernest </w:t>
      </w:r>
      <w:r w:rsidRPr="007E517F">
        <w:rPr>
          <w:i/>
        </w:rPr>
        <w:t>Kinyajui Kimani v Muiru Gikanga and Another</w:t>
      </w:r>
      <w:r w:rsidRPr="007E517F">
        <w:t xml:space="preserve"> </w:t>
      </w:r>
      <w:r>
        <w:t>(1965) EA 735.</w:t>
      </w:r>
    </w:p>
  </w:footnote>
  <w:footnote w:id="77">
    <w:p w14:paraId="18487050" w14:textId="77777777" w:rsidR="007A294C" w:rsidRDefault="007A294C" w:rsidP="00A45DDC">
      <w:pPr>
        <w:pStyle w:val="FootnoteText"/>
        <w:spacing w:line="276" w:lineRule="auto"/>
      </w:pPr>
      <w:r>
        <w:rPr>
          <w:rStyle w:val="FootnoteReference"/>
        </w:rPr>
        <w:footnoteRef/>
      </w:r>
      <w:r>
        <w:t xml:space="preserve"> Kariuki F, </w:t>
      </w:r>
      <w:r>
        <w:rPr>
          <w:i/>
        </w:rPr>
        <w:t>‘Customary law jurisprudence from Kenyan courts: Implications for traditional justice system’</w:t>
      </w:r>
      <w:r>
        <w:t>, 8.</w:t>
      </w:r>
    </w:p>
  </w:footnote>
  <w:footnote w:id="78">
    <w:p w14:paraId="2E097226" w14:textId="7A9614E6" w:rsidR="007A294C" w:rsidRDefault="007A294C" w:rsidP="00A45DDC">
      <w:pPr>
        <w:pStyle w:val="FootnoteText"/>
        <w:spacing w:line="276" w:lineRule="auto"/>
        <w:rPr>
          <w:rFonts w:asciiTheme="minorHAnsi" w:hAnsiTheme="minorHAnsi"/>
        </w:rPr>
      </w:pPr>
      <w:r>
        <w:rPr>
          <w:rStyle w:val="FootnoteReference"/>
        </w:rPr>
        <w:footnoteRef/>
      </w:r>
      <w:r>
        <w:t xml:space="preserve"> </w:t>
      </w:r>
      <w:r>
        <w:rPr>
          <w:i/>
        </w:rPr>
        <w:t xml:space="preserve">Republic v Mohammed </w:t>
      </w:r>
      <w:r>
        <w:rPr>
          <w:i/>
        </w:rPr>
        <w:t xml:space="preserve">Abdow Mohammed </w:t>
      </w:r>
      <w:r>
        <w:t>(2013) eKLR.</w:t>
      </w:r>
    </w:p>
  </w:footnote>
  <w:footnote w:id="79">
    <w:p w14:paraId="3B6CE16A" w14:textId="77777777" w:rsidR="007A294C" w:rsidRDefault="007A294C" w:rsidP="00A45DDC">
      <w:pPr>
        <w:pStyle w:val="FootnoteText"/>
        <w:spacing w:line="276" w:lineRule="auto"/>
        <w:rPr>
          <w:i/>
        </w:rPr>
      </w:pPr>
      <w:r>
        <w:rPr>
          <w:rStyle w:val="FootnoteReference"/>
        </w:rPr>
        <w:footnoteRef/>
      </w:r>
      <w:r>
        <w:t xml:space="preserve"> Article 159 (1) </w:t>
      </w:r>
      <w:r>
        <w:rPr>
          <w:i/>
        </w:rPr>
        <w:t xml:space="preserve">Constitution of Kenya </w:t>
      </w:r>
      <w:r>
        <w:t>(2010).</w:t>
      </w:r>
    </w:p>
  </w:footnote>
  <w:footnote w:id="80">
    <w:p w14:paraId="5B106F88" w14:textId="77777777" w:rsidR="007A294C" w:rsidRDefault="007A294C" w:rsidP="00A45DDC">
      <w:pPr>
        <w:pStyle w:val="FootnoteText"/>
        <w:spacing w:line="276" w:lineRule="auto"/>
      </w:pPr>
      <w:r>
        <w:rPr>
          <w:rStyle w:val="FootnoteReference"/>
        </w:rPr>
        <w:footnoteRef/>
      </w:r>
      <w:r>
        <w:t xml:space="preserve"> Section 68 </w:t>
      </w:r>
      <w:r>
        <w:rPr>
          <w:i/>
        </w:rPr>
        <w:t xml:space="preserve">Marriage Act </w:t>
      </w:r>
      <w:r>
        <w:t>(Act No 4 of 2014).</w:t>
      </w:r>
    </w:p>
  </w:footnote>
  <w:footnote w:id="81">
    <w:p w14:paraId="088F107D" w14:textId="348EABC1" w:rsidR="007A294C" w:rsidRDefault="007A294C">
      <w:pPr>
        <w:pStyle w:val="FootnoteText"/>
      </w:pPr>
      <w:r>
        <w:rPr>
          <w:rStyle w:val="FootnoteReference"/>
        </w:rPr>
        <w:footnoteRef/>
      </w:r>
      <w:r>
        <w:t xml:space="preserve"> </w:t>
      </w:r>
      <w:r w:rsidRPr="00EA5C93">
        <w:t>Harrison J, ‘Who were the Anglo-Saxons?’ British Library, -&lt;</w:t>
      </w:r>
      <w:hyperlink r:id="rId10" w:history="1">
        <w:r w:rsidRPr="00EA5C93">
          <w:rPr>
            <w:rStyle w:val="Hyperlink"/>
          </w:rPr>
          <w:t>https://www.bl.uk/anglo-saxons/articles/who-were-the-anglo-saxons#</w:t>
        </w:r>
      </w:hyperlink>
      <w:r w:rsidRPr="00EA5C93">
        <w:t>&gt; on 20 December 2020.</w:t>
      </w:r>
    </w:p>
  </w:footnote>
  <w:footnote w:id="82">
    <w:p w14:paraId="1AEB9877" w14:textId="4F8CD4D7" w:rsidR="007A294C" w:rsidRDefault="007A294C">
      <w:pPr>
        <w:pStyle w:val="FootnoteText"/>
      </w:pPr>
      <w:r>
        <w:rPr>
          <w:rStyle w:val="FootnoteReference"/>
        </w:rPr>
        <w:footnoteRef/>
      </w:r>
      <w:r>
        <w:t xml:space="preserve"> </w:t>
      </w:r>
      <w:bookmarkStart w:id="57" w:name="_Hlk64104012"/>
      <w:r>
        <w:t>Harrison J, ‘Who were the Anglo-Saxons?’ British Library, -&lt;</w:t>
      </w:r>
      <w:hyperlink r:id="rId11" w:history="1">
        <w:r w:rsidRPr="00903664">
          <w:rPr>
            <w:rStyle w:val="Hyperlink"/>
          </w:rPr>
          <w:t>https://www.bl.uk/anglo-saxons/articles/who-were-the-anglo-saxons#</w:t>
        </w:r>
      </w:hyperlink>
      <w:r>
        <w:t>&gt; on 20 December 2020.</w:t>
      </w:r>
    </w:p>
    <w:bookmarkEnd w:id="57"/>
  </w:footnote>
  <w:footnote w:id="83">
    <w:p w14:paraId="667ED9F5" w14:textId="1E3B511F" w:rsidR="007A294C" w:rsidRDefault="007A294C">
      <w:pPr>
        <w:pStyle w:val="FootnoteText"/>
      </w:pPr>
      <w:r>
        <w:rPr>
          <w:rStyle w:val="FootnoteReference"/>
        </w:rPr>
        <w:footnoteRef/>
      </w:r>
      <w:r>
        <w:t xml:space="preserve"> Everitt L, ‘Ten key moments in the history of marriage’, BBC News Magazine, 14 March 2012 &lt;</w:t>
      </w:r>
      <w:hyperlink r:id="rId12" w:anchor=":~:text=The%20Marriage%20Act%20of%201836,cities%20across%20England%20and%20Wales.&amp;text=Apart%20from%20a%20brief%20period,the%20couples%20weren't%20members" w:history="1">
        <w:r w:rsidRPr="00903664">
          <w:rPr>
            <w:rStyle w:val="Hyperlink"/>
          </w:rPr>
          <w:t>https://www.bbc.com/news/magazine 17351133#:~:text=The%20Marriage%20Act%20of%201836,cities%20across%20England%20and%20Wales.&amp;text=Apart%20from%20a%20brief%20period,the%20couples%20weren't%20members</w:t>
        </w:r>
      </w:hyperlink>
      <w:r>
        <w:t>&gt; on 20 December 2020.</w:t>
      </w:r>
    </w:p>
  </w:footnote>
  <w:footnote w:id="84">
    <w:p w14:paraId="38141385" w14:textId="0957EB1D" w:rsidR="007A294C" w:rsidRDefault="007A294C">
      <w:pPr>
        <w:pStyle w:val="FootnoteText"/>
      </w:pPr>
      <w:r>
        <w:rPr>
          <w:rStyle w:val="FootnoteReference"/>
        </w:rPr>
        <w:footnoteRef/>
      </w:r>
      <w:r>
        <w:t xml:space="preserve"> </w:t>
      </w:r>
      <w:r w:rsidRPr="00ED3B1E">
        <w:t>Everitt L, ‘Ten key moments in the history of marriage’, BBC News Magazine, 14 March 2012 &lt;</w:t>
      </w:r>
      <w:hyperlink r:id="rId13" w:anchor=":~:text=The%20Marriage%20Act%20of%201836,cities%20across%20England%20and%20Wales.&amp;text=Apart%20from%20a%20brief%20period,the%20couples%20weren't%20members" w:history="1">
        <w:r w:rsidRPr="00ED3B1E">
          <w:rPr>
            <w:rStyle w:val="Hyperlink"/>
          </w:rPr>
          <w:t>https://www.bbc.com/news/magazine 17351133#:~:text=The%20Marriage%20Act%20of%201836,cities%20across%20England%20and%20Wales.&amp;text=Apart%20from%20a%20brief%20period,the%20couples%20weren't%20members</w:t>
        </w:r>
      </w:hyperlink>
      <w:r w:rsidRPr="00ED3B1E">
        <w:t>&gt; on 20 December 2020.</w:t>
      </w:r>
    </w:p>
  </w:footnote>
  <w:footnote w:id="85">
    <w:p w14:paraId="7696E647" w14:textId="3213B945" w:rsidR="007A294C" w:rsidRDefault="007A294C">
      <w:pPr>
        <w:pStyle w:val="FootnoteText"/>
      </w:pPr>
      <w:r>
        <w:rPr>
          <w:rStyle w:val="FootnoteReference"/>
        </w:rPr>
        <w:footnoteRef/>
      </w:r>
      <w:r>
        <w:t xml:space="preserve"> Nelson H, ‘</w:t>
      </w:r>
      <w:r w:rsidRPr="003A057F">
        <w:t xml:space="preserve">The </w:t>
      </w:r>
      <w:r>
        <w:t>l</w:t>
      </w:r>
      <w:r w:rsidRPr="003A057F">
        <w:t xml:space="preserve">aw and the </w:t>
      </w:r>
      <w:r>
        <w:t>l</w:t>
      </w:r>
      <w:r w:rsidRPr="003A057F">
        <w:t xml:space="preserve">ady: </w:t>
      </w:r>
      <w:r>
        <w:t>C</w:t>
      </w:r>
      <w:r w:rsidRPr="003A057F">
        <w:t xml:space="preserve">onsent and </w:t>
      </w:r>
      <w:r>
        <w:t>m</w:t>
      </w:r>
      <w:r w:rsidRPr="003A057F">
        <w:t xml:space="preserve">arriage in </w:t>
      </w:r>
      <w:r>
        <w:t>n</w:t>
      </w:r>
      <w:r w:rsidRPr="003A057F">
        <w:t>ineteenth-</w:t>
      </w:r>
      <w:r>
        <w:t>c</w:t>
      </w:r>
      <w:r w:rsidRPr="003A057F">
        <w:t xml:space="preserve">entury British </w:t>
      </w:r>
      <w:r>
        <w:t>l</w:t>
      </w:r>
      <w:r w:rsidRPr="003A057F">
        <w:t>iterature</w:t>
      </w:r>
      <w:r>
        <w:t xml:space="preserve">’ published Doctor of Philosophy Thesis, Purdue University, Indiana, 2015, 2.  </w:t>
      </w:r>
    </w:p>
  </w:footnote>
  <w:footnote w:id="86">
    <w:p w14:paraId="55FFD251" w14:textId="118E2C02" w:rsidR="007A294C" w:rsidRDefault="007A294C">
      <w:pPr>
        <w:pStyle w:val="FootnoteText"/>
      </w:pPr>
      <w:r>
        <w:rPr>
          <w:rStyle w:val="FootnoteReference"/>
        </w:rPr>
        <w:footnoteRef/>
      </w:r>
      <w:r>
        <w:t xml:space="preserve"> UK parliament, ‘The law of marriage’, -&lt;</w:t>
      </w:r>
      <w:r w:rsidRPr="004E6D37">
        <w:t xml:space="preserve"> </w:t>
      </w:r>
      <w:hyperlink r:id="rId14" w:history="1">
        <w:r w:rsidRPr="00CF7856">
          <w:rPr>
            <w:rStyle w:val="Hyperlink"/>
          </w:rPr>
          <w:t>https://www.parliament.uk/about/living-heritage/transformingsociety/private-lives/relationships/overview/lawofmarriage-/</w:t>
        </w:r>
      </w:hyperlink>
      <w:r>
        <w:t xml:space="preserve">&gt; on 1 February 2021. </w:t>
      </w:r>
    </w:p>
  </w:footnote>
  <w:footnote w:id="87">
    <w:p w14:paraId="718480DF" w14:textId="5BB589B6" w:rsidR="007A294C" w:rsidRDefault="007A294C">
      <w:pPr>
        <w:pStyle w:val="FootnoteText"/>
      </w:pPr>
      <w:r>
        <w:rPr>
          <w:rStyle w:val="FootnoteReference"/>
        </w:rPr>
        <w:footnoteRef/>
      </w:r>
      <w:r>
        <w:t xml:space="preserve"> </w:t>
      </w:r>
      <w:r>
        <w:t>Rocketlawyer, ‘Getting married in the U.K legally’, -&lt;</w:t>
      </w:r>
      <w:r w:rsidRPr="003426A5">
        <w:t xml:space="preserve"> </w:t>
      </w:r>
      <w:hyperlink r:id="rId15" w:history="1">
        <w:r w:rsidRPr="00CF7856">
          <w:rPr>
            <w:rStyle w:val="Hyperlink"/>
          </w:rPr>
          <w:t>https://www.rocketlawyer.com/gb/en/quick-guides/getting-married</w:t>
        </w:r>
      </w:hyperlink>
      <w:r>
        <w:t>&gt; on 10 February 2021.</w:t>
      </w:r>
    </w:p>
  </w:footnote>
  <w:footnote w:id="88">
    <w:p w14:paraId="4B668064" w14:textId="1EFBCCFF" w:rsidR="007A294C" w:rsidRPr="00E85895" w:rsidRDefault="007A294C">
      <w:pPr>
        <w:pStyle w:val="FootnoteText"/>
        <w:rPr>
          <w:lang w:val="en-US"/>
        </w:rPr>
      </w:pPr>
      <w:r>
        <w:rPr>
          <w:rStyle w:val="FootnoteReference"/>
        </w:rPr>
        <w:footnoteRef/>
      </w:r>
      <w:r>
        <w:t xml:space="preserve"> NCSL, ‘How states define lobbying and lobbyists’, -&lt;</w:t>
      </w:r>
      <w:r w:rsidRPr="00E85895">
        <w:t xml:space="preserve"> </w:t>
      </w:r>
      <w:hyperlink r:id="rId16" w:anchor=":~:text=%E2%80%9CLobbying%E2%80%9D%20means%20influencing%20or%20attempting,or%20employee%20of%20the%20Legislature" w:history="1">
        <w:r w:rsidRPr="00891C32">
          <w:rPr>
            <w:rStyle w:val="Hyperlink"/>
          </w:rPr>
          <w:t>https://www.ncsl.org/research/ethics/50-state-chart-lobby-definitions.aspx#:~:text=%E2%80%9CLobbying%E2%80%9D%20means%20influencing%20or%20attempting,or%20employee%20of%20the%20Legislature</w:t>
        </w:r>
      </w:hyperlink>
      <w:r>
        <w:t>&gt; on 3 March 2021.</w:t>
      </w:r>
    </w:p>
  </w:footnote>
  <w:footnote w:id="89">
    <w:p w14:paraId="40CAED37" w14:textId="77777777" w:rsidR="007A294C" w:rsidRPr="00FE3F27" w:rsidRDefault="007A294C" w:rsidP="000F4352">
      <w:pPr>
        <w:pStyle w:val="FootnoteText"/>
      </w:pPr>
      <w:r>
        <w:rPr>
          <w:rStyle w:val="FootnoteReference"/>
        </w:rPr>
        <w:footnoteRef/>
      </w:r>
      <w:r>
        <w:t xml:space="preserve"> </w:t>
      </w:r>
      <w:r w:rsidRPr="00FE3F27">
        <w:t>East</w:t>
      </w:r>
      <w:r>
        <w:t xml:space="preserve"> African Order in Council No. 19 of 1904</w:t>
      </w:r>
      <w:r w:rsidRPr="00FE3F27">
        <w:t>.</w:t>
      </w:r>
    </w:p>
  </w:footnote>
  <w:footnote w:id="90">
    <w:p w14:paraId="43FB2ECC" w14:textId="77777777" w:rsidR="007A294C" w:rsidRPr="00FE3F27" w:rsidRDefault="007A294C" w:rsidP="000F4352">
      <w:pPr>
        <w:pStyle w:val="FootnoteText"/>
      </w:pPr>
      <w:r>
        <w:rPr>
          <w:rStyle w:val="FootnoteReference"/>
        </w:rPr>
        <w:footnoteRef/>
      </w:r>
      <w:r>
        <w:t xml:space="preserve"> East African Order in Council No. 14 of 1961.</w:t>
      </w:r>
    </w:p>
  </w:footnote>
  <w:footnote w:id="91">
    <w:p w14:paraId="1DB48E20" w14:textId="400D427E" w:rsidR="007A294C" w:rsidRPr="006A1514" w:rsidRDefault="007A294C">
      <w:pPr>
        <w:pStyle w:val="FootnoteText"/>
        <w:rPr>
          <w:lang w:val="en-US"/>
        </w:rPr>
      </w:pPr>
      <w:r>
        <w:rPr>
          <w:rStyle w:val="FootnoteReference"/>
        </w:rPr>
        <w:footnoteRef/>
      </w:r>
      <w:r>
        <w:t xml:space="preserve"> Section 1-3, </w:t>
      </w:r>
      <w:r>
        <w:rPr>
          <w:i/>
          <w:iCs/>
        </w:rPr>
        <w:t>Marriage Act</w:t>
      </w:r>
      <w:r>
        <w:t xml:space="preserve"> </w:t>
      </w:r>
      <w:r w:rsidRPr="005006A0">
        <w:rPr>
          <w:i/>
          <w:iCs/>
        </w:rPr>
        <w:t>1949</w:t>
      </w:r>
      <w:r>
        <w:t xml:space="preserve"> (United Kingdom).</w:t>
      </w:r>
    </w:p>
  </w:footnote>
  <w:footnote w:id="92">
    <w:p w14:paraId="163F1D75" w14:textId="77777777" w:rsidR="007A294C" w:rsidRPr="005035B7" w:rsidRDefault="007A294C" w:rsidP="000F4352">
      <w:pPr>
        <w:pStyle w:val="FootnoteText"/>
      </w:pPr>
      <w:r>
        <w:rPr>
          <w:rStyle w:val="FootnoteReference"/>
        </w:rPr>
        <w:footnoteRef/>
      </w:r>
      <w:r>
        <w:t xml:space="preserve"> </w:t>
      </w:r>
      <w:r w:rsidRPr="005035B7">
        <w:rPr>
          <w:i/>
          <w:iCs/>
        </w:rPr>
        <w:t>Cole v Cole</w:t>
      </w:r>
      <w:r w:rsidRPr="005035B7">
        <w:t xml:space="preserve"> (1898), Supreme Court of Nigeria.</w:t>
      </w:r>
    </w:p>
  </w:footnote>
  <w:footnote w:id="93">
    <w:p w14:paraId="53B1EF0D" w14:textId="3F014ABB" w:rsidR="007A294C" w:rsidRDefault="007A294C">
      <w:pPr>
        <w:pStyle w:val="FootnoteText"/>
      </w:pPr>
      <w:r>
        <w:rPr>
          <w:rStyle w:val="FootnoteReference"/>
        </w:rPr>
        <w:footnoteRef/>
      </w:r>
      <w:r>
        <w:t xml:space="preserve"> </w:t>
      </w:r>
      <w:bookmarkStart w:id="59" w:name="_Hlk63841274"/>
      <w:r>
        <w:t xml:space="preserve">Atika School, ‘Importance of paying dowry in traditional African societies’, 15 August 2019 -&lt; </w:t>
      </w:r>
      <w:hyperlink r:id="rId17" w:history="1">
        <w:r w:rsidRPr="0002620C">
          <w:rPr>
            <w:rStyle w:val="Hyperlink"/>
          </w:rPr>
          <w:t>https://www.atikaschool.org/cre-questions-and-answers/importance-of-paying-dowry-in-traditional-african-society</w:t>
        </w:r>
      </w:hyperlink>
      <w:r>
        <w:t>&gt; on 20 December 2020.</w:t>
      </w:r>
    </w:p>
    <w:bookmarkEnd w:id="59"/>
  </w:footnote>
  <w:footnote w:id="94">
    <w:p w14:paraId="19A2E550" w14:textId="6AF64311" w:rsidR="007A294C" w:rsidRPr="006D6044" w:rsidRDefault="007A294C">
      <w:pPr>
        <w:pStyle w:val="FootnoteText"/>
      </w:pPr>
      <w:r>
        <w:rPr>
          <w:rStyle w:val="FootnoteReference"/>
        </w:rPr>
        <w:footnoteRef/>
      </w:r>
      <w:r>
        <w:t xml:space="preserve"> </w:t>
      </w:r>
      <w:r w:rsidRPr="005759DA">
        <w:t xml:space="preserve">Atika School, ‘Importance of paying dowry in traditional African societies’, 15 August 2019 -&lt; </w:t>
      </w:r>
      <w:hyperlink r:id="rId18" w:history="1">
        <w:r w:rsidRPr="0002620C">
          <w:rPr>
            <w:rStyle w:val="Hyperlink"/>
          </w:rPr>
          <w:t>https://www.atikaschool.org/cre-questions-and-answers/importance-of-paying-dowry-in-traditional-african-society</w:t>
        </w:r>
      </w:hyperlink>
      <w:r>
        <w:t xml:space="preserve">&gt; </w:t>
      </w:r>
      <w:r w:rsidRPr="005759DA">
        <w:t>on 20 December 2020.</w:t>
      </w:r>
      <w:r>
        <w:t xml:space="preserve"> </w:t>
      </w:r>
    </w:p>
  </w:footnote>
  <w:footnote w:id="95">
    <w:p w14:paraId="0E59C0B6" w14:textId="77777777" w:rsidR="007A294C" w:rsidRPr="00EB57D9" w:rsidRDefault="007A294C" w:rsidP="000F4352">
      <w:pPr>
        <w:pStyle w:val="FootnoteText"/>
      </w:pPr>
      <w:r>
        <w:rPr>
          <w:rStyle w:val="FootnoteReference"/>
        </w:rPr>
        <w:footnoteRef/>
      </w:r>
      <w:r>
        <w:t xml:space="preserve"> </w:t>
      </w:r>
      <w:r>
        <w:rPr>
          <w:i/>
        </w:rPr>
        <w:t>Rono v Rono</w:t>
      </w:r>
      <w:r>
        <w:t xml:space="preserve"> (2005)</w:t>
      </w:r>
      <w:r w:rsidRPr="00EB57D9">
        <w:t xml:space="preserve"> 1 EA 363</w:t>
      </w:r>
      <w:r>
        <w:t>.</w:t>
      </w:r>
    </w:p>
  </w:footnote>
  <w:footnote w:id="96">
    <w:p w14:paraId="2442CA3B" w14:textId="77777777" w:rsidR="007A294C" w:rsidRDefault="007A294C" w:rsidP="000F4352">
      <w:pPr>
        <w:pStyle w:val="FootnoteText"/>
        <w:spacing w:line="276" w:lineRule="auto"/>
      </w:pPr>
      <w:r>
        <w:rPr>
          <w:rStyle w:val="FootnoteReference"/>
        </w:rPr>
        <w:footnoteRef/>
      </w:r>
      <w:r>
        <w:t xml:space="preserve"> </w:t>
      </w:r>
      <w:r>
        <w:t xml:space="preserve">Eugene Cotran, collected African customary laws that deal </w:t>
      </w:r>
      <w:r w:rsidRPr="00195CE2">
        <w:t>with marriage, divorce and succession.</w:t>
      </w:r>
    </w:p>
  </w:footnote>
  <w:footnote w:id="97">
    <w:p w14:paraId="3154F12E" w14:textId="3ABDCEE6" w:rsidR="007A294C" w:rsidRDefault="007A294C" w:rsidP="000F4352">
      <w:pPr>
        <w:pStyle w:val="FootnoteText"/>
        <w:spacing w:line="276" w:lineRule="auto"/>
      </w:pPr>
      <w:r>
        <w:rPr>
          <w:rStyle w:val="FootnoteReference"/>
        </w:rPr>
        <w:footnoteRef/>
      </w:r>
      <w:r>
        <w:t xml:space="preserve"> </w:t>
      </w:r>
      <w:r w:rsidRPr="003C066F">
        <w:t>Cornell International Journal Online,</w:t>
      </w:r>
      <w:r>
        <w:t xml:space="preserve"> ‘</w:t>
      </w:r>
      <w:r w:rsidRPr="00CC1F73">
        <w:rPr>
          <w:iCs/>
        </w:rPr>
        <w:t>International law in South Africa and Kenya’</w:t>
      </w:r>
      <w:r>
        <w:rPr>
          <w:i/>
        </w:rPr>
        <w:t>,</w:t>
      </w:r>
      <w:r>
        <w:t xml:space="preserve"> 9 December 2013 -&lt;</w:t>
      </w:r>
      <w:r w:rsidRPr="00CC1F73">
        <w:t xml:space="preserve"> </w:t>
      </w:r>
      <w:hyperlink r:id="rId19" w:history="1">
        <w:r w:rsidRPr="00CF7856">
          <w:rPr>
            <w:rStyle w:val="Hyperlink"/>
          </w:rPr>
          <w:t>http://cornellilj.org/international-law-in-south-africa-and-kenya/</w:t>
        </w:r>
      </w:hyperlink>
      <w:r>
        <w:t>&gt; on 24 September 2020.</w:t>
      </w:r>
    </w:p>
  </w:footnote>
  <w:footnote w:id="98">
    <w:p w14:paraId="22B550F2" w14:textId="77777777" w:rsidR="007A294C" w:rsidRPr="00ED4373" w:rsidRDefault="007A294C" w:rsidP="000F4352">
      <w:pPr>
        <w:pStyle w:val="FootnoteText"/>
      </w:pPr>
      <w:r>
        <w:rPr>
          <w:rStyle w:val="FootnoteReference"/>
        </w:rPr>
        <w:footnoteRef/>
      </w:r>
      <w:r>
        <w:t xml:space="preserve"> </w:t>
      </w:r>
      <w:r>
        <w:t>Nyali Ltd v A.G. or Kenya [1955]</w:t>
      </w:r>
      <w:r w:rsidRPr="00ED4373">
        <w:t xml:space="preserve"> 1 All E.R. 646 at 653</w:t>
      </w:r>
      <w:r>
        <w:t>.</w:t>
      </w:r>
    </w:p>
    <w:p w14:paraId="20EF2896" w14:textId="77777777" w:rsidR="007A294C" w:rsidRPr="00CE5CA1" w:rsidRDefault="007A294C" w:rsidP="000F4352">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03F42294"/>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DCFC5518"/>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1792BB6E"/>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0F7A329C"/>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D2FC8D1C"/>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C5E44BA8"/>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6A8E21BE"/>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2EC4910E"/>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6EA4E56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0525578"/>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3ACF698E"/>
    <w:multiLevelType w:val="hybridMultilevel"/>
    <w:tmpl w:val="54023A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49789A"/>
    <w:multiLevelType w:val="multilevel"/>
    <w:tmpl w:val="F36AE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0"/>
  </w:num>
  <w:num w:numId="2">
    <w:abstractNumId w:val="9"/>
  </w:num>
  <w:num w:numId="3">
    <w:abstractNumId w:val="8"/>
  </w:num>
  <w:num w:numId="4">
    <w:abstractNumId w:val="7"/>
  </w:num>
  <w:num w:numId="5">
    <w:abstractNumId w:val="6"/>
  </w:num>
  <w:num w:numId="6">
    <w:abstractNumId w:val="5"/>
  </w:num>
  <w:num w:numId="7">
    <w:abstractNumId w:val="4"/>
  </w:num>
  <w:num w:numId="8">
    <w:abstractNumId w:val="3"/>
  </w:num>
  <w:num w:numId="9">
    <w:abstractNumId w:val="2"/>
  </w:num>
  <w:num w:numId="10">
    <w:abstractNumId w:val="1"/>
  </w:num>
  <w:num w:numId="11">
    <w:abstractNumId w:val="0"/>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proofState w:spelling="clean"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2"/>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4CB5"/>
    <w:rsid w:val="000047CC"/>
    <w:rsid w:val="000058A4"/>
    <w:rsid w:val="0001508E"/>
    <w:rsid w:val="000272CB"/>
    <w:rsid w:val="00035513"/>
    <w:rsid w:val="00041C7B"/>
    <w:rsid w:val="000530D1"/>
    <w:rsid w:val="000552C3"/>
    <w:rsid w:val="0006618D"/>
    <w:rsid w:val="0009509A"/>
    <w:rsid w:val="00096A28"/>
    <w:rsid w:val="00096B52"/>
    <w:rsid w:val="000A0AB3"/>
    <w:rsid w:val="000A169B"/>
    <w:rsid w:val="000A6416"/>
    <w:rsid w:val="000C0C35"/>
    <w:rsid w:val="000C5EC9"/>
    <w:rsid w:val="000C6D15"/>
    <w:rsid w:val="000C79B7"/>
    <w:rsid w:val="000D56BA"/>
    <w:rsid w:val="000F0026"/>
    <w:rsid w:val="000F4352"/>
    <w:rsid w:val="001044EB"/>
    <w:rsid w:val="00107798"/>
    <w:rsid w:val="0011507C"/>
    <w:rsid w:val="00121201"/>
    <w:rsid w:val="0012212F"/>
    <w:rsid w:val="00122B01"/>
    <w:rsid w:val="00133AD3"/>
    <w:rsid w:val="00136446"/>
    <w:rsid w:val="00151475"/>
    <w:rsid w:val="00152C7B"/>
    <w:rsid w:val="00170FCD"/>
    <w:rsid w:val="00182648"/>
    <w:rsid w:val="001900EA"/>
    <w:rsid w:val="0019386F"/>
    <w:rsid w:val="001C0105"/>
    <w:rsid w:val="001E4B8F"/>
    <w:rsid w:val="001E7D6B"/>
    <w:rsid w:val="001F3838"/>
    <w:rsid w:val="001F6510"/>
    <w:rsid w:val="00202369"/>
    <w:rsid w:val="002423E2"/>
    <w:rsid w:val="002463B1"/>
    <w:rsid w:val="0025659D"/>
    <w:rsid w:val="00260849"/>
    <w:rsid w:val="0027010E"/>
    <w:rsid w:val="002720B4"/>
    <w:rsid w:val="00277863"/>
    <w:rsid w:val="00284AF3"/>
    <w:rsid w:val="00294E06"/>
    <w:rsid w:val="002B6316"/>
    <w:rsid w:val="002D1BEE"/>
    <w:rsid w:val="002D6922"/>
    <w:rsid w:val="002E55B7"/>
    <w:rsid w:val="002E635E"/>
    <w:rsid w:val="002E73A1"/>
    <w:rsid w:val="002E7AC4"/>
    <w:rsid w:val="003101DB"/>
    <w:rsid w:val="00314CC6"/>
    <w:rsid w:val="00317D6B"/>
    <w:rsid w:val="00321557"/>
    <w:rsid w:val="00325494"/>
    <w:rsid w:val="0033024D"/>
    <w:rsid w:val="00334D4C"/>
    <w:rsid w:val="003365D9"/>
    <w:rsid w:val="003426A5"/>
    <w:rsid w:val="0034292F"/>
    <w:rsid w:val="00342CA7"/>
    <w:rsid w:val="00345F82"/>
    <w:rsid w:val="0035431E"/>
    <w:rsid w:val="00371D1E"/>
    <w:rsid w:val="00380E63"/>
    <w:rsid w:val="003A057F"/>
    <w:rsid w:val="003C1825"/>
    <w:rsid w:val="003C7465"/>
    <w:rsid w:val="003D3DB4"/>
    <w:rsid w:val="003F037A"/>
    <w:rsid w:val="003F1A14"/>
    <w:rsid w:val="004132C4"/>
    <w:rsid w:val="00435F72"/>
    <w:rsid w:val="00444B4C"/>
    <w:rsid w:val="004478E2"/>
    <w:rsid w:val="00456447"/>
    <w:rsid w:val="004723C9"/>
    <w:rsid w:val="0047586B"/>
    <w:rsid w:val="00482CAB"/>
    <w:rsid w:val="0048649E"/>
    <w:rsid w:val="0049681C"/>
    <w:rsid w:val="004C253F"/>
    <w:rsid w:val="004E490F"/>
    <w:rsid w:val="004E6D37"/>
    <w:rsid w:val="005006A0"/>
    <w:rsid w:val="00520F2D"/>
    <w:rsid w:val="005275CF"/>
    <w:rsid w:val="005367A2"/>
    <w:rsid w:val="005749E9"/>
    <w:rsid w:val="005759DA"/>
    <w:rsid w:val="005827AD"/>
    <w:rsid w:val="005848DA"/>
    <w:rsid w:val="00587440"/>
    <w:rsid w:val="005A6684"/>
    <w:rsid w:val="005B2EA5"/>
    <w:rsid w:val="005E294A"/>
    <w:rsid w:val="005E5C41"/>
    <w:rsid w:val="005F50EE"/>
    <w:rsid w:val="005F6ED0"/>
    <w:rsid w:val="00610E75"/>
    <w:rsid w:val="006126BF"/>
    <w:rsid w:val="006211F6"/>
    <w:rsid w:val="0062768D"/>
    <w:rsid w:val="006309B0"/>
    <w:rsid w:val="00643EE3"/>
    <w:rsid w:val="00653431"/>
    <w:rsid w:val="00655025"/>
    <w:rsid w:val="0065638C"/>
    <w:rsid w:val="006773EF"/>
    <w:rsid w:val="00690D5D"/>
    <w:rsid w:val="006957F7"/>
    <w:rsid w:val="006A1514"/>
    <w:rsid w:val="006A3B7B"/>
    <w:rsid w:val="006A465C"/>
    <w:rsid w:val="006C2041"/>
    <w:rsid w:val="006D1E67"/>
    <w:rsid w:val="006D6044"/>
    <w:rsid w:val="006E0717"/>
    <w:rsid w:val="006E432D"/>
    <w:rsid w:val="00701E38"/>
    <w:rsid w:val="00721DA9"/>
    <w:rsid w:val="007223DA"/>
    <w:rsid w:val="00727C16"/>
    <w:rsid w:val="00732210"/>
    <w:rsid w:val="00732422"/>
    <w:rsid w:val="0074486D"/>
    <w:rsid w:val="0074517C"/>
    <w:rsid w:val="00750DA4"/>
    <w:rsid w:val="007530F0"/>
    <w:rsid w:val="007623FA"/>
    <w:rsid w:val="00764D11"/>
    <w:rsid w:val="00771AF3"/>
    <w:rsid w:val="00773007"/>
    <w:rsid w:val="007834C9"/>
    <w:rsid w:val="007860AD"/>
    <w:rsid w:val="00790B22"/>
    <w:rsid w:val="0079473F"/>
    <w:rsid w:val="00797E0A"/>
    <w:rsid w:val="007A294C"/>
    <w:rsid w:val="007D5AF6"/>
    <w:rsid w:val="007E5128"/>
    <w:rsid w:val="007E517F"/>
    <w:rsid w:val="007E75B5"/>
    <w:rsid w:val="007F0023"/>
    <w:rsid w:val="00804CFD"/>
    <w:rsid w:val="00804F94"/>
    <w:rsid w:val="00841476"/>
    <w:rsid w:val="00847C0B"/>
    <w:rsid w:val="008663BD"/>
    <w:rsid w:val="00874CB5"/>
    <w:rsid w:val="00877D1A"/>
    <w:rsid w:val="0089749A"/>
    <w:rsid w:val="008B1041"/>
    <w:rsid w:val="008B6A30"/>
    <w:rsid w:val="008D2CCA"/>
    <w:rsid w:val="008D65BE"/>
    <w:rsid w:val="008E27D1"/>
    <w:rsid w:val="008F244E"/>
    <w:rsid w:val="008F791B"/>
    <w:rsid w:val="00926B2F"/>
    <w:rsid w:val="00935AAB"/>
    <w:rsid w:val="00941ABE"/>
    <w:rsid w:val="00950B8B"/>
    <w:rsid w:val="0095125C"/>
    <w:rsid w:val="0095160F"/>
    <w:rsid w:val="0095594B"/>
    <w:rsid w:val="009A4598"/>
    <w:rsid w:val="009B7F58"/>
    <w:rsid w:val="009C6A66"/>
    <w:rsid w:val="009E2FC4"/>
    <w:rsid w:val="00A04D5C"/>
    <w:rsid w:val="00A20E6E"/>
    <w:rsid w:val="00A2295A"/>
    <w:rsid w:val="00A24C2D"/>
    <w:rsid w:val="00A27BC9"/>
    <w:rsid w:val="00A45DDC"/>
    <w:rsid w:val="00A53BC0"/>
    <w:rsid w:val="00A605AB"/>
    <w:rsid w:val="00AA0A3D"/>
    <w:rsid w:val="00AA2D68"/>
    <w:rsid w:val="00AB2FE9"/>
    <w:rsid w:val="00AB5649"/>
    <w:rsid w:val="00AB7486"/>
    <w:rsid w:val="00AD4DB3"/>
    <w:rsid w:val="00AE3661"/>
    <w:rsid w:val="00AE61A9"/>
    <w:rsid w:val="00AE689E"/>
    <w:rsid w:val="00AF0C72"/>
    <w:rsid w:val="00B03EAE"/>
    <w:rsid w:val="00B05109"/>
    <w:rsid w:val="00B05CDD"/>
    <w:rsid w:val="00B06205"/>
    <w:rsid w:val="00B14794"/>
    <w:rsid w:val="00B25FE8"/>
    <w:rsid w:val="00B3444A"/>
    <w:rsid w:val="00B3729B"/>
    <w:rsid w:val="00B40D03"/>
    <w:rsid w:val="00B47DCD"/>
    <w:rsid w:val="00B62015"/>
    <w:rsid w:val="00B6359E"/>
    <w:rsid w:val="00B67001"/>
    <w:rsid w:val="00B67EC8"/>
    <w:rsid w:val="00B768EF"/>
    <w:rsid w:val="00B80D29"/>
    <w:rsid w:val="00B925E9"/>
    <w:rsid w:val="00BA1134"/>
    <w:rsid w:val="00BB5787"/>
    <w:rsid w:val="00BB6211"/>
    <w:rsid w:val="00BD1068"/>
    <w:rsid w:val="00BD3356"/>
    <w:rsid w:val="00BD6F92"/>
    <w:rsid w:val="00BE75A4"/>
    <w:rsid w:val="00BF2043"/>
    <w:rsid w:val="00C00C47"/>
    <w:rsid w:val="00C05848"/>
    <w:rsid w:val="00C1795E"/>
    <w:rsid w:val="00C3097D"/>
    <w:rsid w:val="00C35FD1"/>
    <w:rsid w:val="00C67706"/>
    <w:rsid w:val="00C76E11"/>
    <w:rsid w:val="00CA2791"/>
    <w:rsid w:val="00CB521D"/>
    <w:rsid w:val="00CC1F73"/>
    <w:rsid w:val="00CC55D2"/>
    <w:rsid w:val="00CD0830"/>
    <w:rsid w:val="00CF12B7"/>
    <w:rsid w:val="00CF3412"/>
    <w:rsid w:val="00D100D0"/>
    <w:rsid w:val="00D105DC"/>
    <w:rsid w:val="00D21AD8"/>
    <w:rsid w:val="00D3442C"/>
    <w:rsid w:val="00D73BC3"/>
    <w:rsid w:val="00D74C45"/>
    <w:rsid w:val="00D74D91"/>
    <w:rsid w:val="00D957CC"/>
    <w:rsid w:val="00DB1DA4"/>
    <w:rsid w:val="00DB55E2"/>
    <w:rsid w:val="00DC3998"/>
    <w:rsid w:val="00DC79F7"/>
    <w:rsid w:val="00DD0195"/>
    <w:rsid w:val="00DE019C"/>
    <w:rsid w:val="00DF0CA1"/>
    <w:rsid w:val="00DF2DA6"/>
    <w:rsid w:val="00E0142E"/>
    <w:rsid w:val="00E04601"/>
    <w:rsid w:val="00E16234"/>
    <w:rsid w:val="00E2167E"/>
    <w:rsid w:val="00E23D20"/>
    <w:rsid w:val="00E2503D"/>
    <w:rsid w:val="00E60444"/>
    <w:rsid w:val="00E70A68"/>
    <w:rsid w:val="00E7205E"/>
    <w:rsid w:val="00E81896"/>
    <w:rsid w:val="00E85895"/>
    <w:rsid w:val="00E86FC5"/>
    <w:rsid w:val="00EA5C93"/>
    <w:rsid w:val="00EB0890"/>
    <w:rsid w:val="00EC0E65"/>
    <w:rsid w:val="00ED3B1E"/>
    <w:rsid w:val="00ED56CE"/>
    <w:rsid w:val="00EE6424"/>
    <w:rsid w:val="00F0127A"/>
    <w:rsid w:val="00F52F1A"/>
    <w:rsid w:val="00F532E6"/>
    <w:rsid w:val="00F611B6"/>
    <w:rsid w:val="00F66586"/>
    <w:rsid w:val="00F81648"/>
    <w:rsid w:val="00F81AB0"/>
    <w:rsid w:val="00F918C3"/>
    <w:rsid w:val="00FB02D5"/>
    <w:rsid w:val="00FC2DB1"/>
    <w:rsid w:val="00FC64F6"/>
    <w:rsid w:val="00FF0F92"/>
    <w:rsid w:val="00FF2171"/>
    <w:rsid w:val="00FF43B7"/>
    <w:rsid w:val="00FF55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1F25AE1"/>
  <w15:chartTrackingRefBased/>
  <w15:docId w15:val="{C32FF7C1-2D1F-4C63-9EEC-157BE187B9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sz w:val="24"/>
        <w:szCs w:val="24"/>
        <w:lang w:val="en-US" w:eastAsia="en-US" w:bidi="ar-SA"/>
      </w:rPr>
    </w:rPrDefault>
    <w:pPrDefault>
      <w:pPr>
        <w:spacing w:after="160"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50B8B"/>
    <w:rPr>
      <w:lang w:val="en-GB"/>
    </w:rPr>
  </w:style>
  <w:style w:type="paragraph" w:styleId="Heading1">
    <w:name w:val="heading 1"/>
    <w:basedOn w:val="Normal"/>
    <w:next w:val="Normal"/>
    <w:link w:val="Heading1Char"/>
    <w:autoRedefine/>
    <w:uiPriority w:val="9"/>
    <w:qFormat/>
    <w:rsid w:val="00E16234"/>
    <w:pPr>
      <w:keepNext/>
      <w:keepLines/>
      <w:spacing w:before="240" w:after="0"/>
      <w:outlineLvl w:val="0"/>
    </w:pPr>
    <w:rPr>
      <w:rFonts w:eastAsiaTheme="majorEastAsia" w:cstheme="majorBidi"/>
      <w:b/>
      <w:sz w:val="28"/>
      <w:szCs w:val="32"/>
    </w:rPr>
  </w:style>
  <w:style w:type="paragraph" w:styleId="Heading2">
    <w:name w:val="heading 2"/>
    <w:basedOn w:val="Normal"/>
    <w:next w:val="Normal"/>
    <w:link w:val="Heading2Char"/>
    <w:autoRedefine/>
    <w:uiPriority w:val="9"/>
    <w:unhideWhenUsed/>
    <w:qFormat/>
    <w:rsid w:val="0011507C"/>
    <w:pPr>
      <w:keepNext/>
      <w:keepLines/>
      <w:spacing w:before="40" w:after="0"/>
      <w:outlineLvl w:val="1"/>
    </w:pPr>
    <w:rPr>
      <w:rFonts w:eastAsiaTheme="majorEastAsia" w:cstheme="majorBidi"/>
      <w:b/>
      <w:sz w:val="26"/>
      <w:szCs w:val="26"/>
    </w:rPr>
  </w:style>
  <w:style w:type="paragraph" w:styleId="Heading3">
    <w:name w:val="heading 3"/>
    <w:basedOn w:val="Normal"/>
    <w:next w:val="Normal"/>
    <w:link w:val="Heading3Char"/>
    <w:autoRedefine/>
    <w:uiPriority w:val="9"/>
    <w:unhideWhenUsed/>
    <w:qFormat/>
    <w:rsid w:val="00950B8B"/>
    <w:pPr>
      <w:keepNext/>
      <w:keepLines/>
      <w:spacing w:before="40" w:after="0"/>
      <w:outlineLvl w:val="2"/>
    </w:pPr>
    <w:rPr>
      <w:rFonts w:eastAsiaTheme="majorEastAsia" w:cstheme="majorBidi"/>
      <w:b/>
      <w:bCs/>
      <w:color w:val="000000" w:themeColor="text1"/>
      <w:sz w:val="26"/>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06618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6618D"/>
    <w:rPr>
      <w:sz w:val="20"/>
      <w:szCs w:val="20"/>
    </w:rPr>
  </w:style>
  <w:style w:type="character" w:styleId="FootnoteReference">
    <w:name w:val="footnote reference"/>
    <w:basedOn w:val="DefaultParagraphFont"/>
    <w:uiPriority w:val="99"/>
    <w:semiHidden/>
    <w:unhideWhenUsed/>
    <w:rsid w:val="0006618D"/>
    <w:rPr>
      <w:vertAlign w:val="superscript"/>
    </w:rPr>
  </w:style>
  <w:style w:type="character" w:styleId="Hyperlink">
    <w:name w:val="Hyperlink"/>
    <w:basedOn w:val="DefaultParagraphFont"/>
    <w:uiPriority w:val="99"/>
    <w:unhideWhenUsed/>
    <w:rsid w:val="00A45DDC"/>
    <w:rPr>
      <w:color w:val="0563C1" w:themeColor="hyperlink"/>
      <w:u w:val="single"/>
    </w:rPr>
  </w:style>
  <w:style w:type="character" w:styleId="UnresolvedMention">
    <w:name w:val="Unresolved Mention"/>
    <w:basedOn w:val="DefaultParagraphFont"/>
    <w:uiPriority w:val="99"/>
    <w:semiHidden/>
    <w:unhideWhenUsed/>
    <w:rsid w:val="005759DA"/>
    <w:rPr>
      <w:color w:val="605E5C"/>
      <w:shd w:val="clear" w:color="auto" w:fill="E1DFDD"/>
    </w:rPr>
  </w:style>
  <w:style w:type="character" w:customStyle="1" w:styleId="Heading1Char">
    <w:name w:val="Heading 1 Char"/>
    <w:basedOn w:val="DefaultParagraphFont"/>
    <w:link w:val="Heading1"/>
    <w:uiPriority w:val="9"/>
    <w:rsid w:val="00E16234"/>
    <w:rPr>
      <w:rFonts w:eastAsiaTheme="majorEastAsia" w:cstheme="majorBidi"/>
      <w:b/>
      <w:sz w:val="28"/>
      <w:szCs w:val="32"/>
      <w:lang w:val="en-GB"/>
    </w:rPr>
  </w:style>
  <w:style w:type="character" w:customStyle="1" w:styleId="Heading2Char">
    <w:name w:val="Heading 2 Char"/>
    <w:basedOn w:val="DefaultParagraphFont"/>
    <w:link w:val="Heading2"/>
    <w:uiPriority w:val="9"/>
    <w:rsid w:val="0011507C"/>
    <w:rPr>
      <w:rFonts w:eastAsiaTheme="majorEastAsia" w:cstheme="majorBidi"/>
      <w:b/>
      <w:sz w:val="26"/>
      <w:szCs w:val="26"/>
      <w:lang w:val="en-GB"/>
    </w:rPr>
  </w:style>
  <w:style w:type="paragraph" w:styleId="TOCHeading">
    <w:name w:val="TOC Heading"/>
    <w:basedOn w:val="Heading1"/>
    <w:next w:val="Normal"/>
    <w:uiPriority w:val="39"/>
    <w:unhideWhenUsed/>
    <w:qFormat/>
    <w:rsid w:val="00E23D20"/>
    <w:pPr>
      <w:spacing w:line="259" w:lineRule="auto"/>
      <w:jc w:val="left"/>
      <w:outlineLvl w:val="9"/>
    </w:pPr>
  </w:style>
  <w:style w:type="paragraph" w:styleId="TOC1">
    <w:name w:val="toc 1"/>
    <w:basedOn w:val="Normal"/>
    <w:next w:val="Normal"/>
    <w:autoRedefine/>
    <w:uiPriority w:val="39"/>
    <w:unhideWhenUsed/>
    <w:rsid w:val="005A6684"/>
    <w:pPr>
      <w:tabs>
        <w:tab w:val="right" w:leader="dot" w:pos="9350"/>
      </w:tabs>
      <w:spacing w:after="100" w:line="276" w:lineRule="auto"/>
    </w:pPr>
    <w:rPr>
      <w:b/>
      <w:bCs/>
      <w:noProof/>
    </w:rPr>
  </w:style>
  <w:style w:type="paragraph" w:styleId="TOC2">
    <w:name w:val="toc 2"/>
    <w:basedOn w:val="Normal"/>
    <w:next w:val="Normal"/>
    <w:autoRedefine/>
    <w:uiPriority w:val="39"/>
    <w:unhideWhenUsed/>
    <w:rsid w:val="00E23D20"/>
    <w:pPr>
      <w:spacing w:after="100"/>
      <w:ind w:left="240"/>
    </w:pPr>
  </w:style>
  <w:style w:type="character" w:customStyle="1" w:styleId="Heading3Char">
    <w:name w:val="Heading 3 Char"/>
    <w:basedOn w:val="DefaultParagraphFont"/>
    <w:link w:val="Heading3"/>
    <w:uiPriority w:val="9"/>
    <w:rsid w:val="00950B8B"/>
    <w:rPr>
      <w:rFonts w:eastAsiaTheme="majorEastAsia" w:cstheme="majorBidi"/>
      <w:b/>
      <w:bCs/>
      <w:color w:val="000000" w:themeColor="text1"/>
      <w:sz w:val="26"/>
      <w:szCs w:val="28"/>
      <w:lang w:val="en-GB"/>
    </w:rPr>
  </w:style>
  <w:style w:type="paragraph" w:styleId="TOC3">
    <w:name w:val="toc 3"/>
    <w:basedOn w:val="Normal"/>
    <w:next w:val="Normal"/>
    <w:autoRedefine/>
    <w:uiPriority w:val="39"/>
    <w:unhideWhenUsed/>
    <w:rsid w:val="0019386F"/>
    <w:pPr>
      <w:tabs>
        <w:tab w:val="right" w:leader="dot" w:pos="9350"/>
      </w:tabs>
      <w:spacing w:after="100"/>
    </w:pPr>
  </w:style>
  <w:style w:type="paragraph" w:styleId="Header">
    <w:name w:val="header"/>
    <w:basedOn w:val="Normal"/>
    <w:link w:val="HeaderChar"/>
    <w:uiPriority w:val="99"/>
    <w:unhideWhenUsed/>
    <w:rsid w:val="005B2EA5"/>
    <w:pPr>
      <w:tabs>
        <w:tab w:val="center" w:pos="4680"/>
        <w:tab w:val="right" w:pos="9360"/>
      </w:tabs>
      <w:spacing w:after="0" w:line="240" w:lineRule="auto"/>
    </w:pPr>
  </w:style>
  <w:style w:type="character" w:customStyle="1" w:styleId="HeaderChar">
    <w:name w:val="Header Char"/>
    <w:basedOn w:val="DefaultParagraphFont"/>
    <w:link w:val="Header"/>
    <w:uiPriority w:val="99"/>
    <w:rsid w:val="005B2EA5"/>
  </w:style>
  <w:style w:type="paragraph" w:styleId="Footer">
    <w:name w:val="footer"/>
    <w:basedOn w:val="Normal"/>
    <w:link w:val="FooterChar"/>
    <w:uiPriority w:val="99"/>
    <w:unhideWhenUsed/>
    <w:rsid w:val="005B2EA5"/>
    <w:pPr>
      <w:tabs>
        <w:tab w:val="center" w:pos="4680"/>
        <w:tab w:val="right" w:pos="9360"/>
      </w:tabs>
      <w:spacing w:after="0" w:line="240" w:lineRule="auto"/>
    </w:pPr>
  </w:style>
  <w:style w:type="character" w:customStyle="1" w:styleId="FooterChar">
    <w:name w:val="Footer Char"/>
    <w:basedOn w:val="DefaultParagraphFont"/>
    <w:link w:val="Footer"/>
    <w:uiPriority w:val="99"/>
    <w:rsid w:val="005B2EA5"/>
  </w:style>
  <w:style w:type="paragraph" w:styleId="ListParagraph">
    <w:name w:val="List Paragraph"/>
    <w:basedOn w:val="Normal"/>
    <w:uiPriority w:val="34"/>
    <w:qFormat/>
    <w:rsid w:val="00096B52"/>
    <w:pPr>
      <w:ind w:left="720"/>
      <w:contextualSpacing/>
    </w:pPr>
  </w:style>
  <w:style w:type="paragraph" w:styleId="NormalWeb">
    <w:name w:val="Normal (Web)"/>
    <w:basedOn w:val="Normal"/>
    <w:uiPriority w:val="99"/>
    <w:semiHidden/>
    <w:unhideWhenUsed/>
    <w:rsid w:val="0047586B"/>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8487277">
      <w:bodyDiv w:val="1"/>
      <w:marLeft w:val="0"/>
      <w:marRight w:val="0"/>
      <w:marTop w:val="0"/>
      <w:marBottom w:val="0"/>
      <w:divBdr>
        <w:top w:val="none" w:sz="0" w:space="0" w:color="auto"/>
        <w:left w:val="none" w:sz="0" w:space="0" w:color="auto"/>
        <w:bottom w:val="none" w:sz="0" w:space="0" w:color="auto"/>
        <w:right w:val="none" w:sz="0" w:space="0" w:color="auto"/>
      </w:divBdr>
    </w:div>
    <w:div w:id="1130436518">
      <w:bodyDiv w:val="1"/>
      <w:marLeft w:val="0"/>
      <w:marRight w:val="0"/>
      <w:marTop w:val="0"/>
      <w:marBottom w:val="0"/>
      <w:divBdr>
        <w:top w:val="none" w:sz="0" w:space="0" w:color="auto"/>
        <w:left w:val="none" w:sz="0" w:space="0" w:color="auto"/>
        <w:bottom w:val="none" w:sz="0" w:space="0" w:color="auto"/>
        <w:right w:val="none" w:sz="0" w:space="0" w:color="auto"/>
      </w:divBdr>
    </w:div>
    <w:div w:id="1973628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customXml" Target="ink/ink6.xml"/><Relationship Id="rId26" Type="http://schemas.openxmlformats.org/officeDocument/2006/relationships/hyperlink" Target="https://www.atikaschool.org/cre-questions-and-answers/importance-of-paying-dowry-in-traditional-african-society" TargetMode="External"/><Relationship Id="rId3" Type="http://schemas.openxmlformats.org/officeDocument/2006/relationships/styles" Target="styles.xml"/><Relationship Id="rId21" Type="http://schemas.openxmlformats.org/officeDocument/2006/relationships/image" Target="media/image7.pn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ustomXml" Target="ink/ink3.xml"/><Relationship Id="rId17" Type="http://schemas.openxmlformats.org/officeDocument/2006/relationships/image" Target="media/image5.png"/><Relationship Id="rId25" Type="http://schemas.openxmlformats.org/officeDocument/2006/relationships/hyperlink" Target="https://www.cambridge.org/core/books/constitutional-triumphs-constitutional-disappointments/51716229CA688B851832790A8E63997B" TargetMode="External"/><Relationship Id="rId33" Type="http://schemas.openxmlformats.org/officeDocument/2006/relationships/hyperlink" Target="https://www.parliament.uk/about/living-heritage/transformingsociety/private-lives/relationships/overview/lawofmarriage-/" TargetMode="External"/><Relationship Id="rId2" Type="http://schemas.openxmlformats.org/officeDocument/2006/relationships/numbering" Target="numbering.xml"/><Relationship Id="rId16" Type="http://schemas.openxmlformats.org/officeDocument/2006/relationships/customXml" Target="ink/ink5.xml"/><Relationship Id="rId20" Type="http://schemas.openxmlformats.org/officeDocument/2006/relationships/customXml" Target="ink/ink7.xml"/><Relationship Id="rId29" Type="http://schemas.openxmlformats.org/officeDocument/2006/relationships/hyperlink" Target="https://www.kenyans.co.ke/news/41743-customary-marriage-registration-process-keny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footer" Target="footer1.xml"/><Relationship Id="rId32" Type="http://schemas.openxmlformats.org/officeDocument/2006/relationships/hyperlink" Target="https://www.rocketlawyer.com/gb/en/quick-guides/getting-married" TargetMode="Externa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8.png"/><Relationship Id="rId28" Type="http://schemas.openxmlformats.org/officeDocument/2006/relationships/hyperlink" Target="https://www.bbc.com/news/magazine%2017351133" TargetMode="External"/><Relationship Id="rId10" Type="http://schemas.openxmlformats.org/officeDocument/2006/relationships/customXml" Target="ink/ink2.xml"/><Relationship Id="rId19" Type="http://schemas.openxmlformats.org/officeDocument/2006/relationships/image" Target="media/image6.png"/><Relationship Id="rId31" Type="http://schemas.openxmlformats.org/officeDocument/2006/relationships/hyperlink" Target="https://au.thepacificinstitute.com/blog/202006/04/why-narcissism-creates-unjust-cultures/"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customXml" Target="ink/ink4.xml"/><Relationship Id="rId22" Type="http://schemas.openxmlformats.org/officeDocument/2006/relationships/customXml" Target="ink/ink8.xml"/><Relationship Id="rId27" Type="http://schemas.openxmlformats.org/officeDocument/2006/relationships/hyperlink" Target="http://cornellilj.org/international-law-in-south-africa-and-kenya/" TargetMode="External"/><Relationship Id="rId30" Type="http://schemas.openxmlformats.org/officeDocument/2006/relationships/hyperlink" Target="https://www.bl.uk/anglo-saxons/articles/who-were-the-anglo-saxons" TargetMode="External"/><Relationship Id="rId35" Type="http://schemas.openxmlformats.org/officeDocument/2006/relationships/theme" Target="theme/theme1.xml"/><Relationship Id="rId8" Type="http://schemas.openxmlformats.org/officeDocument/2006/relationships/customXml" Target="ink/ink1.xml"/></Relationships>
</file>

<file path=word/_rels/footnotes.xml.rels><?xml version="1.0" encoding="UTF-8" standalone="yes"?>
<Relationships xmlns="http://schemas.openxmlformats.org/package/2006/relationships"><Relationship Id="rId8" Type="http://schemas.openxmlformats.org/officeDocument/2006/relationships/hyperlink" Target="https://au.thepacificinstitute.com/blog/202006/04/why-narcissism-creates-unjust-cultures/" TargetMode="External"/><Relationship Id="rId13" Type="http://schemas.openxmlformats.org/officeDocument/2006/relationships/hyperlink" Target="https://www.bbc.com/news/magazine%2017351133" TargetMode="External"/><Relationship Id="rId18" Type="http://schemas.openxmlformats.org/officeDocument/2006/relationships/hyperlink" Target="https://www.atikaschool.org/cre-questions-and-answers/importance-of-paying-dowry-in-traditional-african-society" TargetMode="External"/><Relationship Id="rId3" Type="http://schemas.openxmlformats.org/officeDocument/2006/relationships/hyperlink" Target="https://www.kenyans.co.ke/news/41743-customary-marriage-registration-process-kenya" TargetMode="External"/><Relationship Id="rId7" Type="http://schemas.openxmlformats.org/officeDocument/2006/relationships/hyperlink" Target="https://www.kenyans.co.ke/news/41743-customary-marriage-registration-process-kenya" TargetMode="External"/><Relationship Id="rId12" Type="http://schemas.openxmlformats.org/officeDocument/2006/relationships/hyperlink" Target="https://www.bbc.com/news/magazine%2017351133" TargetMode="External"/><Relationship Id="rId17" Type="http://schemas.openxmlformats.org/officeDocument/2006/relationships/hyperlink" Target="https://www.atikaschool.org/cre-questions-and-answers/importance-of-paying-dowry-in-traditional-african-society" TargetMode="External"/><Relationship Id="rId2" Type="http://schemas.openxmlformats.org/officeDocument/2006/relationships/hyperlink" Target="https://www.kenyans.co.ke/news/41743-customary-marriage-registration-process-kenya" TargetMode="External"/><Relationship Id="rId16" Type="http://schemas.openxmlformats.org/officeDocument/2006/relationships/hyperlink" Target="https://www.ncsl.org/research/ethics/50-state-chart-lobby-definitions.aspx" TargetMode="External"/><Relationship Id="rId1" Type="http://schemas.openxmlformats.org/officeDocument/2006/relationships/hyperlink" Target="http://dictionary.cambridge.org/dictionary/english/culture" TargetMode="External"/><Relationship Id="rId6" Type="http://schemas.openxmlformats.org/officeDocument/2006/relationships/hyperlink" Target="https://www.kenyans.co.ke/news/41743-customary-marriage-registration-process-kenya" TargetMode="External"/><Relationship Id="rId11" Type="http://schemas.openxmlformats.org/officeDocument/2006/relationships/hyperlink" Target="https://www.bl.uk/anglo-saxons/articles/who-were-the-anglo-saxons" TargetMode="External"/><Relationship Id="rId5" Type="http://schemas.openxmlformats.org/officeDocument/2006/relationships/hyperlink" Target="https://www.kenyans.co.ke/news/41743-customary-marriage-registration-process-kenya" TargetMode="External"/><Relationship Id="rId15" Type="http://schemas.openxmlformats.org/officeDocument/2006/relationships/hyperlink" Target="https://www.rocketlawyer.com/gb/en/quick-guides/getting-married" TargetMode="External"/><Relationship Id="rId10" Type="http://schemas.openxmlformats.org/officeDocument/2006/relationships/hyperlink" Target="https://www.bl.uk/anglo-saxons/articles/who-were-the-anglo-saxons" TargetMode="External"/><Relationship Id="rId19" Type="http://schemas.openxmlformats.org/officeDocument/2006/relationships/hyperlink" Target="http://cornellilj.org/international-law-in-south-africa-and-kenya/" TargetMode="External"/><Relationship Id="rId4" Type="http://schemas.openxmlformats.org/officeDocument/2006/relationships/hyperlink" Target="https://www.kenyans.co.ke/news/41743-customary-marriage-registration-process-kenya" TargetMode="External"/><Relationship Id="rId9" Type="http://schemas.openxmlformats.org/officeDocument/2006/relationships/hyperlink" Target="https://www.cambridge.org/core/books/constitutional-triumphs-constitutional-disappointments/51716229CA688B851832790A8E63997B" TargetMode="External"/><Relationship Id="rId14" Type="http://schemas.openxmlformats.org/officeDocument/2006/relationships/hyperlink" Target="https://www.parliament.uk/about/living-heritage/transformingsociety/private-lives/relationships/overview/lawofmarriage-/" TargetMode="Externa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7-29T09:28:11.783"/>
    </inkml:context>
    <inkml:brush xml:id="br0">
      <inkml:brushProperty name="width" value="0.05" units="cm"/>
      <inkml:brushProperty name="height" value="0.05" units="cm"/>
      <inkml:brushProperty name="ignorePressure" value="1"/>
    </inkml:brush>
  </inkml:definitions>
  <inkml:trace contextRef="#ctx0" brushRef="#br0">26 161,'0'-4,"0"2,0 7,0 12,0 12,0 5,0 2,0 4,0 0,-4-8,-2-3,0-3,1-1,2-5</inkml:trace>
  <inkml:trace contextRef="#ctx0" brushRef="#br0" timeOffset="2887.46">486 28,'0'-5,"0"4,0 5,0 13,0 7,0 4,0 2,0 1,0 4,0 0,0 0,0-2,0 7,0 1,0-6</inkml:trace>
  <inkml:trace contextRef="#ctx0" brushRef="#br0" timeOffset="49648.43">1 1,'1'8,"0"-1,1 1,0-1,0 1,0-1,1 0,8 14,7 21,-7 0,-8-30,0-1,0 1,1-1,1 1,-1-1,8 11,11 17,-17-27,0 0,2-1,-1 0,1 0,16 16,-21-25,0 1,1-1,-1 0,0 0,1 0,0 0,-1 0,1-1,0 0,0 0,0 0,0 0,0 0,0-1,0 0,0 0,0 0,0 0,0-1,0 1,0-1,0 0,5-3,16-5</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7-29T09:28:56.697"/>
    </inkml:context>
    <inkml:brush xml:id="br0">
      <inkml:brushProperty name="width" value="0.05" units="cm"/>
      <inkml:brushProperty name="height" value="0.05" units="cm"/>
      <inkml:brushProperty name="ignorePressure" value="1"/>
    </inkml:brush>
  </inkml:definitions>
  <inkml:trace contextRef="#ctx0" brushRef="#br0">246 1,'0'18,"-9"11,-8 0,-1 0,-2 0,-2 4,3 1,4-1,5-1,-5-2,0-1,-2-1,-8-5,1-2,5-4</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7-29T09:28:40.160"/>
    </inkml:context>
    <inkml:brush xml:id="br0">
      <inkml:brushProperty name="width" value="0.05" units="cm"/>
      <inkml:brushProperty name="height" value="0.05" units="cm"/>
      <inkml:brushProperty name="ignorePressure" value="1"/>
    </inkml:brush>
  </inkml:definitions>
  <inkml:trace contextRef="#ctx0" brushRef="#br0">0 1,'0'9,"0"8,0 5,0 4,0 2,5-4,1-6</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7-29T09:27:33.194"/>
    </inkml:context>
    <inkml:brush xml:id="br0">
      <inkml:brushProperty name="width" value="0.05" units="cm"/>
      <inkml:brushProperty name="height" value="0.05" units="cm"/>
      <inkml:brushProperty name="ignorePressure" value="1"/>
    </inkml:brush>
  </inkml:definitions>
  <inkml:trace contextRef="#ctx0" brushRef="#br0">1 0</inkml:trace>
</inkml:ink>
</file>

<file path=word/ink/ink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7-29T09:27:31.739"/>
    </inkml:context>
    <inkml:brush xml:id="br0">
      <inkml:brushProperty name="width" value="0.05" units="cm"/>
      <inkml:brushProperty name="height" value="0.05" units="cm"/>
      <inkml:brushProperty name="ignorePressure" value="1"/>
    </inkml:brush>
  </inkml:definitions>
  <inkml:trace contextRef="#ctx0" brushRef="#br0">78 0,'-4'0,"-7"0,-10 5,-1 1,2-1</inkml:trace>
</inkml:ink>
</file>

<file path=word/ink/ink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7-29T09:27:27.492"/>
    </inkml:context>
    <inkml:brush xml:id="br0">
      <inkml:brushProperty name="width" value="0.05" units="cm"/>
      <inkml:brushProperty name="height" value="0.05" units="cm"/>
      <inkml:brushProperty name="ignorePressure" value="1"/>
    </inkml:brush>
  </inkml:definitions>
  <inkml:trace contextRef="#ctx0" brushRef="#br0">1 55,'0'-4,"0"-12,4-2,3 1</inkml:trace>
</inkml:ink>
</file>

<file path=word/ink/ink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7-29T09:27:21.770"/>
    </inkml:context>
    <inkml:brush xml:id="br0">
      <inkml:brushProperty name="width" value="0.05" units="cm"/>
      <inkml:brushProperty name="height" value="0.05" units="cm"/>
      <inkml:brushProperty name="ignorePressure" value="1"/>
    </inkml:brush>
  </inkml:definitions>
  <inkml:trace contextRef="#ctx0" brushRef="#br0">68 95,'-2'23,"0"0,-8 32,-2 31,10-61,3-9,-2 1,0-1,-1 1,0-1,-1 0,-1 0,-1 0,0-1,-10 19,13-33,1-6,4-20,9-31,29-52,-26 72</inkml:trace>
  <inkml:trace contextRef="#ctx0" brushRef="#br0" timeOffset="2376.1">94 15,'0'-1,"0"1,0-1,0 1,0-1,0 1,0-1,0 1,0-1,0 1,0-1,0 1,0-1,0 1,1-1,-1 1,0-1,0 1,0 0,1-1,-1 1,0-1,0 1,1 0,-1-1,1 1,-1 0,0-1,1 1,-1 0,1-1,-1 1,0 0,1 0,-1 0,1 0,-1-1,1 1,-1 0,1 0,-1 0,1 0,-1 0,1 0,-1 0,1 0,-1 0,1 0,-1 0,1 1,-1-1,1 0,21 16,-16-6,0 1,-1-1,0 1,0 0,-2 1,1-1,-1 1,-1-1,2 16,-1 13,-4 58,0 5,1-99,0 1,1 0,-1-1,1 1,0-1,1 1,-1-1,1 1,-1-1,1 0,1 0,-1 0,0 0,1 0,0 0,4 3,9 6</inkml:trace>
</inkml:ink>
</file>

<file path=word/ink/ink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7-29T09:27:18.081"/>
    </inkml:context>
    <inkml:brush xml:id="br0">
      <inkml:brushProperty name="width" value="0.05" units="cm"/>
      <inkml:brushProperty name="height" value="0.05" units="cm"/>
      <inkml:brushProperty name="ignorePressure" value="1"/>
    </inkml:brush>
  </inkml:definitions>
  <inkml:trace contextRef="#ctx0" brushRef="#br0">404 1,'-6'1,"0"1,0 0,1 0,-1 1,1 0,-1 0,1 0,0 1,0 0,-7 7,1-2,2-2,1 0,-1 1,1 0,0 0,1 1,0 0,0 1,-7 14,13-20,-1-1,1 0,-1 1,1 0,0-1,1 1,-1-1,1 1,-1 0,1 0,0-1,1 1,-1 0,0-1,1 1,0 0,0-1,0 1,0-1,1 1,0-1,-1 0,1 1,0-1,0 0,1 0,-1 0,1-1,4 5,7 5,0 2,-1 0,0 0,-1 2,-1-1,0 1,-1 1,10 25,-19-41,0 1,-1-1,1 1,-1-1,0 1,1-1,-1 1,0 0,0-1,0 1,0 0,0-1,-1 1,1-1,0 1,-1 0,1-1,-1 1,0-1,1 1,-1-1,0 0,-1 3,-1-2,1 0,0 0,-1-1,1 1,-1-1,0 1,1-1,-1 0,0 0,0 0,0 0,-3 0,-12 2,-1-2,1 0,-28-3,29 2,-32-3,35 1,0 1,0 0,0 1,0 0,-1 2,1-1,0 2,0 0,-16 5,8 4</inkml:trace>
  <inkml:trace contextRef="#ctx0" brushRef="#br0" timeOffset="1017.91">566 326,'0'0</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519F0F-B0FE-4354-B99F-30DCAE8EF4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48</Pages>
  <Words>13262</Words>
  <Characters>75599</Characters>
  <Application>Microsoft Office Word</Application>
  <DocSecurity>0</DocSecurity>
  <Lines>629</Lines>
  <Paragraphs>177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88684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Shannon Mogeni</dc:creator>
  <cp:keywords/>
  <dc:description/>
  <cp:lastModifiedBy>Shannon Mogeni</cp:lastModifiedBy>
  <cp:revision>2</cp:revision>
  <dcterms:created xsi:type="dcterms:W3CDTF">2021-07-29T09:29:00Z</dcterms:created>
  <dcterms:modified xsi:type="dcterms:W3CDTF">2021-07-29T09:29:00Z</dcterms:modified>
</cp:coreProperties>
</file>