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53825295" w:displacedByCustomXml="next"/>
    <w:bookmarkStart w:id="1" w:name="_Toc36135309" w:displacedByCustomXml="next"/>
    <w:sdt>
      <w:sdtPr>
        <w:rPr>
          <w:color w:val="4472C4" w:themeColor="accent1"/>
        </w:rPr>
        <w:id w:val="-367461130"/>
        <w:docPartObj>
          <w:docPartGallery w:val="Cover Pages"/>
          <w:docPartUnique/>
        </w:docPartObj>
      </w:sdtPr>
      <w:sdtEndPr>
        <w:rPr>
          <w:rFonts w:ascii="Times New Roman" w:eastAsiaTheme="majorEastAsia" w:hAnsi="Times New Roman" w:cs="Times New Roman"/>
          <w:color w:val="2F5496" w:themeColor="accent1" w:themeShade="BF"/>
          <w:sz w:val="32"/>
          <w:szCs w:val="32"/>
        </w:rPr>
      </w:sdtEndPr>
      <w:sdtContent>
        <w:p w14:paraId="763ADE6C" w14:textId="7771AD7F" w:rsidR="00B57117" w:rsidRPr="00B57117" w:rsidRDefault="00B57117" w:rsidP="00314B4B">
          <w:pPr>
            <w:spacing w:before="240"/>
            <w:jc w:val="both"/>
            <w:rPr>
              <w:rFonts w:ascii="Times New Roman" w:eastAsia="Calibri" w:hAnsi="Times New Roman" w:cs="Times New Roman"/>
              <w:b/>
              <w:bCs/>
              <w:sz w:val="28"/>
              <w:szCs w:val="28"/>
            </w:rPr>
          </w:pPr>
          <w:r w:rsidRPr="00B57117">
            <w:rPr>
              <w:rFonts w:ascii="Times New Roman" w:eastAsia="Calibri" w:hAnsi="Times New Roman" w:cs="Times New Roman"/>
              <w:b/>
              <w:bCs/>
              <w:sz w:val="28"/>
              <w:szCs w:val="28"/>
            </w:rPr>
            <w:t>ELECTION</w:t>
          </w:r>
          <w:r w:rsidR="00424D77">
            <w:rPr>
              <w:rFonts w:ascii="Times New Roman" w:eastAsia="Calibri" w:hAnsi="Times New Roman" w:cs="Times New Roman"/>
              <w:b/>
              <w:bCs/>
              <w:sz w:val="28"/>
              <w:szCs w:val="28"/>
            </w:rPr>
            <w:t xml:space="preserve"> </w:t>
          </w:r>
          <w:r w:rsidR="007E3540">
            <w:rPr>
              <w:rFonts w:ascii="Times New Roman" w:eastAsia="Calibri" w:hAnsi="Times New Roman" w:cs="Times New Roman"/>
              <w:b/>
              <w:bCs/>
              <w:sz w:val="28"/>
              <w:szCs w:val="28"/>
            </w:rPr>
            <w:t>CAMP</w:t>
          </w:r>
          <w:r w:rsidR="00EF1BE7">
            <w:rPr>
              <w:rFonts w:ascii="Times New Roman" w:eastAsia="Calibri" w:hAnsi="Times New Roman" w:cs="Times New Roman"/>
              <w:b/>
              <w:bCs/>
              <w:sz w:val="28"/>
              <w:szCs w:val="28"/>
            </w:rPr>
            <w:t>A</w:t>
          </w:r>
          <w:r w:rsidR="007E3540">
            <w:rPr>
              <w:rFonts w:ascii="Times New Roman" w:eastAsia="Calibri" w:hAnsi="Times New Roman" w:cs="Times New Roman"/>
              <w:b/>
              <w:bCs/>
              <w:sz w:val="28"/>
              <w:szCs w:val="28"/>
            </w:rPr>
            <w:t>IG</w:t>
          </w:r>
          <w:r w:rsidR="00424D77">
            <w:rPr>
              <w:rFonts w:ascii="Times New Roman" w:eastAsia="Calibri" w:hAnsi="Times New Roman" w:cs="Times New Roman"/>
              <w:b/>
              <w:bCs/>
              <w:sz w:val="28"/>
              <w:szCs w:val="28"/>
            </w:rPr>
            <w:t>N</w:t>
          </w:r>
          <w:r w:rsidR="00F90E3B">
            <w:rPr>
              <w:rFonts w:ascii="Times New Roman" w:eastAsia="Calibri" w:hAnsi="Times New Roman" w:cs="Times New Roman"/>
              <w:b/>
              <w:bCs/>
              <w:sz w:val="28"/>
              <w:szCs w:val="28"/>
            </w:rPr>
            <w:t xml:space="preserve"> FINANCING</w:t>
          </w:r>
          <w:r w:rsidR="00424D77">
            <w:rPr>
              <w:rFonts w:ascii="Times New Roman" w:eastAsia="Calibri" w:hAnsi="Times New Roman" w:cs="Times New Roman"/>
              <w:b/>
              <w:bCs/>
              <w:sz w:val="28"/>
              <w:szCs w:val="28"/>
            </w:rPr>
            <w:t xml:space="preserve"> IN KENYA</w:t>
          </w:r>
          <w:r w:rsidR="00767F69">
            <w:rPr>
              <w:rFonts w:ascii="Times New Roman" w:eastAsia="Calibri" w:hAnsi="Times New Roman" w:cs="Times New Roman"/>
              <w:b/>
              <w:bCs/>
              <w:sz w:val="28"/>
              <w:szCs w:val="28"/>
            </w:rPr>
            <w:t>:</w:t>
          </w:r>
          <w:r w:rsidR="00743D1F">
            <w:rPr>
              <w:rFonts w:ascii="Times New Roman" w:eastAsia="Calibri" w:hAnsi="Times New Roman" w:cs="Times New Roman"/>
              <w:b/>
              <w:bCs/>
              <w:sz w:val="28"/>
              <w:szCs w:val="28"/>
            </w:rPr>
            <w:t xml:space="preserve"> </w:t>
          </w:r>
          <w:r w:rsidR="00F90E3B">
            <w:rPr>
              <w:rFonts w:ascii="Times New Roman" w:eastAsia="Calibri" w:hAnsi="Times New Roman" w:cs="Times New Roman"/>
              <w:b/>
              <w:bCs/>
              <w:sz w:val="28"/>
              <w:szCs w:val="28"/>
            </w:rPr>
            <w:t xml:space="preserve">ADDRESSING </w:t>
          </w:r>
          <w:r w:rsidR="00314B4B">
            <w:rPr>
              <w:rFonts w:ascii="Times New Roman" w:eastAsia="Calibri" w:hAnsi="Times New Roman" w:cs="Times New Roman"/>
              <w:b/>
              <w:bCs/>
              <w:sz w:val="28"/>
              <w:szCs w:val="28"/>
            </w:rPr>
            <w:t xml:space="preserve">FINANCING FROM </w:t>
          </w:r>
          <w:r w:rsidR="00EE4778">
            <w:rPr>
              <w:rFonts w:ascii="Times New Roman" w:eastAsia="Calibri" w:hAnsi="Times New Roman" w:cs="Times New Roman"/>
              <w:b/>
              <w:bCs/>
              <w:sz w:val="28"/>
              <w:szCs w:val="28"/>
            </w:rPr>
            <w:t>PROCEEDS OF CORRRUPTION</w:t>
          </w:r>
          <w:r w:rsidR="00743D1F">
            <w:rPr>
              <w:rFonts w:ascii="Times New Roman" w:eastAsia="Calibri" w:hAnsi="Times New Roman" w:cs="Times New Roman"/>
              <w:b/>
              <w:bCs/>
              <w:sz w:val="28"/>
              <w:szCs w:val="28"/>
            </w:rPr>
            <w:t xml:space="preserve"> </w:t>
          </w:r>
          <w:r w:rsidR="00F90E3B">
            <w:rPr>
              <w:rFonts w:ascii="Times New Roman" w:eastAsia="Calibri" w:hAnsi="Times New Roman" w:cs="Times New Roman"/>
              <w:b/>
              <w:bCs/>
              <w:sz w:val="28"/>
              <w:szCs w:val="28"/>
            </w:rPr>
            <w:t>THROUGH</w:t>
          </w:r>
          <w:r w:rsidR="009C362E">
            <w:rPr>
              <w:rFonts w:ascii="Times New Roman" w:eastAsia="Calibri" w:hAnsi="Times New Roman" w:cs="Times New Roman"/>
              <w:b/>
              <w:bCs/>
              <w:sz w:val="28"/>
              <w:szCs w:val="28"/>
            </w:rPr>
            <w:t xml:space="preserve"> </w:t>
          </w:r>
          <w:bookmarkEnd w:id="0"/>
          <w:r w:rsidR="007139C1">
            <w:rPr>
              <w:rFonts w:ascii="Times New Roman" w:eastAsia="Calibri" w:hAnsi="Times New Roman" w:cs="Times New Roman"/>
              <w:b/>
              <w:bCs/>
              <w:sz w:val="28"/>
              <w:szCs w:val="28"/>
            </w:rPr>
            <w:t>TRANSPARENCY IN DISCLOSURES</w:t>
          </w:r>
        </w:p>
        <w:p w14:paraId="731A318C" w14:textId="0F0CB903" w:rsidR="005B2353" w:rsidRDefault="005B2353" w:rsidP="0022578D">
          <w:pPr>
            <w:spacing w:before="240" w:line="254" w:lineRule="auto"/>
            <w:jc w:val="center"/>
            <w:rPr>
              <w:rFonts w:ascii="Times New Roman" w:eastAsia="Calibri" w:hAnsi="Times New Roman" w:cs="Times New Roman"/>
              <w:b/>
              <w:bCs/>
              <w:sz w:val="24"/>
              <w:szCs w:val="24"/>
            </w:rPr>
          </w:pPr>
          <w:r w:rsidRPr="005B2353">
            <w:rPr>
              <w:rFonts w:ascii="Times New Roman" w:eastAsia="Calibri" w:hAnsi="Times New Roman" w:cs="Times New Roman"/>
              <w:b/>
              <w:bCs/>
              <w:sz w:val="24"/>
              <w:szCs w:val="24"/>
              <w:lang w:val="it-IT"/>
            </w:rPr>
            <w:t>S</w:t>
          </w:r>
          <w:r w:rsidR="002B6C62">
            <w:rPr>
              <w:rFonts w:ascii="Times New Roman" w:eastAsia="Calibri" w:hAnsi="Times New Roman" w:cs="Times New Roman"/>
              <w:b/>
              <w:bCs/>
              <w:sz w:val="24"/>
              <w:szCs w:val="24"/>
              <w:lang w:val="it-IT"/>
            </w:rPr>
            <w:t>ubmitted</w:t>
          </w:r>
          <w:r w:rsidRPr="005B2353">
            <w:rPr>
              <w:rFonts w:ascii="Times New Roman" w:eastAsia="Calibri" w:hAnsi="Times New Roman" w:cs="Times New Roman"/>
              <w:b/>
              <w:bCs/>
              <w:sz w:val="24"/>
              <w:szCs w:val="24"/>
            </w:rPr>
            <w:t xml:space="preserve"> in partial fulfilment of the requirements for the Bachelor of Laws Degree at Strathmore University Law School</w:t>
          </w:r>
        </w:p>
        <w:p w14:paraId="76225485" w14:textId="2938317E" w:rsidR="002B6C62" w:rsidRDefault="002B6C62" w:rsidP="0022578D">
          <w:pPr>
            <w:spacing w:before="240" w:line="254"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By</w:t>
          </w:r>
        </w:p>
        <w:p w14:paraId="0C4A3AE4" w14:textId="1152FAF0" w:rsidR="002B6C62" w:rsidRPr="0022578D" w:rsidRDefault="002B6C62" w:rsidP="0022578D">
          <w:pPr>
            <w:spacing w:before="240" w:line="254" w:lineRule="auto"/>
            <w:jc w:val="center"/>
            <w:rPr>
              <w:rFonts w:ascii="Times New Roman" w:eastAsia="Calibri" w:hAnsi="Times New Roman" w:cs="Times New Roman"/>
              <w:b/>
              <w:bCs/>
              <w:sz w:val="24"/>
              <w:szCs w:val="24"/>
            </w:rPr>
          </w:pPr>
          <w:r w:rsidRPr="0022578D">
            <w:rPr>
              <w:rFonts w:ascii="Times New Roman" w:eastAsia="Calibri" w:hAnsi="Times New Roman" w:cs="Times New Roman"/>
              <w:b/>
              <w:bCs/>
              <w:sz w:val="24"/>
              <w:szCs w:val="24"/>
            </w:rPr>
            <w:t>Kiai Lusweti Gachanja</w:t>
          </w:r>
        </w:p>
        <w:p w14:paraId="47A46180" w14:textId="22AB3DA7" w:rsidR="00B57117" w:rsidRPr="005B10E7" w:rsidRDefault="002B6C62" w:rsidP="0022578D">
          <w:pPr>
            <w:spacing w:before="240" w:line="254" w:lineRule="auto"/>
            <w:jc w:val="center"/>
            <w:rPr>
              <w:rFonts w:ascii="Times New Roman" w:eastAsia="Calibri" w:hAnsi="Times New Roman" w:cs="Times New Roman"/>
              <w:b/>
              <w:bCs/>
              <w:sz w:val="24"/>
              <w:szCs w:val="24"/>
              <w:lang w:val="it-IT"/>
            </w:rPr>
          </w:pPr>
          <w:r>
            <w:rPr>
              <w:rFonts w:ascii="Times New Roman" w:eastAsia="Calibri" w:hAnsi="Times New Roman" w:cs="Times New Roman"/>
              <w:b/>
              <w:bCs/>
              <w:sz w:val="28"/>
              <w:szCs w:val="28"/>
              <w:lang w:val="it-IT"/>
            </w:rPr>
            <w:t>101266</w:t>
          </w:r>
        </w:p>
        <w:p w14:paraId="25CF196B" w14:textId="77777777" w:rsidR="0022578D" w:rsidRPr="0022578D" w:rsidRDefault="0022578D" w:rsidP="0022578D">
          <w:pPr>
            <w:spacing w:before="240" w:line="254" w:lineRule="auto"/>
            <w:jc w:val="center"/>
            <w:rPr>
              <w:rFonts w:ascii="Times New Roman" w:eastAsia="Calibri" w:hAnsi="Times New Roman" w:cs="Times New Roman"/>
              <w:b/>
              <w:bCs/>
              <w:sz w:val="24"/>
              <w:szCs w:val="24"/>
            </w:rPr>
          </w:pPr>
          <w:r w:rsidRPr="0022578D">
            <w:rPr>
              <w:rFonts w:ascii="Times New Roman" w:eastAsia="Calibri" w:hAnsi="Times New Roman" w:cs="Times New Roman"/>
              <w:b/>
              <w:bCs/>
              <w:sz w:val="24"/>
              <w:szCs w:val="24"/>
            </w:rPr>
            <w:t>Prepared under the supervision of</w:t>
          </w:r>
        </w:p>
        <w:p w14:paraId="150EDCBD" w14:textId="6205531C" w:rsidR="0022578D" w:rsidRPr="0022578D" w:rsidRDefault="00585473" w:rsidP="0022578D">
          <w:pPr>
            <w:spacing w:before="240" w:line="254" w:lineRule="auto"/>
            <w:jc w:val="center"/>
            <w:rPr>
              <w:rFonts w:ascii="Times New Roman" w:eastAsia="Calibri" w:hAnsi="Times New Roman" w:cs="Times New Roman"/>
              <w:b/>
              <w:bCs/>
              <w:sz w:val="24"/>
              <w:szCs w:val="24"/>
            </w:rPr>
          </w:pPr>
          <w:bookmarkStart w:id="2" w:name="_Hlk60846756"/>
          <w:r>
            <w:rPr>
              <w:rFonts w:ascii="Times New Roman" w:eastAsia="Calibri" w:hAnsi="Times New Roman" w:cs="Times New Roman"/>
              <w:b/>
              <w:bCs/>
              <w:sz w:val="24"/>
              <w:szCs w:val="24"/>
            </w:rPr>
            <w:t>Juan Carlos Jiofrio</w:t>
          </w:r>
        </w:p>
        <w:bookmarkEnd w:id="2"/>
        <w:p w14:paraId="76370158" w14:textId="77777777" w:rsidR="0022578D" w:rsidRPr="0022578D" w:rsidRDefault="0022578D" w:rsidP="0022578D">
          <w:pPr>
            <w:spacing w:before="240" w:line="254" w:lineRule="auto"/>
            <w:jc w:val="center"/>
            <w:rPr>
              <w:rFonts w:ascii="Times New Roman" w:eastAsia="Calibri" w:hAnsi="Times New Roman" w:cs="Times New Roman"/>
              <w:b/>
              <w:bCs/>
              <w:sz w:val="24"/>
              <w:szCs w:val="24"/>
            </w:rPr>
          </w:pPr>
        </w:p>
        <w:p w14:paraId="373B8022" w14:textId="252584CD" w:rsidR="0022578D" w:rsidRPr="0022578D" w:rsidRDefault="0022578D" w:rsidP="0022578D">
          <w:pPr>
            <w:spacing w:before="240" w:line="254" w:lineRule="auto"/>
            <w:jc w:val="center"/>
            <w:rPr>
              <w:rFonts w:ascii="Times New Roman" w:eastAsia="Calibri" w:hAnsi="Times New Roman" w:cs="Times New Roman"/>
              <w:b/>
              <w:bCs/>
              <w:sz w:val="24"/>
              <w:szCs w:val="24"/>
            </w:rPr>
          </w:pPr>
          <w:r w:rsidRPr="0022578D">
            <w:rPr>
              <w:rFonts w:ascii="Times New Roman" w:eastAsia="Calibri" w:hAnsi="Times New Roman" w:cs="Times New Roman"/>
              <w:b/>
              <w:bCs/>
              <w:sz w:val="24"/>
              <w:szCs w:val="24"/>
            </w:rPr>
            <w:t xml:space="preserve">Date of Submission: </w:t>
          </w:r>
          <w:r>
            <w:rPr>
              <w:rFonts w:ascii="Times New Roman" w:eastAsia="Calibri" w:hAnsi="Times New Roman" w:cs="Times New Roman"/>
              <w:b/>
              <w:bCs/>
              <w:sz w:val="24"/>
              <w:szCs w:val="24"/>
            </w:rPr>
            <w:t>1</w:t>
          </w:r>
          <w:r w:rsidRPr="0022578D">
            <w:rPr>
              <w:rFonts w:ascii="Times New Roman" w:eastAsia="Calibri" w:hAnsi="Times New Roman" w:cs="Times New Roman"/>
              <w:b/>
              <w:bCs/>
              <w:sz w:val="24"/>
              <w:szCs w:val="24"/>
              <w:vertAlign w:val="superscript"/>
            </w:rPr>
            <w:t xml:space="preserve"> </w:t>
          </w:r>
          <w:r>
            <w:rPr>
              <w:rFonts w:ascii="Times New Roman" w:eastAsia="Calibri" w:hAnsi="Times New Roman" w:cs="Times New Roman"/>
              <w:b/>
              <w:bCs/>
              <w:sz w:val="24"/>
              <w:szCs w:val="24"/>
            </w:rPr>
            <w:t>March</w:t>
          </w:r>
          <w:r w:rsidRPr="0022578D">
            <w:rPr>
              <w:rFonts w:ascii="Times New Roman" w:eastAsia="Calibri" w:hAnsi="Times New Roman" w:cs="Times New Roman"/>
              <w:b/>
              <w:bCs/>
              <w:sz w:val="24"/>
              <w:szCs w:val="24"/>
            </w:rPr>
            <w:t xml:space="preserve"> 2021</w:t>
          </w:r>
        </w:p>
        <w:p w14:paraId="083D41E5" w14:textId="77777777" w:rsidR="00B57117" w:rsidRPr="0022578D" w:rsidRDefault="00B57117" w:rsidP="0022578D">
          <w:pPr>
            <w:spacing w:before="240" w:line="254" w:lineRule="auto"/>
            <w:jc w:val="center"/>
            <w:rPr>
              <w:rFonts w:ascii="Times New Roman" w:eastAsia="Calibri" w:hAnsi="Times New Roman" w:cs="Times New Roman"/>
              <w:b/>
              <w:bCs/>
              <w:sz w:val="24"/>
              <w:szCs w:val="24"/>
            </w:rPr>
          </w:pPr>
        </w:p>
        <w:p w14:paraId="28633237" w14:textId="77777777" w:rsidR="00B57117" w:rsidRPr="00B57117" w:rsidRDefault="00B57117" w:rsidP="00B57117">
          <w:pPr>
            <w:spacing w:before="240" w:line="254" w:lineRule="auto"/>
            <w:jc w:val="center"/>
            <w:rPr>
              <w:rFonts w:ascii="Times New Roman" w:eastAsia="Calibri" w:hAnsi="Times New Roman" w:cs="Times New Roman"/>
              <w:sz w:val="24"/>
              <w:szCs w:val="24"/>
            </w:rPr>
          </w:pPr>
        </w:p>
        <w:p w14:paraId="008A24FA" w14:textId="26636300" w:rsidR="00B57117" w:rsidRPr="00B57117" w:rsidRDefault="00B57117" w:rsidP="00B57117">
          <w:pPr>
            <w:spacing w:before="240" w:line="254" w:lineRule="auto"/>
            <w:jc w:val="center"/>
            <w:rPr>
              <w:rFonts w:ascii="Times New Roman" w:eastAsia="Calibri" w:hAnsi="Times New Roman" w:cs="Times New Roman"/>
              <w:b/>
              <w:bCs/>
              <w:sz w:val="24"/>
              <w:szCs w:val="24"/>
            </w:rPr>
          </w:pPr>
        </w:p>
        <w:p w14:paraId="021DEE90" w14:textId="4EB938C0" w:rsidR="00475649" w:rsidRPr="00475649" w:rsidRDefault="00475649" w:rsidP="00475649">
          <w:pPr>
            <w:pStyle w:val="NoSpacing"/>
            <w:spacing w:before="1540" w:after="240"/>
            <w:rPr>
              <w:color w:val="4472C4" w:themeColor="accent1"/>
            </w:rPr>
          </w:pPr>
          <w:r>
            <w:rPr>
              <w:noProof/>
              <w:color w:val="4472C4" w:themeColor="accent1"/>
              <w:lang w:val="en-GB" w:eastAsia="en-GB"/>
            </w:rPr>
            <mc:AlternateContent>
              <mc:Choice Requires="wps">
                <w:drawing>
                  <wp:anchor distT="0" distB="0" distL="114300" distR="114300" simplePos="0" relativeHeight="251658240" behindDoc="0" locked="0" layoutInCell="1" allowOverlap="1" wp14:anchorId="2ADE67C9" wp14:editId="31404F7B">
                    <wp:simplePos x="0" y="0"/>
                    <wp:positionH relativeFrom="margin">
                      <wp:align>center</wp:align>
                    </wp:positionH>
                    <mc:AlternateContent>
                      <mc:Choice Requires="wp14">
                        <wp:positionV relativeFrom="page">
                          <wp14:pctPosVOffset>85000</wp14:pctPosVOffset>
                        </wp:positionV>
                      </mc:Choice>
                      <mc:Fallback>
                        <wp:positionV relativeFrom="page">
                          <wp:posOffset>9088120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6E6A19E" w14:textId="59DD9D57" w:rsidR="007E3AFF" w:rsidRPr="00475649" w:rsidRDefault="007E3AFF" w:rsidP="00475649">
                                <w:pPr>
                                  <w:pStyle w:val="NoSpacing"/>
                                  <w:spacing w:after="40"/>
                                  <w:rPr>
                                    <w:caps/>
                                    <w:color w:val="4472C4" w:themeColor="accent1"/>
                                    <w:sz w:val="28"/>
                                    <w:szCs w:val="28"/>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2ADE67C9" id="_x0000_t202" coordsize="21600,21600" o:spt="202" path="m,l,21600r21600,l21600,xe">
                    <v:stroke joinstyle="miter"/>
                    <v:path gradientshapeok="t" o:connecttype="rect"/>
                  </v:shapetype>
                  <v:shape id="Text Box 142" o:spid="_x0000_s1026" type="#_x0000_t202" style="position:absolute;margin-left:0;margin-top:0;width:516pt;height:43.9pt;z-index:251658240;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p w14:paraId="46E6A19E" w14:textId="59DD9D57" w:rsidR="007E3AFF" w:rsidRPr="00475649" w:rsidRDefault="007E3AFF" w:rsidP="00475649">
                          <w:pPr>
                            <w:pStyle w:val="NoSpacing"/>
                            <w:spacing w:after="40"/>
                            <w:rPr>
                              <w:caps/>
                              <w:color w:val="4472C4" w:themeColor="accent1"/>
                              <w:sz w:val="28"/>
                              <w:szCs w:val="28"/>
                            </w:rPr>
                          </w:pPr>
                        </w:p>
                      </w:txbxContent>
                    </v:textbox>
                    <w10:wrap anchorx="margin" anchory="page"/>
                  </v:shape>
                </w:pict>
              </mc:Fallback>
            </mc:AlternateContent>
          </w:r>
        </w:p>
        <w:p w14:paraId="3F06B6F7" w14:textId="6657178A" w:rsidR="00E808B8" w:rsidRDefault="00475649" w:rsidP="00735C03">
          <w:pPr>
            <w:rPr>
              <w:rFonts w:ascii="Times New Roman" w:eastAsiaTheme="majorEastAsia" w:hAnsi="Times New Roman" w:cs="Times New Roman"/>
              <w:color w:val="2F5496" w:themeColor="accent1" w:themeShade="BF"/>
              <w:sz w:val="32"/>
              <w:szCs w:val="32"/>
            </w:rPr>
          </w:pPr>
          <w:r>
            <w:rPr>
              <w:rFonts w:ascii="Times New Roman" w:eastAsiaTheme="majorEastAsia" w:hAnsi="Times New Roman" w:cs="Times New Roman"/>
              <w:color w:val="2F5496" w:themeColor="accent1" w:themeShade="BF"/>
              <w:sz w:val="32"/>
              <w:szCs w:val="32"/>
            </w:rPr>
            <w:br w:type="page"/>
          </w:r>
        </w:p>
      </w:sdtContent>
    </w:sdt>
    <w:sdt>
      <w:sdtPr>
        <w:rPr>
          <w:rFonts w:asciiTheme="minorHAnsi" w:eastAsiaTheme="minorHAnsi" w:hAnsiTheme="minorHAnsi" w:cstheme="minorBidi"/>
          <w:color w:val="auto"/>
          <w:sz w:val="22"/>
          <w:szCs w:val="22"/>
          <w:lang w:val="en-GB"/>
        </w:rPr>
        <w:id w:val="-1678340492"/>
        <w:docPartObj>
          <w:docPartGallery w:val="Table of Contents"/>
          <w:docPartUnique/>
        </w:docPartObj>
      </w:sdtPr>
      <w:sdtEndPr>
        <w:rPr>
          <w:b/>
          <w:bCs/>
          <w:noProof/>
        </w:rPr>
      </w:sdtEndPr>
      <w:sdtContent>
        <w:p w14:paraId="30EE784B" w14:textId="631F9748" w:rsidR="00A66766" w:rsidRPr="002A2A72" w:rsidRDefault="00A66766">
          <w:pPr>
            <w:pStyle w:val="TOCHeading"/>
            <w:rPr>
              <w:rFonts w:ascii="Times New Roman" w:hAnsi="Times New Roman" w:cs="Times New Roman"/>
            </w:rPr>
          </w:pPr>
          <w:r w:rsidRPr="002A2A72">
            <w:rPr>
              <w:rFonts w:ascii="Times New Roman" w:hAnsi="Times New Roman" w:cs="Times New Roman"/>
            </w:rPr>
            <w:t>Table of Contents</w:t>
          </w:r>
        </w:p>
        <w:p w14:paraId="0AA7A275" w14:textId="68DAD86C" w:rsidR="00C63FCF" w:rsidRDefault="00A66766">
          <w:pPr>
            <w:pStyle w:val="TOC1"/>
            <w:tabs>
              <w:tab w:val="right" w:leader="dot" w:pos="9016"/>
            </w:tabs>
            <w:rPr>
              <w:rFonts w:eastAsiaTheme="minorEastAsia"/>
              <w:noProof/>
              <w:lang w:eastAsia="en-GB"/>
            </w:rPr>
          </w:pPr>
          <w:r>
            <w:fldChar w:fldCharType="begin"/>
          </w:r>
          <w:r>
            <w:instrText xml:space="preserve"> TOC \o "1-3" \h \z \u </w:instrText>
          </w:r>
          <w:r>
            <w:fldChar w:fldCharType="separate"/>
          </w:r>
          <w:hyperlink w:anchor="_Toc65490056" w:history="1">
            <w:r w:rsidR="00C63FCF" w:rsidRPr="00C014CF">
              <w:rPr>
                <w:rStyle w:val="Hyperlink"/>
                <w:rFonts w:ascii="Times New Roman" w:hAnsi="Times New Roman" w:cs="Times New Roman"/>
                <w:b/>
                <w:bCs/>
                <w:noProof/>
              </w:rPr>
              <w:t>Acknowledgement</w:t>
            </w:r>
            <w:r w:rsidR="00C63FCF">
              <w:rPr>
                <w:noProof/>
                <w:webHidden/>
              </w:rPr>
              <w:tab/>
            </w:r>
            <w:r w:rsidR="00C63FCF">
              <w:rPr>
                <w:noProof/>
                <w:webHidden/>
              </w:rPr>
              <w:fldChar w:fldCharType="begin"/>
            </w:r>
            <w:r w:rsidR="00C63FCF">
              <w:rPr>
                <w:noProof/>
                <w:webHidden/>
              </w:rPr>
              <w:instrText xml:space="preserve"> PAGEREF _Toc65490056 \h </w:instrText>
            </w:r>
            <w:r w:rsidR="00C63FCF">
              <w:rPr>
                <w:noProof/>
                <w:webHidden/>
              </w:rPr>
            </w:r>
            <w:r w:rsidR="00C63FCF">
              <w:rPr>
                <w:noProof/>
                <w:webHidden/>
              </w:rPr>
              <w:fldChar w:fldCharType="separate"/>
            </w:r>
            <w:r w:rsidR="00C63FCF">
              <w:rPr>
                <w:noProof/>
                <w:webHidden/>
              </w:rPr>
              <w:t>iv</w:t>
            </w:r>
            <w:r w:rsidR="00C63FCF">
              <w:rPr>
                <w:noProof/>
                <w:webHidden/>
              </w:rPr>
              <w:fldChar w:fldCharType="end"/>
            </w:r>
          </w:hyperlink>
        </w:p>
        <w:p w14:paraId="5C102065" w14:textId="771E04AC" w:rsidR="00C63FCF" w:rsidRDefault="0020655F">
          <w:pPr>
            <w:pStyle w:val="TOC1"/>
            <w:tabs>
              <w:tab w:val="right" w:leader="dot" w:pos="9016"/>
            </w:tabs>
            <w:rPr>
              <w:rFonts w:eastAsiaTheme="minorEastAsia"/>
              <w:noProof/>
              <w:lang w:eastAsia="en-GB"/>
            </w:rPr>
          </w:pPr>
          <w:hyperlink w:anchor="_Toc65490057" w:history="1">
            <w:r w:rsidR="00C63FCF" w:rsidRPr="00C014CF">
              <w:rPr>
                <w:rStyle w:val="Hyperlink"/>
                <w:rFonts w:ascii="Times New Roman" w:hAnsi="Times New Roman" w:cs="Times New Roman"/>
                <w:b/>
                <w:bCs/>
                <w:noProof/>
              </w:rPr>
              <w:t>Declaration</w:t>
            </w:r>
            <w:r w:rsidR="00C63FCF">
              <w:rPr>
                <w:noProof/>
                <w:webHidden/>
              </w:rPr>
              <w:tab/>
            </w:r>
            <w:r w:rsidR="00C63FCF">
              <w:rPr>
                <w:noProof/>
                <w:webHidden/>
              </w:rPr>
              <w:fldChar w:fldCharType="begin"/>
            </w:r>
            <w:r w:rsidR="00C63FCF">
              <w:rPr>
                <w:noProof/>
                <w:webHidden/>
              </w:rPr>
              <w:instrText xml:space="preserve"> PAGEREF _Toc65490057 \h </w:instrText>
            </w:r>
            <w:r w:rsidR="00C63FCF">
              <w:rPr>
                <w:noProof/>
                <w:webHidden/>
              </w:rPr>
            </w:r>
            <w:r w:rsidR="00C63FCF">
              <w:rPr>
                <w:noProof/>
                <w:webHidden/>
              </w:rPr>
              <w:fldChar w:fldCharType="separate"/>
            </w:r>
            <w:r w:rsidR="00C63FCF">
              <w:rPr>
                <w:noProof/>
                <w:webHidden/>
              </w:rPr>
              <w:t>v</w:t>
            </w:r>
            <w:r w:rsidR="00C63FCF">
              <w:rPr>
                <w:noProof/>
                <w:webHidden/>
              </w:rPr>
              <w:fldChar w:fldCharType="end"/>
            </w:r>
          </w:hyperlink>
        </w:p>
        <w:p w14:paraId="71B79DE0" w14:textId="2331C9C4" w:rsidR="00C63FCF" w:rsidRDefault="0020655F">
          <w:pPr>
            <w:pStyle w:val="TOC1"/>
            <w:tabs>
              <w:tab w:val="right" w:leader="dot" w:pos="9016"/>
            </w:tabs>
            <w:rPr>
              <w:rFonts w:eastAsiaTheme="minorEastAsia"/>
              <w:noProof/>
              <w:lang w:eastAsia="en-GB"/>
            </w:rPr>
          </w:pPr>
          <w:hyperlink w:anchor="_Toc65490058" w:history="1">
            <w:r w:rsidR="00C63FCF" w:rsidRPr="00C014CF">
              <w:rPr>
                <w:rStyle w:val="Hyperlink"/>
                <w:rFonts w:ascii="Times New Roman" w:hAnsi="Times New Roman" w:cs="Times New Roman"/>
                <w:b/>
                <w:bCs/>
                <w:noProof/>
              </w:rPr>
              <w:t>Abstract</w:t>
            </w:r>
            <w:r w:rsidR="00C63FCF">
              <w:rPr>
                <w:noProof/>
                <w:webHidden/>
              </w:rPr>
              <w:tab/>
            </w:r>
            <w:r w:rsidR="00C63FCF">
              <w:rPr>
                <w:noProof/>
                <w:webHidden/>
              </w:rPr>
              <w:fldChar w:fldCharType="begin"/>
            </w:r>
            <w:r w:rsidR="00C63FCF">
              <w:rPr>
                <w:noProof/>
                <w:webHidden/>
              </w:rPr>
              <w:instrText xml:space="preserve"> PAGEREF _Toc65490058 \h </w:instrText>
            </w:r>
            <w:r w:rsidR="00C63FCF">
              <w:rPr>
                <w:noProof/>
                <w:webHidden/>
              </w:rPr>
            </w:r>
            <w:r w:rsidR="00C63FCF">
              <w:rPr>
                <w:noProof/>
                <w:webHidden/>
              </w:rPr>
              <w:fldChar w:fldCharType="separate"/>
            </w:r>
            <w:r w:rsidR="00C63FCF">
              <w:rPr>
                <w:noProof/>
                <w:webHidden/>
              </w:rPr>
              <w:t>vii</w:t>
            </w:r>
            <w:r w:rsidR="00C63FCF">
              <w:rPr>
                <w:noProof/>
                <w:webHidden/>
              </w:rPr>
              <w:fldChar w:fldCharType="end"/>
            </w:r>
          </w:hyperlink>
        </w:p>
        <w:p w14:paraId="2C309CC0" w14:textId="00170FF1" w:rsidR="00C63FCF" w:rsidRDefault="0020655F">
          <w:pPr>
            <w:pStyle w:val="TOC1"/>
            <w:tabs>
              <w:tab w:val="right" w:leader="dot" w:pos="9016"/>
            </w:tabs>
            <w:rPr>
              <w:rFonts w:eastAsiaTheme="minorEastAsia"/>
              <w:noProof/>
              <w:lang w:eastAsia="en-GB"/>
            </w:rPr>
          </w:pPr>
          <w:hyperlink w:anchor="_Toc65490059" w:history="1">
            <w:r w:rsidR="00C63FCF" w:rsidRPr="00C014CF">
              <w:rPr>
                <w:rStyle w:val="Hyperlink"/>
                <w:rFonts w:ascii="Times New Roman" w:eastAsia="Times New Roman" w:hAnsi="Times New Roman" w:cs="Times New Roman"/>
                <w:b/>
                <w:bCs/>
                <w:noProof/>
              </w:rPr>
              <w:t>CHAPTER 1</w:t>
            </w:r>
            <w:r w:rsidR="00C63FCF">
              <w:rPr>
                <w:noProof/>
                <w:webHidden/>
              </w:rPr>
              <w:tab/>
            </w:r>
            <w:r w:rsidR="00C63FCF">
              <w:rPr>
                <w:noProof/>
                <w:webHidden/>
              </w:rPr>
              <w:fldChar w:fldCharType="begin"/>
            </w:r>
            <w:r w:rsidR="00C63FCF">
              <w:rPr>
                <w:noProof/>
                <w:webHidden/>
              </w:rPr>
              <w:instrText xml:space="preserve"> PAGEREF _Toc65490059 \h </w:instrText>
            </w:r>
            <w:r w:rsidR="00C63FCF">
              <w:rPr>
                <w:noProof/>
                <w:webHidden/>
              </w:rPr>
            </w:r>
            <w:r w:rsidR="00C63FCF">
              <w:rPr>
                <w:noProof/>
                <w:webHidden/>
              </w:rPr>
              <w:fldChar w:fldCharType="separate"/>
            </w:r>
            <w:r w:rsidR="00C63FCF">
              <w:rPr>
                <w:noProof/>
                <w:webHidden/>
              </w:rPr>
              <w:t>1</w:t>
            </w:r>
            <w:r w:rsidR="00C63FCF">
              <w:rPr>
                <w:noProof/>
                <w:webHidden/>
              </w:rPr>
              <w:fldChar w:fldCharType="end"/>
            </w:r>
          </w:hyperlink>
        </w:p>
        <w:p w14:paraId="5FFA4DAF" w14:textId="18F79ABD" w:rsidR="00C63FCF" w:rsidRDefault="0020655F">
          <w:pPr>
            <w:pStyle w:val="TOC2"/>
            <w:rPr>
              <w:rFonts w:asciiTheme="minorHAnsi" w:eastAsiaTheme="minorEastAsia" w:hAnsiTheme="minorHAnsi" w:cstheme="minorBidi"/>
              <w:b w:val="0"/>
              <w:bCs w:val="0"/>
              <w:sz w:val="22"/>
              <w:szCs w:val="22"/>
              <w:lang w:eastAsia="en-GB"/>
            </w:rPr>
          </w:pPr>
          <w:hyperlink w:anchor="_Toc65490060" w:history="1">
            <w:r w:rsidR="00C63FCF" w:rsidRPr="00C014CF">
              <w:rPr>
                <w:rStyle w:val="Hyperlink"/>
                <w:rFonts w:ascii="Times New Roman" w:eastAsia="Times New Roman" w:hAnsi="Times New Roman"/>
              </w:rPr>
              <w:t>1.1</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eastAsia="Times New Roman" w:hAnsi="Times New Roman"/>
              </w:rPr>
              <w:t>INTRODUCTION</w:t>
            </w:r>
            <w:r w:rsidR="00C63FCF">
              <w:rPr>
                <w:webHidden/>
              </w:rPr>
              <w:tab/>
            </w:r>
            <w:r w:rsidR="00C63FCF">
              <w:rPr>
                <w:webHidden/>
              </w:rPr>
              <w:fldChar w:fldCharType="begin"/>
            </w:r>
            <w:r w:rsidR="00C63FCF">
              <w:rPr>
                <w:webHidden/>
              </w:rPr>
              <w:instrText xml:space="preserve"> PAGEREF _Toc65490060 \h </w:instrText>
            </w:r>
            <w:r w:rsidR="00C63FCF">
              <w:rPr>
                <w:webHidden/>
              </w:rPr>
            </w:r>
            <w:r w:rsidR="00C63FCF">
              <w:rPr>
                <w:webHidden/>
              </w:rPr>
              <w:fldChar w:fldCharType="separate"/>
            </w:r>
            <w:r w:rsidR="00C63FCF">
              <w:rPr>
                <w:webHidden/>
              </w:rPr>
              <w:t>1</w:t>
            </w:r>
            <w:r w:rsidR="00C63FCF">
              <w:rPr>
                <w:webHidden/>
              </w:rPr>
              <w:fldChar w:fldCharType="end"/>
            </w:r>
          </w:hyperlink>
        </w:p>
        <w:p w14:paraId="20832DE9" w14:textId="6D9BC06C" w:rsidR="00C63FCF" w:rsidRDefault="0020655F">
          <w:pPr>
            <w:pStyle w:val="TOC2"/>
            <w:rPr>
              <w:rFonts w:asciiTheme="minorHAnsi" w:eastAsiaTheme="minorEastAsia" w:hAnsiTheme="minorHAnsi" w:cstheme="minorBidi"/>
              <w:b w:val="0"/>
              <w:bCs w:val="0"/>
              <w:sz w:val="22"/>
              <w:szCs w:val="22"/>
              <w:lang w:eastAsia="en-GB"/>
            </w:rPr>
          </w:pPr>
          <w:hyperlink w:anchor="_Toc65490061" w:history="1">
            <w:r w:rsidR="00C63FCF" w:rsidRPr="00C014CF">
              <w:rPr>
                <w:rStyle w:val="Hyperlink"/>
                <w:rFonts w:ascii="Times New Roman" w:hAnsi="Times New Roman"/>
              </w:rPr>
              <w:t>1.2</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STATEMENT OF THE PROBLEM</w:t>
            </w:r>
            <w:r w:rsidR="00C63FCF">
              <w:rPr>
                <w:webHidden/>
              </w:rPr>
              <w:tab/>
            </w:r>
            <w:r w:rsidR="00C63FCF">
              <w:rPr>
                <w:webHidden/>
              </w:rPr>
              <w:fldChar w:fldCharType="begin"/>
            </w:r>
            <w:r w:rsidR="00C63FCF">
              <w:rPr>
                <w:webHidden/>
              </w:rPr>
              <w:instrText xml:space="preserve"> PAGEREF _Toc65490061 \h </w:instrText>
            </w:r>
            <w:r w:rsidR="00C63FCF">
              <w:rPr>
                <w:webHidden/>
              </w:rPr>
            </w:r>
            <w:r w:rsidR="00C63FCF">
              <w:rPr>
                <w:webHidden/>
              </w:rPr>
              <w:fldChar w:fldCharType="separate"/>
            </w:r>
            <w:r w:rsidR="00C63FCF">
              <w:rPr>
                <w:webHidden/>
              </w:rPr>
              <w:t>2</w:t>
            </w:r>
            <w:r w:rsidR="00C63FCF">
              <w:rPr>
                <w:webHidden/>
              </w:rPr>
              <w:fldChar w:fldCharType="end"/>
            </w:r>
          </w:hyperlink>
        </w:p>
        <w:p w14:paraId="6384F65F" w14:textId="6CAABC39" w:rsidR="00C63FCF" w:rsidRDefault="0020655F">
          <w:pPr>
            <w:pStyle w:val="TOC2"/>
            <w:rPr>
              <w:rFonts w:asciiTheme="minorHAnsi" w:eastAsiaTheme="minorEastAsia" w:hAnsiTheme="minorHAnsi" w:cstheme="minorBidi"/>
              <w:b w:val="0"/>
              <w:bCs w:val="0"/>
              <w:sz w:val="22"/>
              <w:szCs w:val="22"/>
              <w:lang w:eastAsia="en-GB"/>
            </w:rPr>
          </w:pPr>
          <w:hyperlink w:anchor="_Toc65490062" w:history="1">
            <w:r w:rsidR="00C63FCF" w:rsidRPr="00C014CF">
              <w:rPr>
                <w:rStyle w:val="Hyperlink"/>
                <w:rFonts w:ascii="Times New Roman" w:eastAsia="Times New Roman" w:hAnsi="Times New Roman"/>
              </w:rPr>
              <w:t>1.3</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eastAsia="Times New Roman" w:hAnsi="Times New Roman"/>
              </w:rPr>
              <w:t>JUSTIFICATION OF THE STUDY</w:t>
            </w:r>
            <w:r w:rsidR="00C63FCF">
              <w:rPr>
                <w:webHidden/>
              </w:rPr>
              <w:tab/>
            </w:r>
            <w:r w:rsidR="00C63FCF">
              <w:rPr>
                <w:webHidden/>
              </w:rPr>
              <w:fldChar w:fldCharType="begin"/>
            </w:r>
            <w:r w:rsidR="00C63FCF">
              <w:rPr>
                <w:webHidden/>
              </w:rPr>
              <w:instrText xml:space="preserve"> PAGEREF _Toc65490062 \h </w:instrText>
            </w:r>
            <w:r w:rsidR="00C63FCF">
              <w:rPr>
                <w:webHidden/>
              </w:rPr>
            </w:r>
            <w:r w:rsidR="00C63FCF">
              <w:rPr>
                <w:webHidden/>
              </w:rPr>
              <w:fldChar w:fldCharType="separate"/>
            </w:r>
            <w:r w:rsidR="00C63FCF">
              <w:rPr>
                <w:webHidden/>
              </w:rPr>
              <w:t>3</w:t>
            </w:r>
            <w:r w:rsidR="00C63FCF">
              <w:rPr>
                <w:webHidden/>
              </w:rPr>
              <w:fldChar w:fldCharType="end"/>
            </w:r>
          </w:hyperlink>
        </w:p>
        <w:p w14:paraId="7EEC7339" w14:textId="5FE16C08" w:rsidR="00C63FCF" w:rsidRDefault="0020655F">
          <w:pPr>
            <w:pStyle w:val="TOC2"/>
            <w:rPr>
              <w:rFonts w:asciiTheme="minorHAnsi" w:eastAsiaTheme="minorEastAsia" w:hAnsiTheme="minorHAnsi" w:cstheme="minorBidi"/>
              <w:b w:val="0"/>
              <w:bCs w:val="0"/>
              <w:sz w:val="22"/>
              <w:szCs w:val="22"/>
              <w:lang w:eastAsia="en-GB"/>
            </w:rPr>
          </w:pPr>
          <w:hyperlink w:anchor="_Toc65490063" w:history="1">
            <w:r w:rsidR="00C63FCF" w:rsidRPr="00C014CF">
              <w:rPr>
                <w:rStyle w:val="Hyperlink"/>
                <w:rFonts w:ascii="Times New Roman" w:hAnsi="Times New Roman"/>
              </w:rPr>
              <w:t>1.4</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SIGNIFICANCE OF THE STUDY</w:t>
            </w:r>
            <w:r w:rsidR="00C63FCF">
              <w:rPr>
                <w:webHidden/>
              </w:rPr>
              <w:tab/>
            </w:r>
            <w:r w:rsidR="00C63FCF">
              <w:rPr>
                <w:webHidden/>
              </w:rPr>
              <w:fldChar w:fldCharType="begin"/>
            </w:r>
            <w:r w:rsidR="00C63FCF">
              <w:rPr>
                <w:webHidden/>
              </w:rPr>
              <w:instrText xml:space="preserve"> PAGEREF _Toc65490063 \h </w:instrText>
            </w:r>
            <w:r w:rsidR="00C63FCF">
              <w:rPr>
                <w:webHidden/>
              </w:rPr>
            </w:r>
            <w:r w:rsidR="00C63FCF">
              <w:rPr>
                <w:webHidden/>
              </w:rPr>
              <w:fldChar w:fldCharType="separate"/>
            </w:r>
            <w:r w:rsidR="00C63FCF">
              <w:rPr>
                <w:webHidden/>
              </w:rPr>
              <w:t>4</w:t>
            </w:r>
            <w:r w:rsidR="00C63FCF">
              <w:rPr>
                <w:webHidden/>
              </w:rPr>
              <w:fldChar w:fldCharType="end"/>
            </w:r>
          </w:hyperlink>
        </w:p>
        <w:p w14:paraId="500D544E" w14:textId="00D29897" w:rsidR="00C63FCF" w:rsidRDefault="0020655F">
          <w:pPr>
            <w:pStyle w:val="TOC2"/>
            <w:rPr>
              <w:rFonts w:asciiTheme="minorHAnsi" w:eastAsiaTheme="minorEastAsia" w:hAnsiTheme="minorHAnsi" w:cstheme="minorBidi"/>
              <w:b w:val="0"/>
              <w:bCs w:val="0"/>
              <w:sz w:val="22"/>
              <w:szCs w:val="22"/>
              <w:lang w:eastAsia="en-GB"/>
            </w:rPr>
          </w:pPr>
          <w:hyperlink w:anchor="_Toc65490064" w:history="1">
            <w:r w:rsidR="00C63FCF" w:rsidRPr="00C014CF">
              <w:rPr>
                <w:rStyle w:val="Hyperlink"/>
                <w:rFonts w:ascii="Times New Roman" w:hAnsi="Times New Roman"/>
              </w:rPr>
              <w:t>1.5</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STATEMENT OF AIMS AND OBJECTIVES</w:t>
            </w:r>
            <w:r w:rsidR="00C63FCF">
              <w:rPr>
                <w:webHidden/>
              </w:rPr>
              <w:tab/>
            </w:r>
            <w:r w:rsidR="00C63FCF">
              <w:rPr>
                <w:webHidden/>
              </w:rPr>
              <w:fldChar w:fldCharType="begin"/>
            </w:r>
            <w:r w:rsidR="00C63FCF">
              <w:rPr>
                <w:webHidden/>
              </w:rPr>
              <w:instrText xml:space="preserve"> PAGEREF _Toc65490064 \h </w:instrText>
            </w:r>
            <w:r w:rsidR="00C63FCF">
              <w:rPr>
                <w:webHidden/>
              </w:rPr>
            </w:r>
            <w:r w:rsidR="00C63FCF">
              <w:rPr>
                <w:webHidden/>
              </w:rPr>
              <w:fldChar w:fldCharType="separate"/>
            </w:r>
            <w:r w:rsidR="00C63FCF">
              <w:rPr>
                <w:webHidden/>
              </w:rPr>
              <w:t>4</w:t>
            </w:r>
            <w:r w:rsidR="00C63FCF">
              <w:rPr>
                <w:webHidden/>
              </w:rPr>
              <w:fldChar w:fldCharType="end"/>
            </w:r>
          </w:hyperlink>
        </w:p>
        <w:p w14:paraId="2A682541" w14:textId="3AA0F0CC" w:rsidR="00C63FCF" w:rsidRDefault="0020655F">
          <w:pPr>
            <w:pStyle w:val="TOC2"/>
            <w:rPr>
              <w:rFonts w:asciiTheme="minorHAnsi" w:eastAsiaTheme="minorEastAsia" w:hAnsiTheme="minorHAnsi" w:cstheme="minorBidi"/>
              <w:b w:val="0"/>
              <w:bCs w:val="0"/>
              <w:sz w:val="22"/>
              <w:szCs w:val="22"/>
              <w:lang w:eastAsia="en-GB"/>
            </w:rPr>
          </w:pPr>
          <w:hyperlink w:anchor="_Toc65490065" w:history="1">
            <w:r w:rsidR="00C63FCF" w:rsidRPr="00C014CF">
              <w:rPr>
                <w:rStyle w:val="Hyperlink"/>
                <w:rFonts w:ascii="Times New Roman" w:hAnsi="Times New Roman"/>
              </w:rPr>
              <w:t>1.6</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OBJECTIVES OF THE STUDY</w:t>
            </w:r>
            <w:r w:rsidR="00C63FCF">
              <w:rPr>
                <w:webHidden/>
              </w:rPr>
              <w:tab/>
            </w:r>
            <w:r w:rsidR="00C63FCF">
              <w:rPr>
                <w:webHidden/>
              </w:rPr>
              <w:fldChar w:fldCharType="begin"/>
            </w:r>
            <w:r w:rsidR="00C63FCF">
              <w:rPr>
                <w:webHidden/>
              </w:rPr>
              <w:instrText xml:space="preserve"> PAGEREF _Toc65490065 \h </w:instrText>
            </w:r>
            <w:r w:rsidR="00C63FCF">
              <w:rPr>
                <w:webHidden/>
              </w:rPr>
            </w:r>
            <w:r w:rsidR="00C63FCF">
              <w:rPr>
                <w:webHidden/>
              </w:rPr>
              <w:fldChar w:fldCharType="separate"/>
            </w:r>
            <w:r w:rsidR="00C63FCF">
              <w:rPr>
                <w:webHidden/>
              </w:rPr>
              <w:t>4</w:t>
            </w:r>
            <w:r w:rsidR="00C63FCF">
              <w:rPr>
                <w:webHidden/>
              </w:rPr>
              <w:fldChar w:fldCharType="end"/>
            </w:r>
          </w:hyperlink>
        </w:p>
        <w:p w14:paraId="7869FE2F" w14:textId="3002F22F" w:rsidR="00C63FCF" w:rsidRDefault="0020655F">
          <w:pPr>
            <w:pStyle w:val="TOC2"/>
            <w:rPr>
              <w:rFonts w:asciiTheme="minorHAnsi" w:eastAsiaTheme="minorEastAsia" w:hAnsiTheme="minorHAnsi" w:cstheme="minorBidi"/>
              <w:b w:val="0"/>
              <w:bCs w:val="0"/>
              <w:sz w:val="22"/>
              <w:szCs w:val="22"/>
              <w:lang w:eastAsia="en-GB"/>
            </w:rPr>
          </w:pPr>
          <w:hyperlink w:anchor="_Toc65490066" w:history="1">
            <w:r w:rsidR="00C63FCF" w:rsidRPr="00C014CF">
              <w:rPr>
                <w:rStyle w:val="Hyperlink"/>
                <w:rFonts w:ascii="Times New Roman" w:hAnsi="Times New Roman"/>
              </w:rPr>
              <w:t>1.7</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RESEARCH QUESTIONS</w:t>
            </w:r>
            <w:r w:rsidR="00C63FCF">
              <w:rPr>
                <w:webHidden/>
              </w:rPr>
              <w:tab/>
            </w:r>
            <w:r w:rsidR="00C63FCF">
              <w:rPr>
                <w:webHidden/>
              </w:rPr>
              <w:fldChar w:fldCharType="begin"/>
            </w:r>
            <w:r w:rsidR="00C63FCF">
              <w:rPr>
                <w:webHidden/>
              </w:rPr>
              <w:instrText xml:space="preserve"> PAGEREF _Toc65490066 \h </w:instrText>
            </w:r>
            <w:r w:rsidR="00C63FCF">
              <w:rPr>
                <w:webHidden/>
              </w:rPr>
            </w:r>
            <w:r w:rsidR="00C63FCF">
              <w:rPr>
                <w:webHidden/>
              </w:rPr>
              <w:fldChar w:fldCharType="separate"/>
            </w:r>
            <w:r w:rsidR="00C63FCF">
              <w:rPr>
                <w:webHidden/>
              </w:rPr>
              <w:t>4</w:t>
            </w:r>
            <w:r w:rsidR="00C63FCF">
              <w:rPr>
                <w:webHidden/>
              </w:rPr>
              <w:fldChar w:fldCharType="end"/>
            </w:r>
          </w:hyperlink>
        </w:p>
        <w:p w14:paraId="15494D88" w14:textId="681059AA" w:rsidR="00C63FCF" w:rsidRDefault="0020655F">
          <w:pPr>
            <w:pStyle w:val="TOC2"/>
            <w:rPr>
              <w:rFonts w:asciiTheme="minorHAnsi" w:eastAsiaTheme="minorEastAsia" w:hAnsiTheme="minorHAnsi" w:cstheme="minorBidi"/>
              <w:b w:val="0"/>
              <w:bCs w:val="0"/>
              <w:sz w:val="22"/>
              <w:szCs w:val="22"/>
              <w:lang w:eastAsia="en-GB"/>
            </w:rPr>
          </w:pPr>
          <w:hyperlink w:anchor="_Toc65490067" w:history="1">
            <w:r w:rsidR="00C63FCF" w:rsidRPr="00C014CF">
              <w:rPr>
                <w:rStyle w:val="Hyperlink"/>
                <w:rFonts w:ascii="Times New Roman" w:hAnsi="Times New Roman"/>
              </w:rPr>
              <w:t>1.8</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HYPOTHESIS</w:t>
            </w:r>
            <w:r w:rsidR="00C63FCF">
              <w:rPr>
                <w:webHidden/>
              </w:rPr>
              <w:tab/>
            </w:r>
            <w:r w:rsidR="00C63FCF">
              <w:rPr>
                <w:webHidden/>
              </w:rPr>
              <w:fldChar w:fldCharType="begin"/>
            </w:r>
            <w:r w:rsidR="00C63FCF">
              <w:rPr>
                <w:webHidden/>
              </w:rPr>
              <w:instrText xml:space="preserve"> PAGEREF _Toc65490067 \h </w:instrText>
            </w:r>
            <w:r w:rsidR="00C63FCF">
              <w:rPr>
                <w:webHidden/>
              </w:rPr>
            </w:r>
            <w:r w:rsidR="00C63FCF">
              <w:rPr>
                <w:webHidden/>
              </w:rPr>
              <w:fldChar w:fldCharType="separate"/>
            </w:r>
            <w:r w:rsidR="00C63FCF">
              <w:rPr>
                <w:webHidden/>
              </w:rPr>
              <w:t>5</w:t>
            </w:r>
            <w:r w:rsidR="00C63FCF">
              <w:rPr>
                <w:webHidden/>
              </w:rPr>
              <w:fldChar w:fldCharType="end"/>
            </w:r>
          </w:hyperlink>
        </w:p>
        <w:p w14:paraId="38302902" w14:textId="789E636F" w:rsidR="00C63FCF" w:rsidRDefault="0020655F">
          <w:pPr>
            <w:pStyle w:val="TOC2"/>
            <w:rPr>
              <w:rFonts w:asciiTheme="minorHAnsi" w:eastAsiaTheme="minorEastAsia" w:hAnsiTheme="minorHAnsi" w:cstheme="minorBidi"/>
              <w:b w:val="0"/>
              <w:bCs w:val="0"/>
              <w:sz w:val="22"/>
              <w:szCs w:val="22"/>
              <w:lang w:eastAsia="en-GB"/>
            </w:rPr>
          </w:pPr>
          <w:hyperlink w:anchor="_Toc65490068" w:history="1">
            <w:r w:rsidR="00C63FCF" w:rsidRPr="00C014CF">
              <w:rPr>
                <w:rStyle w:val="Hyperlink"/>
                <w:rFonts w:ascii="Times New Roman" w:hAnsi="Times New Roman"/>
              </w:rPr>
              <w:t>1.9</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THEORETICAL FRAMEWORK</w:t>
            </w:r>
            <w:r w:rsidR="00C63FCF">
              <w:rPr>
                <w:webHidden/>
              </w:rPr>
              <w:tab/>
            </w:r>
            <w:r w:rsidR="00C63FCF">
              <w:rPr>
                <w:webHidden/>
              </w:rPr>
              <w:fldChar w:fldCharType="begin"/>
            </w:r>
            <w:r w:rsidR="00C63FCF">
              <w:rPr>
                <w:webHidden/>
              </w:rPr>
              <w:instrText xml:space="preserve"> PAGEREF _Toc65490068 \h </w:instrText>
            </w:r>
            <w:r w:rsidR="00C63FCF">
              <w:rPr>
                <w:webHidden/>
              </w:rPr>
            </w:r>
            <w:r w:rsidR="00C63FCF">
              <w:rPr>
                <w:webHidden/>
              </w:rPr>
              <w:fldChar w:fldCharType="separate"/>
            </w:r>
            <w:r w:rsidR="00C63FCF">
              <w:rPr>
                <w:webHidden/>
              </w:rPr>
              <w:t>5</w:t>
            </w:r>
            <w:r w:rsidR="00C63FCF">
              <w:rPr>
                <w:webHidden/>
              </w:rPr>
              <w:fldChar w:fldCharType="end"/>
            </w:r>
          </w:hyperlink>
        </w:p>
        <w:p w14:paraId="2AA1F9F6" w14:textId="4D549797" w:rsidR="00C63FCF" w:rsidRDefault="0020655F">
          <w:pPr>
            <w:pStyle w:val="TOC2"/>
            <w:rPr>
              <w:rFonts w:asciiTheme="minorHAnsi" w:eastAsiaTheme="minorEastAsia" w:hAnsiTheme="minorHAnsi" w:cstheme="minorBidi"/>
              <w:b w:val="0"/>
              <w:bCs w:val="0"/>
              <w:sz w:val="22"/>
              <w:szCs w:val="22"/>
              <w:lang w:eastAsia="en-GB"/>
            </w:rPr>
          </w:pPr>
          <w:hyperlink w:anchor="_Toc65490069" w:history="1">
            <w:r w:rsidR="00C63FCF" w:rsidRPr="00C014CF">
              <w:rPr>
                <w:rStyle w:val="Hyperlink"/>
                <w:rFonts w:ascii="Times New Roman" w:hAnsi="Times New Roman"/>
              </w:rPr>
              <w:t>1.10</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RESEARCH METHODOLOGY</w:t>
            </w:r>
            <w:r w:rsidR="00C63FCF">
              <w:rPr>
                <w:webHidden/>
              </w:rPr>
              <w:tab/>
            </w:r>
            <w:r w:rsidR="00C63FCF">
              <w:rPr>
                <w:webHidden/>
              </w:rPr>
              <w:fldChar w:fldCharType="begin"/>
            </w:r>
            <w:r w:rsidR="00C63FCF">
              <w:rPr>
                <w:webHidden/>
              </w:rPr>
              <w:instrText xml:space="preserve"> PAGEREF _Toc65490069 \h </w:instrText>
            </w:r>
            <w:r w:rsidR="00C63FCF">
              <w:rPr>
                <w:webHidden/>
              </w:rPr>
            </w:r>
            <w:r w:rsidR="00C63FCF">
              <w:rPr>
                <w:webHidden/>
              </w:rPr>
              <w:fldChar w:fldCharType="separate"/>
            </w:r>
            <w:r w:rsidR="00C63FCF">
              <w:rPr>
                <w:webHidden/>
              </w:rPr>
              <w:t>6</w:t>
            </w:r>
            <w:r w:rsidR="00C63FCF">
              <w:rPr>
                <w:webHidden/>
              </w:rPr>
              <w:fldChar w:fldCharType="end"/>
            </w:r>
          </w:hyperlink>
        </w:p>
        <w:p w14:paraId="22FF09BE" w14:textId="75D528CE" w:rsidR="00C63FCF" w:rsidRDefault="0020655F">
          <w:pPr>
            <w:pStyle w:val="TOC2"/>
            <w:rPr>
              <w:rFonts w:asciiTheme="minorHAnsi" w:eastAsiaTheme="minorEastAsia" w:hAnsiTheme="minorHAnsi" w:cstheme="minorBidi"/>
              <w:b w:val="0"/>
              <w:bCs w:val="0"/>
              <w:sz w:val="22"/>
              <w:szCs w:val="22"/>
              <w:lang w:eastAsia="en-GB"/>
            </w:rPr>
          </w:pPr>
          <w:hyperlink w:anchor="_Toc65490070" w:history="1">
            <w:r w:rsidR="00C63FCF" w:rsidRPr="00C014CF">
              <w:rPr>
                <w:rStyle w:val="Hyperlink"/>
                <w:rFonts w:ascii="Times New Roman" w:eastAsia="Times New Roman" w:hAnsi="Times New Roman"/>
              </w:rPr>
              <w:t>1.11</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eastAsia="Times New Roman" w:hAnsi="Times New Roman"/>
              </w:rPr>
              <w:t>LITERATURE REVIEW</w:t>
            </w:r>
            <w:r w:rsidR="00C63FCF">
              <w:rPr>
                <w:webHidden/>
              </w:rPr>
              <w:tab/>
            </w:r>
            <w:r w:rsidR="00C63FCF">
              <w:rPr>
                <w:webHidden/>
              </w:rPr>
              <w:fldChar w:fldCharType="begin"/>
            </w:r>
            <w:r w:rsidR="00C63FCF">
              <w:rPr>
                <w:webHidden/>
              </w:rPr>
              <w:instrText xml:space="preserve"> PAGEREF _Toc65490070 \h </w:instrText>
            </w:r>
            <w:r w:rsidR="00C63FCF">
              <w:rPr>
                <w:webHidden/>
              </w:rPr>
            </w:r>
            <w:r w:rsidR="00C63FCF">
              <w:rPr>
                <w:webHidden/>
              </w:rPr>
              <w:fldChar w:fldCharType="separate"/>
            </w:r>
            <w:r w:rsidR="00C63FCF">
              <w:rPr>
                <w:webHidden/>
              </w:rPr>
              <w:t>6</w:t>
            </w:r>
            <w:r w:rsidR="00C63FCF">
              <w:rPr>
                <w:webHidden/>
              </w:rPr>
              <w:fldChar w:fldCharType="end"/>
            </w:r>
          </w:hyperlink>
        </w:p>
        <w:p w14:paraId="2D257A6B" w14:textId="752BBEEA" w:rsidR="00C63FCF" w:rsidRDefault="0020655F">
          <w:pPr>
            <w:pStyle w:val="TOC2"/>
            <w:rPr>
              <w:rFonts w:asciiTheme="minorHAnsi" w:eastAsiaTheme="minorEastAsia" w:hAnsiTheme="minorHAnsi" w:cstheme="minorBidi"/>
              <w:b w:val="0"/>
              <w:bCs w:val="0"/>
              <w:sz w:val="22"/>
              <w:szCs w:val="22"/>
              <w:lang w:eastAsia="en-GB"/>
            </w:rPr>
          </w:pPr>
          <w:hyperlink w:anchor="_Toc65490071" w:history="1">
            <w:r w:rsidR="00C63FCF" w:rsidRPr="00C014CF">
              <w:rPr>
                <w:rStyle w:val="Hyperlink"/>
                <w:rFonts w:ascii="Times New Roman" w:hAnsi="Times New Roman"/>
              </w:rPr>
              <w:t>1.12</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LIMITATIONS</w:t>
            </w:r>
            <w:r w:rsidR="00C63FCF">
              <w:rPr>
                <w:webHidden/>
              </w:rPr>
              <w:tab/>
            </w:r>
            <w:r w:rsidR="00C63FCF">
              <w:rPr>
                <w:webHidden/>
              </w:rPr>
              <w:fldChar w:fldCharType="begin"/>
            </w:r>
            <w:r w:rsidR="00C63FCF">
              <w:rPr>
                <w:webHidden/>
              </w:rPr>
              <w:instrText xml:space="preserve"> PAGEREF _Toc65490071 \h </w:instrText>
            </w:r>
            <w:r w:rsidR="00C63FCF">
              <w:rPr>
                <w:webHidden/>
              </w:rPr>
            </w:r>
            <w:r w:rsidR="00C63FCF">
              <w:rPr>
                <w:webHidden/>
              </w:rPr>
              <w:fldChar w:fldCharType="separate"/>
            </w:r>
            <w:r w:rsidR="00C63FCF">
              <w:rPr>
                <w:webHidden/>
              </w:rPr>
              <w:t>7</w:t>
            </w:r>
            <w:r w:rsidR="00C63FCF">
              <w:rPr>
                <w:webHidden/>
              </w:rPr>
              <w:fldChar w:fldCharType="end"/>
            </w:r>
          </w:hyperlink>
        </w:p>
        <w:p w14:paraId="11D61DC9" w14:textId="69EA508A" w:rsidR="00C63FCF" w:rsidRDefault="0020655F">
          <w:pPr>
            <w:pStyle w:val="TOC2"/>
            <w:rPr>
              <w:rFonts w:asciiTheme="minorHAnsi" w:eastAsiaTheme="minorEastAsia" w:hAnsiTheme="minorHAnsi" w:cstheme="minorBidi"/>
              <w:b w:val="0"/>
              <w:bCs w:val="0"/>
              <w:sz w:val="22"/>
              <w:szCs w:val="22"/>
              <w:lang w:eastAsia="en-GB"/>
            </w:rPr>
          </w:pPr>
          <w:hyperlink w:anchor="_Toc65490072" w:history="1">
            <w:r w:rsidR="00C63FCF" w:rsidRPr="00C014CF">
              <w:rPr>
                <w:rStyle w:val="Hyperlink"/>
                <w:rFonts w:ascii="Times New Roman" w:hAnsi="Times New Roman"/>
              </w:rPr>
              <w:t>1.13</w:t>
            </w:r>
            <w:r w:rsidR="00C63FCF">
              <w:rPr>
                <w:rFonts w:asciiTheme="minorHAnsi" w:eastAsiaTheme="minorEastAsia" w:hAnsiTheme="minorHAnsi" w:cstheme="minorBidi"/>
                <w:b w:val="0"/>
                <w:bCs w:val="0"/>
                <w:sz w:val="22"/>
                <w:szCs w:val="22"/>
                <w:lang w:eastAsia="en-GB"/>
              </w:rPr>
              <w:tab/>
            </w:r>
            <w:r w:rsidR="00C63FCF" w:rsidRPr="00C014CF">
              <w:rPr>
                <w:rStyle w:val="Hyperlink"/>
                <w:rFonts w:ascii="Times New Roman" w:hAnsi="Times New Roman"/>
              </w:rPr>
              <w:t>CHAPTER BREAKDOWN</w:t>
            </w:r>
            <w:r w:rsidR="00C63FCF">
              <w:rPr>
                <w:webHidden/>
              </w:rPr>
              <w:tab/>
            </w:r>
            <w:r w:rsidR="00C63FCF">
              <w:rPr>
                <w:webHidden/>
              </w:rPr>
              <w:fldChar w:fldCharType="begin"/>
            </w:r>
            <w:r w:rsidR="00C63FCF">
              <w:rPr>
                <w:webHidden/>
              </w:rPr>
              <w:instrText xml:space="preserve"> PAGEREF _Toc65490072 \h </w:instrText>
            </w:r>
            <w:r w:rsidR="00C63FCF">
              <w:rPr>
                <w:webHidden/>
              </w:rPr>
            </w:r>
            <w:r w:rsidR="00C63FCF">
              <w:rPr>
                <w:webHidden/>
              </w:rPr>
              <w:fldChar w:fldCharType="separate"/>
            </w:r>
            <w:r w:rsidR="00C63FCF">
              <w:rPr>
                <w:webHidden/>
              </w:rPr>
              <w:t>7</w:t>
            </w:r>
            <w:r w:rsidR="00C63FCF">
              <w:rPr>
                <w:webHidden/>
              </w:rPr>
              <w:fldChar w:fldCharType="end"/>
            </w:r>
          </w:hyperlink>
        </w:p>
        <w:p w14:paraId="5E41635C" w14:textId="77B55028" w:rsidR="00C63FCF" w:rsidRDefault="0020655F">
          <w:pPr>
            <w:pStyle w:val="TOC1"/>
            <w:tabs>
              <w:tab w:val="right" w:leader="dot" w:pos="9016"/>
            </w:tabs>
            <w:rPr>
              <w:rFonts w:eastAsiaTheme="minorEastAsia"/>
              <w:noProof/>
              <w:lang w:eastAsia="en-GB"/>
            </w:rPr>
          </w:pPr>
          <w:hyperlink w:anchor="_Toc65490073" w:history="1">
            <w:r w:rsidR="00C63FCF" w:rsidRPr="00C014CF">
              <w:rPr>
                <w:rStyle w:val="Hyperlink"/>
                <w:rFonts w:ascii="Times New Roman" w:eastAsia="Times New Roman" w:hAnsi="Times New Roman" w:cs="Times New Roman"/>
                <w:b/>
                <w:bCs/>
                <w:noProof/>
              </w:rPr>
              <w:t>CHAPTER 2: THEORETICAL FRAMEWORK</w:t>
            </w:r>
            <w:r w:rsidR="00C63FCF">
              <w:rPr>
                <w:noProof/>
                <w:webHidden/>
              </w:rPr>
              <w:tab/>
            </w:r>
            <w:r w:rsidR="00C63FCF">
              <w:rPr>
                <w:noProof/>
                <w:webHidden/>
              </w:rPr>
              <w:fldChar w:fldCharType="begin"/>
            </w:r>
            <w:r w:rsidR="00C63FCF">
              <w:rPr>
                <w:noProof/>
                <w:webHidden/>
              </w:rPr>
              <w:instrText xml:space="preserve"> PAGEREF _Toc65490073 \h </w:instrText>
            </w:r>
            <w:r w:rsidR="00C63FCF">
              <w:rPr>
                <w:noProof/>
                <w:webHidden/>
              </w:rPr>
            </w:r>
            <w:r w:rsidR="00C63FCF">
              <w:rPr>
                <w:noProof/>
                <w:webHidden/>
              </w:rPr>
              <w:fldChar w:fldCharType="separate"/>
            </w:r>
            <w:r w:rsidR="00C63FCF">
              <w:rPr>
                <w:noProof/>
                <w:webHidden/>
              </w:rPr>
              <w:t>9</w:t>
            </w:r>
            <w:r w:rsidR="00C63FCF">
              <w:rPr>
                <w:noProof/>
                <w:webHidden/>
              </w:rPr>
              <w:fldChar w:fldCharType="end"/>
            </w:r>
          </w:hyperlink>
        </w:p>
        <w:p w14:paraId="0D8DBB3C" w14:textId="1719D1A7" w:rsidR="00C63FCF" w:rsidRDefault="0020655F">
          <w:pPr>
            <w:pStyle w:val="TOC2"/>
            <w:rPr>
              <w:rFonts w:asciiTheme="minorHAnsi" w:eastAsiaTheme="minorEastAsia" w:hAnsiTheme="minorHAnsi" w:cstheme="minorBidi"/>
              <w:b w:val="0"/>
              <w:bCs w:val="0"/>
              <w:sz w:val="22"/>
              <w:szCs w:val="22"/>
              <w:lang w:eastAsia="en-GB"/>
            </w:rPr>
          </w:pPr>
          <w:hyperlink w:anchor="_Toc65490074" w:history="1">
            <w:r w:rsidR="00C63FCF" w:rsidRPr="00C014CF">
              <w:rPr>
                <w:rStyle w:val="Hyperlink"/>
                <w:rFonts w:ascii="Times New Roman" w:eastAsia="Times New Roman" w:hAnsi="Times New Roman"/>
              </w:rPr>
              <w:t>2.1 INTRODUCTION</w:t>
            </w:r>
            <w:r w:rsidR="00C63FCF">
              <w:rPr>
                <w:webHidden/>
              </w:rPr>
              <w:tab/>
            </w:r>
            <w:r w:rsidR="00C63FCF">
              <w:rPr>
                <w:webHidden/>
              </w:rPr>
              <w:fldChar w:fldCharType="begin"/>
            </w:r>
            <w:r w:rsidR="00C63FCF">
              <w:rPr>
                <w:webHidden/>
              </w:rPr>
              <w:instrText xml:space="preserve"> PAGEREF _Toc65490074 \h </w:instrText>
            </w:r>
            <w:r w:rsidR="00C63FCF">
              <w:rPr>
                <w:webHidden/>
              </w:rPr>
            </w:r>
            <w:r w:rsidR="00C63FCF">
              <w:rPr>
                <w:webHidden/>
              </w:rPr>
              <w:fldChar w:fldCharType="separate"/>
            </w:r>
            <w:r w:rsidR="00C63FCF">
              <w:rPr>
                <w:webHidden/>
              </w:rPr>
              <w:t>9</w:t>
            </w:r>
            <w:r w:rsidR="00C63FCF">
              <w:rPr>
                <w:webHidden/>
              </w:rPr>
              <w:fldChar w:fldCharType="end"/>
            </w:r>
          </w:hyperlink>
        </w:p>
        <w:p w14:paraId="1154951D" w14:textId="7DA77FC0" w:rsidR="00C63FCF" w:rsidRDefault="0020655F">
          <w:pPr>
            <w:pStyle w:val="TOC2"/>
            <w:rPr>
              <w:rFonts w:asciiTheme="minorHAnsi" w:eastAsiaTheme="minorEastAsia" w:hAnsiTheme="minorHAnsi" w:cstheme="minorBidi"/>
              <w:b w:val="0"/>
              <w:bCs w:val="0"/>
              <w:sz w:val="22"/>
              <w:szCs w:val="22"/>
              <w:lang w:eastAsia="en-GB"/>
            </w:rPr>
          </w:pPr>
          <w:hyperlink w:anchor="_Toc65490075" w:history="1">
            <w:r w:rsidR="00C63FCF" w:rsidRPr="00C014CF">
              <w:rPr>
                <w:rStyle w:val="Hyperlink"/>
                <w:rFonts w:ascii="Times New Roman" w:eastAsia="Times New Roman" w:hAnsi="Times New Roman"/>
              </w:rPr>
              <w:t>2.2 LIBERAL DEMOCRACY THEORY</w:t>
            </w:r>
            <w:r w:rsidR="00C63FCF">
              <w:rPr>
                <w:webHidden/>
              </w:rPr>
              <w:tab/>
            </w:r>
            <w:r w:rsidR="00C63FCF">
              <w:rPr>
                <w:webHidden/>
              </w:rPr>
              <w:fldChar w:fldCharType="begin"/>
            </w:r>
            <w:r w:rsidR="00C63FCF">
              <w:rPr>
                <w:webHidden/>
              </w:rPr>
              <w:instrText xml:space="preserve"> PAGEREF _Toc65490075 \h </w:instrText>
            </w:r>
            <w:r w:rsidR="00C63FCF">
              <w:rPr>
                <w:webHidden/>
              </w:rPr>
            </w:r>
            <w:r w:rsidR="00C63FCF">
              <w:rPr>
                <w:webHidden/>
              </w:rPr>
              <w:fldChar w:fldCharType="separate"/>
            </w:r>
            <w:r w:rsidR="00C63FCF">
              <w:rPr>
                <w:webHidden/>
              </w:rPr>
              <w:t>9</w:t>
            </w:r>
            <w:r w:rsidR="00C63FCF">
              <w:rPr>
                <w:webHidden/>
              </w:rPr>
              <w:fldChar w:fldCharType="end"/>
            </w:r>
          </w:hyperlink>
        </w:p>
        <w:p w14:paraId="74E9225E" w14:textId="5B14F220" w:rsidR="00C63FCF" w:rsidRDefault="0020655F">
          <w:pPr>
            <w:pStyle w:val="TOC2"/>
            <w:rPr>
              <w:rFonts w:asciiTheme="minorHAnsi" w:eastAsiaTheme="minorEastAsia" w:hAnsiTheme="minorHAnsi" w:cstheme="minorBidi"/>
              <w:b w:val="0"/>
              <w:bCs w:val="0"/>
              <w:sz w:val="22"/>
              <w:szCs w:val="22"/>
              <w:lang w:eastAsia="en-GB"/>
            </w:rPr>
          </w:pPr>
          <w:hyperlink w:anchor="_Toc65490076" w:history="1">
            <w:r w:rsidR="00C63FCF" w:rsidRPr="00C014CF">
              <w:rPr>
                <w:rStyle w:val="Hyperlink"/>
                <w:rFonts w:ascii="Times New Roman" w:eastAsia="Times New Roman" w:hAnsi="Times New Roman"/>
              </w:rPr>
              <w:t>2.3PUBLIC INTEREST THEORY OF GOVERNMENT REGULATION</w:t>
            </w:r>
            <w:r w:rsidR="00C63FCF">
              <w:rPr>
                <w:webHidden/>
              </w:rPr>
              <w:tab/>
            </w:r>
            <w:r w:rsidR="00C63FCF">
              <w:rPr>
                <w:webHidden/>
              </w:rPr>
              <w:fldChar w:fldCharType="begin"/>
            </w:r>
            <w:r w:rsidR="00C63FCF">
              <w:rPr>
                <w:webHidden/>
              </w:rPr>
              <w:instrText xml:space="preserve"> PAGEREF _Toc65490076 \h </w:instrText>
            </w:r>
            <w:r w:rsidR="00C63FCF">
              <w:rPr>
                <w:webHidden/>
              </w:rPr>
            </w:r>
            <w:r w:rsidR="00C63FCF">
              <w:rPr>
                <w:webHidden/>
              </w:rPr>
              <w:fldChar w:fldCharType="separate"/>
            </w:r>
            <w:r w:rsidR="00C63FCF">
              <w:rPr>
                <w:webHidden/>
              </w:rPr>
              <w:t>11</w:t>
            </w:r>
            <w:r w:rsidR="00C63FCF">
              <w:rPr>
                <w:webHidden/>
              </w:rPr>
              <w:fldChar w:fldCharType="end"/>
            </w:r>
          </w:hyperlink>
        </w:p>
        <w:p w14:paraId="2ED87021" w14:textId="65C633AE" w:rsidR="00C63FCF" w:rsidRDefault="0020655F">
          <w:pPr>
            <w:pStyle w:val="TOC2"/>
            <w:rPr>
              <w:rFonts w:asciiTheme="minorHAnsi" w:eastAsiaTheme="minorEastAsia" w:hAnsiTheme="minorHAnsi" w:cstheme="minorBidi"/>
              <w:b w:val="0"/>
              <w:bCs w:val="0"/>
              <w:sz w:val="22"/>
              <w:szCs w:val="22"/>
              <w:lang w:eastAsia="en-GB"/>
            </w:rPr>
          </w:pPr>
          <w:hyperlink w:anchor="_Toc65490077" w:history="1">
            <w:r w:rsidR="00C63FCF" w:rsidRPr="00C014CF">
              <w:rPr>
                <w:rStyle w:val="Hyperlink"/>
                <w:rFonts w:ascii="Times New Roman" w:eastAsia="Times New Roman" w:hAnsi="Times New Roman"/>
              </w:rPr>
              <w:t>2.4 PRIVATE INTEREST THEORY OF GOVERNMENT REGULATION</w:t>
            </w:r>
            <w:r w:rsidR="00C63FCF">
              <w:rPr>
                <w:webHidden/>
              </w:rPr>
              <w:tab/>
            </w:r>
            <w:r w:rsidR="00C63FCF">
              <w:rPr>
                <w:webHidden/>
              </w:rPr>
              <w:fldChar w:fldCharType="begin"/>
            </w:r>
            <w:r w:rsidR="00C63FCF">
              <w:rPr>
                <w:webHidden/>
              </w:rPr>
              <w:instrText xml:space="preserve"> PAGEREF _Toc65490077 \h </w:instrText>
            </w:r>
            <w:r w:rsidR="00C63FCF">
              <w:rPr>
                <w:webHidden/>
              </w:rPr>
            </w:r>
            <w:r w:rsidR="00C63FCF">
              <w:rPr>
                <w:webHidden/>
              </w:rPr>
              <w:fldChar w:fldCharType="separate"/>
            </w:r>
            <w:r w:rsidR="00C63FCF">
              <w:rPr>
                <w:webHidden/>
              </w:rPr>
              <w:t>13</w:t>
            </w:r>
            <w:r w:rsidR="00C63FCF">
              <w:rPr>
                <w:webHidden/>
              </w:rPr>
              <w:fldChar w:fldCharType="end"/>
            </w:r>
          </w:hyperlink>
        </w:p>
        <w:p w14:paraId="40525EC1" w14:textId="3E055D1A" w:rsidR="00C63FCF" w:rsidRDefault="0020655F">
          <w:pPr>
            <w:pStyle w:val="TOC2"/>
            <w:rPr>
              <w:rFonts w:asciiTheme="minorHAnsi" w:eastAsiaTheme="minorEastAsia" w:hAnsiTheme="minorHAnsi" w:cstheme="minorBidi"/>
              <w:b w:val="0"/>
              <w:bCs w:val="0"/>
              <w:sz w:val="22"/>
              <w:szCs w:val="22"/>
              <w:lang w:eastAsia="en-GB"/>
            </w:rPr>
          </w:pPr>
          <w:hyperlink w:anchor="_Toc65490078" w:history="1">
            <w:r w:rsidR="00C63FCF" w:rsidRPr="00C014CF">
              <w:rPr>
                <w:rStyle w:val="Hyperlink"/>
                <w:rFonts w:ascii="Times New Roman" w:eastAsia="Times New Roman" w:hAnsi="Times New Roman"/>
              </w:rPr>
              <w:t>2.5 THE EGALITARIAN THEORY</w:t>
            </w:r>
            <w:r w:rsidR="00C63FCF">
              <w:rPr>
                <w:webHidden/>
              </w:rPr>
              <w:tab/>
            </w:r>
            <w:r w:rsidR="00C63FCF">
              <w:rPr>
                <w:webHidden/>
              </w:rPr>
              <w:fldChar w:fldCharType="begin"/>
            </w:r>
            <w:r w:rsidR="00C63FCF">
              <w:rPr>
                <w:webHidden/>
              </w:rPr>
              <w:instrText xml:space="preserve"> PAGEREF _Toc65490078 \h </w:instrText>
            </w:r>
            <w:r w:rsidR="00C63FCF">
              <w:rPr>
                <w:webHidden/>
              </w:rPr>
            </w:r>
            <w:r w:rsidR="00C63FCF">
              <w:rPr>
                <w:webHidden/>
              </w:rPr>
              <w:fldChar w:fldCharType="separate"/>
            </w:r>
            <w:r w:rsidR="00C63FCF">
              <w:rPr>
                <w:webHidden/>
              </w:rPr>
              <w:t>17</w:t>
            </w:r>
            <w:r w:rsidR="00C63FCF">
              <w:rPr>
                <w:webHidden/>
              </w:rPr>
              <w:fldChar w:fldCharType="end"/>
            </w:r>
          </w:hyperlink>
        </w:p>
        <w:p w14:paraId="3309F7DE" w14:textId="4F0FF981" w:rsidR="00C63FCF" w:rsidRDefault="0020655F">
          <w:pPr>
            <w:pStyle w:val="TOC2"/>
            <w:rPr>
              <w:rFonts w:asciiTheme="minorHAnsi" w:eastAsiaTheme="minorEastAsia" w:hAnsiTheme="minorHAnsi" w:cstheme="minorBidi"/>
              <w:b w:val="0"/>
              <w:bCs w:val="0"/>
              <w:sz w:val="22"/>
              <w:szCs w:val="22"/>
              <w:lang w:eastAsia="en-GB"/>
            </w:rPr>
          </w:pPr>
          <w:hyperlink w:anchor="_Toc65490079" w:history="1">
            <w:r w:rsidR="00C63FCF" w:rsidRPr="00C014CF">
              <w:rPr>
                <w:rStyle w:val="Hyperlink"/>
                <w:rFonts w:ascii="Times New Roman" w:eastAsia="Times New Roman" w:hAnsi="Times New Roman"/>
              </w:rPr>
              <w:t>2.6 CONCLUSION</w:t>
            </w:r>
            <w:r w:rsidR="00C63FCF">
              <w:rPr>
                <w:webHidden/>
              </w:rPr>
              <w:tab/>
            </w:r>
            <w:r w:rsidR="00C63FCF">
              <w:rPr>
                <w:webHidden/>
              </w:rPr>
              <w:fldChar w:fldCharType="begin"/>
            </w:r>
            <w:r w:rsidR="00C63FCF">
              <w:rPr>
                <w:webHidden/>
              </w:rPr>
              <w:instrText xml:space="preserve"> PAGEREF _Toc65490079 \h </w:instrText>
            </w:r>
            <w:r w:rsidR="00C63FCF">
              <w:rPr>
                <w:webHidden/>
              </w:rPr>
            </w:r>
            <w:r w:rsidR="00C63FCF">
              <w:rPr>
                <w:webHidden/>
              </w:rPr>
              <w:fldChar w:fldCharType="separate"/>
            </w:r>
            <w:r w:rsidR="00C63FCF">
              <w:rPr>
                <w:webHidden/>
              </w:rPr>
              <w:t>19</w:t>
            </w:r>
            <w:r w:rsidR="00C63FCF">
              <w:rPr>
                <w:webHidden/>
              </w:rPr>
              <w:fldChar w:fldCharType="end"/>
            </w:r>
          </w:hyperlink>
        </w:p>
        <w:p w14:paraId="2076CCC0" w14:textId="1BC03845" w:rsidR="00C63FCF" w:rsidRDefault="0020655F">
          <w:pPr>
            <w:pStyle w:val="TOC1"/>
            <w:tabs>
              <w:tab w:val="right" w:leader="dot" w:pos="9016"/>
            </w:tabs>
            <w:rPr>
              <w:rFonts w:eastAsiaTheme="minorEastAsia"/>
              <w:noProof/>
              <w:lang w:eastAsia="en-GB"/>
            </w:rPr>
          </w:pPr>
          <w:hyperlink w:anchor="_Toc65490080" w:history="1">
            <w:r w:rsidR="00C63FCF" w:rsidRPr="00C014CF">
              <w:rPr>
                <w:rStyle w:val="Hyperlink"/>
                <w:rFonts w:ascii="Times New Roman" w:eastAsia="Times New Roman" w:hAnsi="Times New Roman" w:cs="Times New Roman"/>
                <w:b/>
                <w:bCs/>
                <w:noProof/>
              </w:rPr>
              <w:t>CHAPTER 3: CORRUPTION AND POLITICAL FINANCING IN KENYA</w:t>
            </w:r>
            <w:r w:rsidR="00C63FCF">
              <w:rPr>
                <w:noProof/>
                <w:webHidden/>
              </w:rPr>
              <w:tab/>
            </w:r>
            <w:r w:rsidR="00C63FCF">
              <w:rPr>
                <w:noProof/>
                <w:webHidden/>
              </w:rPr>
              <w:fldChar w:fldCharType="begin"/>
            </w:r>
            <w:r w:rsidR="00C63FCF">
              <w:rPr>
                <w:noProof/>
                <w:webHidden/>
              </w:rPr>
              <w:instrText xml:space="preserve"> PAGEREF _Toc65490080 \h </w:instrText>
            </w:r>
            <w:r w:rsidR="00C63FCF">
              <w:rPr>
                <w:noProof/>
                <w:webHidden/>
              </w:rPr>
            </w:r>
            <w:r w:rsidR="00C63FCF">
              <w:rPr>
                <w:noProof/>
                <w:webHidden/>
              </w:rPr>
              <w:fldChar w:fldCharType="separate"/>
            </w:r>
            <w:r w:rsidR="00C63FCF">
              <w:rPr>
                <w:noProof/>
                <w:webHidden/>
              </w:rPr>
              <w:t>20</w:t>
            </w:r>
            <w:r w:rsidR="00C63FCF">
              <w:rPr>
                <w:noProof/>
                <w:webHidden/>
              </w:rPr>
              <w:fldChar w:fldCharType="end"/>
            </w:r>
          </w:hyperlink>
        </w:p>
        <w:p w14:paraId="0899B812" w14:textId="0B2741FF" w:rsidR="00C63FCF" w:rsidRDefault="0020655F">
          <w:pPr>
            <w:pStyle w:val="TOC2"/>
            <w:rPr>
              <w:rFonts w:asciiTheme="minorHAnsi" w:eastAsiaTheme="minorEastAsia" w:hAnsiTheme="minorHAnsi" w:cstheme="minorBidi"/>
              <w:b w:val="0"/>
              <w:bCs w:val="0"/>
              <w:sz w:val="22"/>
              <w:szCs w:val="22"/>
              <w:lang w:eastAsia="en-GB"/>
            </w:rPr>
          </w:pPr>
          <w:hyperlink w:anchor="_Toc65490081" w:history="1">
            <w:r w:rsidR="00C63FCF" w:rsidRPr="00C014CF">
              <w:rPr>
                <w:rStyle w:val="Hyperlink"/>
                <w:rFonts w:ascii="Times New Roman" w:eastAsia="Times New Roman" w:hAnsi="Times New Roman"/>
              </w:rPr>
              <w:t>3.1 INTRODUCTION</w:t>
            </w:r>
            <w:r w:rsidR="00C63FCF">
              <w:rPr>
                <w:webHidden/>
              </w:rPr>
              <w:tab/>
            </w:r>
            <w:r w:rsidR="00C63FCF">
              <w:rPr>
                <w:webHidden/>
              </w:rPr>
              <w:fldChar w:fldCharType="begin"/>
            </w:r>
            <w:r w:rsidR="00C63FCF">
              <w:rPr>
                <w:webHidden/>
              </w:rPr>
              <w:instrText xml:space="preserve"> PAGEREF _Toc65490081 \h </w:instrText>
            </w:r>
            <w:r w:rsidR="00C63FCF">
              <w:rPr>
                <w:webHidden/>
              </w:rPr>
            </w:r>
            <w:r w:rsidR="00C63FCF">
              <w:rPr>
                <w:webHidden/>
              </w:rPr>
              <w:fldChar w:fldCharType="separate"/>
            </w:r>
            <w:r w:rsidR="00C63FCF">
              <w:rPr>
                <w:webHidden/>
              </w:rPr>
              <w:t>20</w:t>
            </w:r>
            <w:r w:rsidR="00C63FCF">
              <w:rPr>
                <w:webHidden/>
              </w:rPr>
              <w:fldChar w:fldCharType="end"/>
            </w:r>
          </w:hyperlink>
        </w:p>
        <w:p w14:paraId="0C37479C" w14:textId="65C1CEBA" w:rsidR="00C63FCF" w:rsidRDefault="0020655F">
          <w:pPr>
            <w:pStyle w:val="TOC2"/>
            <w:rPr>
              <w:rFonts w:asciiTheme="minorHAnsi" w:eastAsiaTheme="minorEastAsia" w:hAnsiTheme="minorHAnsi" w:cstheme="minorBidi"/>
              <w:b w:val="0"/>
              <w:bCs w:val="0"/>
              <w:sz w:val="22"/>
              <w:szCs w:val="22"/>
              <w:lang w:eastAsia="en-GB"/>
            </w:rPr>
          </w:pPr>
          <w:hyperlink w:anchor="_Toc65490082" w:history="1">
            <w:r w:rsidR="00C63FCF" w:rsidRPr="00C014CF">
              <w:rPr>
                <w:rStyle w:val="Hyperlink"/>
                <w:rFonts w:ascii="Times New Roman" w:eastAsia="Times New Roman" w:hAnsi="Times New Roman"/>
              </w:rPr>
              <w:t>3.1.2 DEFINITION OF CORRUPTION</w:t>
            </w:r>
            <w:r w:rsidR="00C63FCF">
              <w:rPr>
                <w:webHidden/>
              </w:rPr>
              <w:tab/>
            </w:r>
            <w:r w:rsidR="00C63FCF">
              <w:rPr>
                <w:webHidden/>
              </w:rPr>
              <w:fldChar w:fldCharType="begin"/>
            </w:r>
            <w:r w:rsidR="00C63FCF">
              <w:rPr>
                <w:webHidden/>
              </w:rPr>
              <w:instrText xml:space="preserve"> PAGEREF _Toc65490082 \h </w:instrText>
            </w:r>
            <w:r w:rsidR="00C63FCF">
              <w:rPr>
                <w:webHidden/>
              </w:rPr>
            </w:r>
            <w:r w:rsidR="00C63FCF">
              <w:rPr>
                <w:webHidden/>
              </w:rPr>
              <w:fldChar w:fldCharType="separate"/>
            </w:r>
            <w:r w:rsidR="00C63FCF">
              <w:rPr>
                <w:webHidden/>
              </w:rPr>
              <w:t>20</w:t>
            </w:r>
            <w:r w:rsidR="00C63FCF">
              <w:rPr>
                <w:webHidden/>
              </w:rPr>
              <w:fldChar w:fldCharType="end"/>
            </w:r>
          </w:hyperlink>
        </w:p>
        <w:p w14:paraId="3FC2E092" w14:textId="77723D36" w:rsidR="00C63FCF" w:rsidRDefault="0020655F">
          <w:pPr>
            <w:pStyle w:val="TOC2"/>
            <w:rPr>
              <w:rFonts w:asciiTheme="minorHAnsi" w:eastAsiaTheme="minorEastAsia" w:hAnsiTheme="minorHAnsi" w:cstheme="minorBidi"/>
              <w:b w:val="0"/>
              <w:bCs w:val="0"/>
              <w:sz w:val="22"/>
              <w:szCs w:val="22"/>
              <w:lang w:eastAsia="en-GB"/>
            </w:rPr>
          </w:pPr>
          <w:hyperlink w:anchor="_Toc65490083" w:history="1">
            <w:r w:rsidR="00C63FCF" w:rsidRPr="00C014CF">
              <w:rPr>
                <w:rStyle w:val="Hyperlink"/>
                <w:rFonts w:ascii="Times New Roman" w:eastAsia="Times New Roman" w:hAnsi="Times New Roman"/>
              </w:rPr>
              <w:t>3.2 THE GOLDENBERG CORRUPTION SCANDAL AND POLITICAL FINANCING</w:t>
            </w:r>
            <w:r w:rsidR="00C63FCF">
              <w:rPr>
                <w:webHidden/>
              </w:rPr>
              <w:tab/>
            </w:r>
            <w:r w:rsidR="00C63FCF">
              <w:rPr>
                <w:webHidden/>
              </w:rPr>
              <w:fldChar w:fldCharType="begin"/>
            </w:r>
            <w:r w:rsidR="00C63FCF">
              <w:rPr>
                <w:webHidden/>
              </w:rPr>
              <w:instrText xml:space="preserve"> PAGEREF _Toc65490083 \h </w:instrText>
            </w:r>
            <w:r w:rsidR="00C63FCF">
              <w:rPr>
                <w:webHidden/>
              </w:rPr>
            </w:r>
            <w:r w:rsidR="00C63FCF">
              <w:rPr>
                <w:webHidden/>
              </w:rPr>
              <w:fldChar w:fldCharType="separate"/>
            </w:r>
            <w:r w:rsidR="00C63FCF">
              <w:rPr>
                <w:webHidden/>
              </w:rPr>
              <w:t>20</w:t>
            </w:r>
            <w:r w:rsidR="00C63FCF">
              <w:rPr>
                <w:webHidden/>
              </w:rPr>
              <w:fldChar w:fldCharType="end"/>
            </w:r>
          </w:hyperlink>
        </w:p>
        <w:p w14:paraId="322E2405" w14:textId="113CE728" w:rsidR="00C63FCF" w:rsidRDefault="0020655F">
          <w:pPr>
            <w:pStyle w:val="TOC2"/>
            <w:rPr>
              <w:rFonts w:asciiTheme="minorHAnsi" w:eastAsiaTheme="minorEastAsia" w:hAnsiTheme="minorHAnsi" w:cstheme="minorBidi"/>
              <w:b w:val="0"/>
              <w:bCs w:val="0"/>
              <w:sz w:val="22"/>
              <w:szCs w:val="22"/>
              <w:lang w:eastAsia="en-GB"/>
            </w:rPr>
          </w:pPr>
          <w:hyperlink w:anchor="_Toc65490084" w:history="1">
            <w:r w:rsidR="00C63FCF" w:rsidRPr="00C014CF">
              <w:rPr>
                <w:rStyle w:val="Hyperlink"/>
                <w:rFonts w:ascii="Times New Roman" w:eastAsia="Times New Roman" w:hAnsi="Times New Roman"/>
              </w:rPr>
              <w:t>3.3 KENYA’S POLITICAL FINANCING LAWS</w:t>
            </w:r>
            <w:r w:rsidR="00C63FCF">
              <w:rPr>
                <w:webHidden/>
              </w:rPr>
              <w:tab/>
            </w:r>
            <w:r w:rsidR="00C63FCF">
              <w:rPr>
                <w:webHidden/>
              </w:rPr>
              <w:fldChar w:fldCharType="begin"/>
            </w:r>
            <w:r w:rsidR="00C63FCF">
              <w:rPr>
                <w:webHidden/>
              </w:rPr>
              <w:instrText xml:space="preserve"> PAGEREF _Toc65490084 \h </w:instrText>
            </w:r>
            <w:r w:rsidR="00C63FCF">
              <w:rPr>
                <w:webHidden/>
              </w:rPr>
            </w:r>
            <w:r w:rsidR="00C63FCF">
              <w:rPr>
                <w:webHidden/>
              </w:rPr>
              <w:fldChar w:fldCharType="separate"/>
            </w:r>
            <w:r w:rsidR="00C63FCF">
              <w:rPr>
                <w:webHidden/>
              </w:rPr>
              <w:t>22</w:t>
            </w:r>
            <w:r w:rsidR="00C63FCF">
              <w:rPr>
                <w:webHidden/>
              </w:rPr>
              <w:fldChar w:fldCharType="end"/>
            </w:r>
          </w:hyperlink>
        </w:p>
        <w:p w14:paraId="2F28ABA2" w14:textId="0DA3BDBE" w:rsidR="00C63FCF" w:rsidRDefault="0020655F">
          <w:pPr>
            <w:pStyle w:val="TOC2"/>
            <w:rPr>
              <w:rFonts w:asciiTheme="minorHAnsi" w:eastAsiaTheme="minorEastAsia" w:hAnsiTheme="minorHAnsi" w:cstheme="minorBidi"/>
              <w:b w:val="0"/>
              <w:bCs w:val="0"/>
              <w:sz w:val="22"/>
              <w:szCs w:val="22"/>
              <w:lang w:eastAsia="en-GB"/>
            </w:rPr>
          </w:pPr>
          <w:hyperlink w:anchor="_Toc65490085" w:history="1">
            <w:r w:rsidR="00C63FCF" w:rsidRPr="00C014CF">
              <w:rPr>
                <w:rStyle w:val="Hyperlink"/>
                <w:rFonts w:ascii="Times New Roman" w:eastAsia="Times New Roman" w:hAnsi="Times New Roman"/>
              </w:rPr>
              <w:t>3.3.1 INTERNATIONAL LAW</w:t>
            </w:r>
            <w:r w:rsidR="00C63FCF">
              <w:rPr>
                <w:webHidden/>
              </w:rPr>
              <w:tab/>
            </w:r>
            <w:r w:rsidR="00C63FCF">
              <w:rPr>
                <w:webHidden/>
              </w:rPr>
              <w:fldChar w:fldCharType="begin"/>
            </w:r>
            <w:r w:rsidR="00C63FCF">
              <w:rPr>
                <w:webHidden/>
              </w:rPr>
              <w:instrText xml:space="preserve"> PAGEREF _Toc65490085 \h </w:instrText>
            </w:r>
            <w:r w:rsidR="00C63FCF">
              <w:rPr>
                <w:webHidden/>
              </w:rPr>
            </w:r>
            <w:r w:rsidR="00C63FCF">
              <w:rPr>
                <w:webHidden/>
              </w:rPr>
              <w:fldChar w:fldCharType="separate"/>
            </w:r>
            <w:r w:rsidR="00C63FCF">
              <w:rPr>
                <w:webHidden/>
              </w:rPr>
              <w:t>22</w:t>
            </w:r>
            <w:r w:rsidR="00C63FCF">
              <w:rPr>
                <w:webHidden/>
              </w:rPr>
              <w:fldChar w:fldCharType="end"/>
            </w:r>
          </w:hyperlink>
        </w:p>
        <w:p w14:paraId="464D3B32" w14:textId="3001C732" w:rsidR="00C63FCF" w:rsidRDefault="0020655F">
          <w:pPr>
            <w:pStyle w:val="TOC2"/>
            <w:rPr>
              <w:rFonts w:asciiTheme="minorHAnsi" w:eastAsiaTheme="minorEastAsia" w:hAnsiTheme="minorHAnsi" w:cstheme="minorBidi"/>
              <w:b w:val="0"/>
              <w:bCs w:val="0"/>
              <w:sz w:val="22"/>
              <w:szCs w:val="22"/>
              <w:lang w:eastAsia="en-GB"/>
            </w:rPr>
          </w:pPr>
          <w:hyperlink w:anchor="_Toc65490086" w:history="1">
            <w:r w:rsidR="00C63FCF" w:rsidRPr="00C014CF">
              <w:rPr>
                <w:rStyle w:val="Hyperlink"/>
                <w:rFonts w:ascii="Times New Roman" w:eastAsia="Times New Roman" w:hAnsi="Times New Roman"/>
              </w:rPr>
              <w:t>3.3.2 REGIONAL LEGAL FRAMEWORK</w:t>
            </w:r>
            <w:r w:rsidR="00C63FCF">
              <w:rPr>
                <w:webHidden/>
              </w:rPr>
              <w:tab/>
            </w:r>
            <w:r w:rsidR="00C63FCF">
              <w:rPr>
                <w:webHidden/>
              </w:rPr>
              <w:fldChar w:fldCharType="begin"/>
            </w:r>
            <w:r w:rsidR="00C63FCF">
              <w:rPr>
                <w:webHidden/>
              </w:rPr>
              <w:instrText xml:space="preserve"> PAGEREF _Toc65490086 \h </w:instrText>
            </w:r>
            <w:r w:rsidR="00C63FCF">
              <w:rPr>
                <w:webHidden/>
              </w:rPr>
            </w:r>
            <w:r w:rsidR="00C63FCF">
              <w:rPr>
                <w:webHidden/>
              </w:rPr>
              <w:fldChar w:fldCharType="separate"/>
            </w:r>
            <w:r w:rsidR="00C63FCF">
              <w:rPr>
                <w:webHidden/>
              </w:rPr>
              <w:t>25</w:t>
            </w:r>
            <w:r w:rsidR="00C63FCF">
              <w:rPr>
                <w:webHidden/>
              </w:rPr>
              <w:fldChar w:fldCharType="end"/>
            </w:r>
          </w:hyperlink>
        </w:p>
        <w:p w14:paraId="1BE4C2BC" w14:textId="3477635A" w:rsidR="00C63FCF" w:rsidRDefault="0020655F">
          <w:pPr>
            <w:pStyle w:val="TOC2"/>
            <w:rPr>
              <w:rFonts w:asciiTheme="minorHAnsi" w:eastAsiaTheme="minorEastAsia" w:hAnsiTheme="minorHAnsi" w:cstheme="minorBidi"/>
              <w:b w:val="0"/>
              <w:bCs w:val="0"/>
              <w:sz w:val="22"/>
              <w:szCs w:val="22"/>
              <w:lang w:eastAsia="en-GB"/>
            </w:rPr>
          </w:pPr>
          <w:hyperlink w:anchor="_Toc65490087" w:history="1">
            <w:r w:rsidR="00C63FCF" w:rsidRPr="00C014CF">
              <w:rPr>
                <w:rStyle w:val="Hyperlink"/>
                <w:rFonts w:ascii="Times New Roman" w:eastAsia="Times New Roman" w:hAnsi="Times New Roman"/>
              </w:rPr>
              <w:t>3.3.3 KENYAN DOMESTIC FRAMEWORK ON CAMPAIGN FINANCING REGULATION</w:t>
            </w:r>
            <w:r w:rsidR="00C63FCF">
              <w:rPr>
                <w:webHidden/>
              </w:rPr>
              <w:tab/>
            </w:r>
            <w:r w:rsidR="00C63FCF">
              <w:rPr>
                <w:webHidden/>
              </w:rPr>
              <w:fldChar w:fldCharType="begin"/>
            </w:r>
            <w:r w:rsidR="00C63FCF">
              <w:rPr>
                <w:webHidden/>
              </w:rPr>
              <w:instrText xml:space="preserve"> PAGEREF _Toc65490087 \h </w:instrText>
            </w:r>
            <w:r w:rsidR="00C63FCF">
              <w:rPr>
                <w:webHidden/>
              </w:rPr>
            </w:r>
            <w:r w:rsidR="00C63FCF">
              <w:rPr>
                <w:webHidden/>
              </w:rPr>
              <w:fldChar w:fldCharType="separate"/>
            </w:r>
            <w:r w:rsidR="00C63FCF">
              <w:rPr>
                <w:webHidden/>
              </w:rPr>
              <w:t>26</w:t>
            </w:r>
            <w:r w:rsidR="00C63FCF">
              <w:rPr>
                <w:webHidden/>
              </w:rPr>
              <w:fldChar w:fldCharType="end"/>
            </w:r>
          </w:hyperlink>
        </w:p>
        <w:p w14:paraId="320F6A68" w14:textId="534E6051" w:rsidR="00C63FCF" w:rsidRDefault="0020655F">
          <w:pPr>
            <w:pStyle w:val="TOC2"/>
            <w:rPr>
              <w:rFonts w:asciiTheme="minorHAnsi" w:eastAsiaTheme="minorEastAsia" w:hAnsiTheme="minorHAnsi" w:cstheme="minorBidi"/>
              <w:b w:val="0"/>
              <w:bCs w:val="0"/>
              <w:sz w:val="22"/>
              <w:szCs w:val="22"/>
              <w:lang w:eastAsia="en-GB"/>
            </w:rPr>
          </w:pPr>
          <w:hyperlink w:anchor="_Toc65490088" w:history="1">
            <w:r w:rsidR="00C63FCF" w:rsidRPr="00C014CF">
              <w:rPr>
                <w:rStyle w:val="Hyperlink"/>
                <w:rFonts w:ascii="Times New Roman" w:eastAsia="Times New Roman" w:hAnsi="Times New Roman"/>
              </w:rPr>
              <w:t>3.3.4 THE CONSTITUTION</w:t>
            </w:r>
            <w:r w:rsidR="00C63FCF">
              <w:rPr>
                <w:webHidden/>
              </w:rPr>
              <w:tab/>
            </w:r>
            <w:r w:rsidR="00C63FCF">
              <w:rPr>
                <w:webHidden/>
              </w:rPr>
              <w:fldChar w:fldCharType="begin"/>
            </w:r>
            <w:r w:rsidR="00C63FCF">
              <w:rPr>
                <w:webHidden/>
              </w:rPr>
              <w:instrText xml:space="preserve"> PAGEREF _Toc65490088 \h </w:instrText>
            </w:r>
            <w:r w:rsidR="00C63FCF">
              <w:rPr>
                <w:webHidden/>
              </w:rPr>
            </w:r>
            <w:r w:rsidR="00C63FCF">
              <w:rPr>
                <w:webHidden/>
              </w:rPr>
              <w:fldChar w:fldCharType="separate"/>
            </w:r>
            <w:r w:rsidR="00C63FCF">
              <w:rPr>
                <w:webHidden/>
              </w:rPr>
              <w:t>26</w:t>
            </w:r>
            <w:r w:rsidR="00C63FCF">
              <w:rPr>
                <w:webHidden/>
              </w:rPr>
              <w:fldChar w:fldCharType="end"/>
            </w:r>
          </w:hyperlink>
        </w:p>
        <w:p w14:paraId="1471F5E5" w14:textId="1CA36FF9" w:rsidR="00C63FCF" w:rsidRDefault="0020655F">
          <w:pPr>
            <w:pStyle w:val="TOC2"/>
            <w:rPr>
              <w:rFonts w:asciiTheme="minorHAnsi" w:eastAsiaTheme="minorEastAsia" w:hAnsiTheme="minorHAnsi" w:cstheme="minorBidi"/>
              <w:b w:val="0"/>
              <w:bCs w:val="0"/>
              <w:sz w:val="22"/>
              <w:szCs w:val="22"/>
              <w:lang w:eastAsia="en-GB"/>
            </w:rPr>
          </w:pPr>
          <w:hyperlink w:anchor="_Toc65490089" w:history="1">
            <w:r w:rsidR="00C63FCF" w:rsidRPr="00C014CF">
              <w:rPr>
                <w:rStyle w:val="Hyperlink"/>
                <w:rFonts w:ascii="Times New Roman" w:eastAsia="Times New Roman" w:hAnsi="Times New Roman"/>
              </w:rPr>
              <w:t>3.3.5 THE POLITICAL PARTIES ACT</w:t>
            </w:r>
            <w:r w:rsidR="00C63FCF">
              <w:rPr>
                <w:webHidden/>
              </w:rPr>
              <w:tab/>
            </w:r>
            <w:r w:rsidR="00C63FCF">
              <w:rPr>
                <w:webHidden/>
              </w:rPr>
              <w:fldChar w:fldCharType="begin"/>
            </w:r>
            <w:r w:rsidR="00C63FCF">
              <w:rPr>
                <w:webHidden/>
              </w:rPr>
              <w:instrText xml:space="preserve"> PAGEREF _Toc65490089 \h </w:instrText>
            </w:r>
            <w:r w:rsidR="00C63FCF">
              <w:rPr>
                <w:webHidden/>
              </w:rPr>
            </w:r>
            <w:r w:rsidR="00C63FCF">
              <w:rPr>
                <w:webHidden/>
              </w:rPr>
              <w:fldChar w:fldCharType="separate"/>
            </w:r>
            <w:r w:rsidR="00C63FCF">
              <w:rPr>
                <w:webHidden/>
              </w:rPr>
              <w:t>27</w:t>
            </w:r>
            <w:r w:rsidR="00C63FCF">
              <w:rPr>
                <w:webHidden/>
              </w:rPr>
              <w:fldChar w:fldCharType="end"/>
            </w:r>
          </w:hyperlink>
        </w:p>
        <w:p w14:paraId="72F30B0F" w14:textId="0167F72D" w:rsidR="00C63FCF" w:rsidRDefault="0020655F">
          <w:pPr>
            <w:pStyle w:val="TOC3"/>
            <w:tabs>
              <w:tab w:val="right" w:leader="dot" w:pos="9016"/>
            </w:tabs>
            <w:rPr>
              <w:rFonts w:eastAsiaTheme="minorEastAsia"/>
              <w:noProof/>
              <w:lang w:eastAsia="en-GB"/>
            </w:rPr>
          </w:pPr>
          <w:hyperlink w:anchor="_Toc65490090" w:history="1">
            <w:r w:rsidR="00C63FCF" w:rsidRPr="00C014CF">
              <w:rPr>
                <w:rStyle w:val="Hyperlink"/>
                <w:rFonts w:ascii="Times New Roman" w:eastAsia="Times New Roman" w:hAnsi="Times New Roman" w:cs="Times New Roman"/>
                <w:b/>
                <w:bCs/>
                <w:noProof/>
              </w:rPr>
              <w:t>SOURCES OF FUNDING</w:t>
            </w:r>
            <w:r w:rsidR="00C63FCF">
              <w:rPr>
                <w:noProof/>
                <w:webHidden/>
              </w:rPr>
              <w:tab/>
            </w:r>
            <w:r w:rsidR="00C63FCF">
              <w:rPr>
                <w:noProof/>
                <w:webHidden/>
              </w:rPr>
              <w:fldChar w:fldCharType="begin"/>
            </w:r>
            <w:r w:rsidR="00C63FCF">
              <w:rPr>
                <w:noProof/>
                <w:webHidden/>
              </w:rPr>
              <w:instrText xml:space="preserve"> PAGEREF _Toc65490090 \h </w:instrText>
            </w:r>
            <w:r w:rsidR="00C63FCF">
              <w:rPr>
                <w:noProof/>
                <w:webHidden/>
              </w:rPr>
            </w:r>
            <w:r w:rsidR="00C63FCF">
              <w:rPr>
                <w:noProof/>
                <w:webHidden/>
              </w:rPr>
              <w:fldChar w:fldCharType="separate"/>
            </w:r>
            <w:r w:rsidR="00C63FCF">
              <w:rPr>
                <w:noProof/>
                <w:webHidden/>
              </w:rPr>
              <w:t>28</w:t>
            </w:r>
            <w:r w:rsidR="00C63FCF">
              <w:rPr>
                <w:noProof/>
                <w:webHidden/>
              </w:rPr>
              <w:fldChar w:fldCharType="end"/>
            </w:r>
          </w:hyperlink>
        </w:p>
        <w:p w14:paraId="70FC397B" w14:textId="24AF54E8" w:rsidR="00C63FCF" w:rsidRDefault="0020655F">
          <w:pPr>
            <w:pStyle w:val="TOC3"/>
            <w:tabs>
              <w:tab w:val="right" w:leader="dot" w:pos="9016"/>
            </w:tabs>
            <w:rPr>
              <w:rFonts w:eastAsiaTheme="minorEastAsia"/>
              <w:noProof/>
              <w:lang w:eastAsia="en-GB"/>
            </w:rPr>
          </w:pPr>
          <w:hyperlink w:anchor="_Toc65490091" w:history="1">
            <w:r w:rsidR="00C63FCF" w:rsidRPr="00C014CF">
              <w:rPr>
                <w:rStyle w:val="Hyperlink"/>
                <w:rFonts w:ascii="Times New Roman" w:eastAsia="Times New Roman" w:hAnsi="Times New Roman" w:cs="Times New Roman"/>
                <w:b/>
                <w:bCs/>
                <w:noProof/>
              </w:rPr>
              <w:t>EXPENDITURE REGULATIONS</w:t>
            </w:r>
            <w:r w:rsidR="00C63FCF">
              <w:rPr>
                <w:noProof/>
                <w:webHidden/>
              </w:rPr>
              <w:tab/>
            </w:r>
            <w:r w:rsidR="00C63FCF">
              <w:rPr>
                <w:noProof/>
                <w:webHidden/>
              </w:rPr>
              <w:fldChar w:fldCharType="begin"/>
            </w:r>
            <w:r w:rsidR="00C63FCF">
              <w:rPr>
                <w:noProof/>
                <w:webHidden/>
              </w:rPr>
              <w:instrText xml:space="preserve"> PAGEREF _Toc65490091 \h </w:instrText>
            </w:r>
            <w:r w:rsidR="00C63FCF">
              <w:rPr>
                <w:noProof/>
                <w:webHidden/>
              </w:rPr>
            </w:r>
            <w:r w:rsidR="00C63FCF">
              <w:rPr>
                <w:noProof/>
                <w:webHidden/>
              </w:rPr>
              <w:fldChar w:fldCharType="separate"/>
            </w:r>
            <w:r w:rsidR="00C63FCF">
              <w:rPr>
                <w:noProof/>
                <w:webHidden/>
              </w:rPr>
              <w:t>30</w:t>
            </w:r>
            <w:r w:rsidR="00C63FCF">
              <w:rPr>
                <w:noProof/>
                <w:webHidden/>
              </w:rPr>
              <w:fldChar w:fldCharType="end"/>
            </w:r>
          </w:hyperlink>
        </w:p>
        <w:p w14:paraId="1736076A" w14:textId="0CE53D3F" w:rsidR="00C63FCF" w:rsidRDefault="0020655F">
          <w:pPr>
            <w:pStyle w:val="TOC3"/>
            <w:tabs>
              <w:tab w:val="right" w:leader="dot" w:pos="9016"/>
            </w:tabs>
            <w:rPr>
              <w:rFonts w:eastAsiaTheme="minorEastAsia"/>
              <w:noProof/>
              <w:lang w:eastAsia="en-GB"/>
            </w:rPr>
          </w:pPr>
          <w:hyperlink w:anchor="_Toc65490092" w:history="1">
            <w:r w:rsidR="00C63FCF" w:rsidRPr="00C014CF">
              <w:rPr>
                <w:rStyle w:val="Hyperlink"/>
                <w:rFonts w:ascii="Times New Roman" w:eastAsia="Times New Roman" w:hAnsi="Times New Roman" w:cs="Times New Roman"/>
                <w:b/>
                <w:bCs/>
                <w:noProof/>
              </w:rPr>
              <w:t>RECORD KEEPING AND REPORTING AND DISCLOSURE REQUIREMENTS</w:t>
            </w:r>
            <w:r w:rsidR="00C63FCF">
              <w:rPr>
                <w:noProof/>
                <w:webHidden/>
              </w:rPr>
              <w:tab/>
            </w:r>
            <w:r w:rsidR="00C63FCF">
              <w:rPr>
                <w:noProof/>
                <w:webHidden/>
              </w:rPr>
              <w:fldChar w:fldCharType="begin"/>
            </w:r>
            <w:r w:rsidR="00C63FCF">
              <w:rPr>
                <w:noProof/>
                <w:webHidden/>
              </w:rPr>
              <w:instrText xml:space="preserve"> PAGEREF _Toc65490092 \h </w:instrText>
            </w:r>
            <w:r w:rsidR="00C63FCF">
              <w:rPr>
                <w:noProof/>
                <w:webHidden/>
              </w:rPr>
            </w:r>
            <w:r w:rsidR="00C63FCF">
              <w:rPr>
                <w:noProof/>
                <w:webHidden/>
              </w:rPr>
              <w:fldChar w:fldCharType="separate"/>
            </w:r>
            <w:r w:rsidR="00C63FCF">
              <w:rPr>
                <w:noProof/>
                <w:webHidden/>
              </w:rPr>
              <w:t>30</w:t>
            </w:r>
            <w:r w:rsidR="00C63FCF">
              <w:rPr>
                <w:noProof/>
                <w:webHidden/>
              </w:rPr>
              <w:fldChar w:fldCharType="end"/>
            </w:r>
          </w:hyperlink>
        </w:p>
        <w:p w14:paraId="0EC73E5C" w14:textId="0046510C" w:rsidR="00C63FCF" w:rsidRDefault="0020655F">
          <w:pPr>
            <w:pStyle w:val="TOC3"/>
            <w:tabs>
              <w:tab w:val="right" w:leader="dot" w:pos="9016"/>
            </w:tabs>
            <w:rPr>
              <w:rFonts w:eastAsiaTheme="minorEastAsia"/>
              <w:noProof/>
              <w:lang w:eastAsia="en-GB"/>
            </w:rPr>
          </w:pPr>
          <w:hyperlink w:anchor="_Toc65490093" w:history="1">
            <w:r w:rsidR="00C63FCF" w:rsidRPr="00C014CF">
              <w:rPr>
                <w:rStyle w:val="Hyperlink"/>
                <w:rFonts w:ascii="Times New Roman" w:eastAsia="Times New Roman" w:hAnsi="Times New Roman" w:cs="Times New Roman"/>
                <w:b/>
                <w:bCs/>
                <w:noProof/>
              </w:rPr>
              <w:t>OVERSIGHT MECHANISMS AND SANCTIONS</w:t>
            </w:r>
            <w:r w:rsidR="00C63FCF">
              <w:rPr>
                <w:noProof/>
                <w:webHidden/>
              </w:rPr>
              <w:tab/>
            </w:r>
            <w:r w:rsidR="00C63FCF">
              <w:rPr>
                <w:noProof/>
                <w:webHidden/>
              </w:rPr>
              <w:fldChar w:fldCharType="begin"/>
            </w:r>
            <w:r w:rsidR="00C63FCF">
              <w:rPr>
                <w:noProof/>
                <w:webHidden/>
              </w:rPr>
              <w:instrText xml:space="preserve"> PAGEREF _Toc65490093 \h </w:instrText>
            </w:r>
            <w:r w:rsidR="00C63FCF">
              <w:rPr>
                <w:noProof/>
                <w:webHidden/>
              </w:rPr>
            </w:r>
            <w:r w:rsidR="00C63FCF">
              <w:rPr>
                <w:noProof/>
                <w:webHidden/>
              </w:rPr>
              <w:fldChar w:fldCharType="separate"/>
            </w:r>
            <w:r w:rsidR="00C63FCF">
              <w:rPr>
                <w:noProof/>
                <w:webHidden/>
              </w:rPr>
              <w:t>31</w:t>
            </w:r>
            <w:r w:rsidR="00C63FCF">
              <w:rPr>
                <w:noProof/>
                <w:webHidden/>
              </w:rPr>
              <w:fldChar w:fldCharType="end"/>
            </w:r>
          </w:hyperlink>
        </w:p>
        <w:p w14:paraId="0CB00287" w14:textId="1E8C83BF" w:rsidR="00C63FCF" w:rsidRDefault="0020655F">
          <w:pPr>
            <w:pStyle w:val="TOC2"/>
            <w:rPr>
              <w:rFonts w:asciiTheme="minorHAnsi" w:eastAsiaTheme="minorEastAsia" w:hAnsiTheme="minorHAnsi" w:cstheme="minorBidi"/>
              <w:b w:val="0"/>
              <w:bCs w:val="0"/>
              <w:sz w:val="22"/>
              <w:szCs w:val="22"/>
              <w:lang w:eastAsia="en-GB"/>
            </w:rPr>
          </w:pPr>
          <w:hyperlink w:anchor="_Toc65490094" w:history="1">
            <w:r w:rsidR="00C63FCF" w:rsidRPr="00C014CF">
              <w:rPr>
                <w:rStyle w:val="Hyperlink"/>
                <w:rFonts w:ascii="Times New Roman" w:eastAsia="Times New Roman" w:hAnsi="Times New Roman"/>
              </w:rPr>
              <w:t>3.3.6 THE ELECTION CAMPAIGN FINANCING ACT</w:t>
            </w:r>
            <w:r w:rsidR="00C63FCF">
              <w:rPr>
                <w:webHidden/>
              </w:rPr>
              <w:tab/>
            </w:r>
            <w:r w:rsidR="00C63FCF">
              <w:rPr>
                <w:webHidden/>
              </w:rPr>
              <w:fldChar w:fldCharType="begin"/>
            </w:r>
            <w:r w:rsidR="00C63FCF">
              <w:rPr>
                <w:webHidden/>
              </w:rPr>
              <w:instrText xml:space="preserve"> PAGEREF _Toc65490094 \h </w:instrText>
            </w:r>
            <w:r w:rsidR="00C63FCF">
              <w:rPr>
                <w:webHidden/>
              </w:rPr>
            </w:r>
            <w:r w:rsidR="00C63FCF">
              <w:rPr>
                <w:webHidden/>
              </w:rPr>
              <w:fldChar w:fldCharType="separate"/>
            </w:r>
            <w:r w:rsidR="00C63FCF">
              <w:rPr>
                <w:webHidden/>
              </w:rPr>
              <w:t>33</w:t>
            </w:r>
            <w:r w:rsidR="00C63FCF">
              <w:rPr>
                <w:webHidden/>
              </w:rPr>
              <w:fldChar w:fldCharType="end"/>
            </w:r>
          </w:hyperlink>
        </w:p>
        <w:p w14:paraId="575DA3DF" w14:textId="22470EB3" w:rsidR="00C63FCF" w:rsidRDefault="0020655F">
          <w:pPr>
            <w:pStyle w:val="TOC3"/>
            <w:tabs>
              <w:tab w:val="right" w:leader="dot" w:pos="9016"/>
            </w:tabs>
            <w:rPr>
              <w:rFonts w:eastAsiaTheme="minorEastAsia"/>
              <w:noProof/>
              <w:lang w:eastAsia="en-GB"/>
            </w:rPr>
          </w:pPr>
          <w:hyperlink w:anchor="_Toc65490095" w:history="1">
            <w:r w:rsidR="00C63FCF" w:rsidRPr="00C014CF">
              <w:rPr>
                <w:rStyle w:val="Hyperlink"/>
                <w:rFonts w:ascii="Times New Roman" w:eastAsia="Times New Roman" w:hAnsi="Times New Roman" w:cs="Times New Roman"/>
                <w:b/>
                <w:bCs/>
                <w:noProof/>
              </w:rPr>
              <w:t>SOURCES OF FUNDING</w:t>
            </w:r>
            <w:r w:rsidR="00C63FCF">
              <w:rPr>
                <w:noProof/>
                <w:webHidden/>
              </w:rPr>
              <w:tab/>
            </w:r>
            <w:r w:rsidR="00C63FCF">
              <w:rPr>
                <w:noProof/>
                <w:webHidden/>
              </w:rPr>
              <w:fldChar w:fldCharType="begin"/>
            </w:r>
            <w:r w:rsidR="00C63FCF">
              <w:rPr>
                <w:noProof/>
                <w:webHidden/>
              </w:rPr>
              <w:instrText xml:space="preserve"> PAGEREF _Toc65490095 \h </w:instrText>
            </w:r>
            <w:r w:rsidR="00C63FCF">
              <w:rPr>
                <w:noProof/>
                <w:webHidden/>
              </w:rPr>
            </w:r>
            <w:r w:rsidR="00C63FCF">
              <w:rPr>
                <w:noProof/>
                <w:webHidden/>
              </w:rPr>
              <w:fldChar w:fldCharType="separate"/>
            </w:r>
            <w:r w:rsidR="00C63FCF">
              <w:rPr>
                <w:noProof/>
                <w:webHidden/>
              </w:rPr>
              <w:t>33</w:t>
            </w:r>
            <w:r w:rsidR="00C63FCF">
              <w:rPr>
                <w:noProof/>
                <w:webHidden/>
              </w:rPr>
              <w:fldChar w:fldCharType="end"/>
            </w:r>
          </w:hyperlink>
        </w:p>
        <w:p w14:paraId="3E649002" w14:textId="20AD3F1F" w:rsidR="00C63FCF" w:rsidRDefault="0020655F">
          <w:pPr>
            <w:pStyle w:val="TOC3"/>
            <w:tabs>
              <w:tab w:val="right" w:leader="dot" w:pos="9016"/>
            </w:tabs>
            <w:rPr>
              <w:rFonts w:eastAsiaTheme="minorEastAsia"/>
              <w:noProof/>
              <w:lang w:eastAsia="en-GB"/>
            </w:rPr>
          </w:pPr>
          <w:hyperlink w:anchor="_Toc65490096" w:history="1">
            <w:r w:rsidR="00C63FCF" w:rsidRPr="00C014CF">
              <w:rPr>
                <w:rStyle w:val="Hyperlink"/>
                <w:rFonts w:ascii="Times New Roman" w:eastAsia="Times New Roman" w:hAnsi="Times New Roman" w:cs="Times New Roman"/>
                <w:b/>
                <w:bCs/>
                <w:noProof/>
              </w:rPr>
              <w:t>EXPENDITURE REGULATIONS</w:t>
            </w:r>
            <w:r w:rsidR="00C63FCF">
              <w:rPr>
                <w:noProof/>
                <w:webHidden/>
              </w:rPr>
              <w:tab/>
            </w:r>
            <w:r w:rsidR="00C63FCF">
              <w:rPr>
                <w:noProof/>
                <w:webHidden/>
              </w:rPr>
              <w:fldChar w:fldCharType="begin"/>
            </w:r>
            <w:r w:rsidR="00C63FCF">
              <w:rPr>
                <w:noProof/>
                <w:webHidden/>
              </w:rPr>
              <w:instrText xml:space="preserve"> PAGEREF _Toc65490096 \h </w:instrText>
            </w:r>
            <w:r w:rsidR="00C63FCF">
              <w:rPr>
                <w:noProof/>
                <w:webHidden/>
              </w:rPr>
            </w:r>
            <w:r w:rsidR="00C63FCF">
              <w:rPr>
                <w:noProof/>
                <w:webHidden/>
              </w:rPr>
              <w:fldChar w:fldCharType="separate"/>
            </w:r>
            <w:r w:rsidR="00C63FCF">
              <w:rPr>
                <w:noProof/>
                <w:webHidden/>
              </w:rPr>
              <w:t>34</w:t>
            </w:r>
            <w:r w:rsidR="00C63FCF">
              <w:rPr>
                <w:noProof/>
                <w:webHidden/>
              </w:rPr>
              <w:fldChar w:fldCharType="end"/>
            </w:r>
          </w:hyperlink>
        </w:p>
        <w:p w14:paraId="32F56914" w14:textId="2939DE6F" w:rsidR="00C63FCF" w:rsidRDefault="0020655F">
          <w:pPr>
            <w:pStyle w:val="TOC3"/>
            <w:tabs>
              <w:tab w:val="right" w:leader="dot" w:pos="9016"/>
            </w:tabs>
            <w:rPr>
              <w:rFonts w:eastAsiaTheme="minorEastAsia"/>
              <w:noProof/>
              <w:lang w:eastAsia="en-GB"/>
            </w:rPr>
          </w:pPr>
          <w:hyperlink w:anchor="_Toc65490097" w:history="1">
            <w:r w:rsidR="00C63FCF" w:rsidRPr="00C014CF">
              <w:rPr>
                <w:rStyle w:val="Hyperlink"/>
                <w:rFonts w:ascii="Times New Roman" w:eastAsia="Times New Roman" w:hAnsi="Times New Roman" w:cs="Times New Roman"/>
                <w:b/>
                <w:bCs/>
                <w:noProof/>
              </w:rPr>
              <w:t>RECORD KEEPING AND REPORTING AND DISCLOSURE REQUIREMENTS</w:t>
            </w:r>
            <w:r w:rsidR="00C63FCF">
              <w:rPr>
                <w:noProof/>
                <w:webHidden/>
              </w:rPr>
              <w:tab/>
            </w:r>
            <w:r w:rsidR="00C63FCF">
              <w:rPr>
                <w:noProof/>
                <w:webHidden/>
              </w:rPr>
              <w:fldChar w:fldCharType="begin"/>
            </w:r>
            <w:r w:rsidR="00C63FCF">
              <w:rPr>
                <w:noProof/>
                <w:webHidden/>
              </w:rPr>
              <w:instrText xml:space="preserve"> PAGEREF _Toc65490097 \h </w:instrText>
            </w:r>
            <w:r w:rsidR="00C63FCF">
              <w:rPr>
                <w:noProof/>
                <w:webHidden/>
              </w:rPr>
            </w:r>
            <w:r w:rsidR="00C63FCF">
              <w:rPr>
                <w:noProof/>
                <w:webHidden/>
              </w:rPr>
              <w:fldChar w:fldCharType="separate"/>
            </w:r>
            <w:r w:rsidR="00C63FCF">
              <w:rPr>
                <w:noProof/>
                <w:webHidden/>
              </w:rPr>
              <w:t>34</w:t>
            </w:r>
            <w:r w:rsidR="00C63FCF">
              <w:rPr>
                <w:noProof/>
                <w:webHidden/>
              </w:rPr>
              <w:fldChar w:fldCharType="end"/>
            </w:r>
          </w:hyperlink>
        </w:p>
        <w:p w14:paraId="0BCD01A1" w14:textId="02BE92A3" w:rsidR="00C63FCF" w:rsidRDefault="0020655F">
          <w:pPr>
            <w:pStyle w:val="TOC3"/>
            <w:tabs>
              <w:tab w:val="right" w:leader="dot" w:pos="9016"/>
            </w:tabs>
            <w:rPr>
              <w:rFonts w:eastAsiaTheme="minorEastAsia"/>
              <w:noProof/>
              <w:lang w:eastAsia="en-GB"/>
            </w:rPr>
          </w:pPr>
          <w:hyperlink w:anchor="_Toc65490098" w:history="1">
            <w:r w:rsidR="00C63FCF" w:rsidRPr="00C014CF">
              <w:rPr>
                <w:rStyle w:val="Hyperlink"/>
                <w:rFonts w:ascii="Times New Roman" w:eastAsia="Times New Roman" w:hAnsi="Times New Roman" w:cs="Times New Roman"/>
                <w:b/>
                <w:bCs/>
                <w:noProof/>
              </w:rPr>
              <w:t>OVERSIGHT MECHANISMS AND SANCTIONS</w:t>
            </w:r>
            <w:r w:rsidR="00C63FCF">
              <w:rPr>
                <w:noProof/>
                <w:webHidden/>
              </w:rPr>
              <w:tab/>
            </w:r>
            <w:r w:rsidR="00C63FCF">
              <w:rPr>
                <w:noProof/>
                <w:webHidden/>
              </w:rPr>
              <w:fldChar w:fldCharType="begin"/>
            </w:r>
            <w:r w:rsidR="00C63FCF">
              <w:rPr>
                <w:noProof/>
                <w:webHidden/>
              </w:rPr>
              <w:instrText xml:space="preserve"> PAGEREF _Toc65490098 \h </w:instrText>
            </w:r>
            <w:r w:rsidR="00C63FCF">
              <w:rPr>
                <w:noProof/>
                <w:webHidden/>
              </w:rPr>
            </w:r>
            <w:r w:rsidR="00C63FCF">
              <w:rPr>
                <w:noProof/>
                <w:webHidden/>
              </w:rPr>
              <w:fldChar w:fldCharType="separate"/>
            </w:r>
            <w:r w:rsidR="00C63FCF">
              <w:rPr>
                <w:noProof/>
                <w:webHidden/>
              </w:rPr>
              <w:t>35</w:t>
            </w:r>
            <w:r w:rsidR="00C63FCF">
              <w:rPr>
                <w:noProof/>
                <w:webHidden/>
              </w:rPr>
              <w:fldChar w:fldCharType="end"/>
            </w:r>
          </w:hyperlink>
        </w:p>
        <w:p w14:paraId="52C43D67" w14:textId="62C7383D" w:rsidR="00C63FCF" w:rsidRDefault="0020655F">
          <w:pPr>
            <w:pStyle w:val="TOC2"/>
            <w:rPr>
              <w:rFonts w:asciiTheme="minorHAnsi" w:eastAsiaTheme="minorEastAsia" w:hAnsiTheme="minorHAnsi" w:cstheme="minorBidi"/>
              <w:b w:val="0"/>
              <w:bCs w:val="0"/>
              <w:sz w:val="22"/>
              <w:szCs w:val="22"/>
              <w:lang w:eastAsia="en-GB"/>
            </w:rPr>
          </w:pPr>
          <w:hyperlink w:anchor="_Toc65490099" w:history="1">
            <w:r w:rsidR="00C63FCF" w:rsidRPr="00C014CF">
              <w:rPr>
                <w:rStyle w:val="Hyperlink"/>
                <w:rFonts w:ascii="Times New Roman" w:eastAsia="Times New Roman" w:hAnsi="Times New Roman"/>
              </w:rPr>
              <w:t>3.3.7 CHALLENGES FACING DISCLOSURE REQUIREMENTS IN CAMPAIGN FINANCING REGULATION IN KENYA</w:t>
            </w:r>
            <w:r w:rsidR="00C63FCF">
              <w:rPr>
                <w:webHidden/>
              </w:rPr>
              <w:tab/>
            </w:r>
            <w:r w:rsidR="00C63FCF">
              <w:rPr>
                <w:webHidden/>
              </w:rPr>
              <w:fldChar w:fldCharType="begin"/>
            </w:r>
            <w:r w:rsidR="00C63FCF">
              <w:rPr>
                <w:webHidden/>
              </w:rPr>
              <w:instrText xml:space="preserve"> PAGEREF _Toc65490099 \h </w:instrText>
            </w:r>
            <w:r w:rsidR="00C63FCF">
              <w:rPr>
                <w:webHidden/>
              </w:rPr>
            </w:r>
            <w:r w:rsidR="00C63FCF">
              <w:rPr>
                <w:webHidden/>
              </w:rPr>
              <w:fldChar w:fldCharType="separate"/>
            </w:r>
            <w:r w:rsidR="00C63FCF">
              <w:rPr>
                <w:webHidden/>
              </w:rPr>
              <w:t>36</w:t>
            </w:r>
            <w:r w:rsidR="00C63FCF">
              <w:rPr>
                <w:webHidden/>
              </w:rPr>
              <w:fldChar w:fldCharType="end"/>
            </w:r>
          </w:hyperlink>
        </w:p>
        <w:p w14:paraId="4D746FEF" w14:textId="563295E3" w:rsidR="00C63FCF" w:rsidRDefault="0020655F">
          <w:pPr>
            <w:pStyle w:val="TOC2"/>
            <w:rPr>
              <w:rFonts w:asciiTheme="minorHAnsi" w:eastAsiaTheme="minorEastAsia" w:hAnsiTheme="minorHAnsi" w:cstheme="minorBidi"/>
              <w:b w:val="0"/>
              <w:bCs w:val="0"/>
              <w:sz w:val="22"/>
              <w:szCs w:val="22"/>
              <w:lang w:eastAsia="en-GB"/>
            </w:rPr>
          </w:pPr>
          <w:hyperlink w:anchor="_Toc65490100" w:history="1">
            <w:r w:rsidR="00C63FCF" w:rsidRPr="00C014CF">
              <w:rPr>
                <w:rStyle w:val="Hyperlink"/>
                <w:rFonts w:ascii="Times New Roman" w:eastAsia="Times New Roman" w:hAnsi="Times New Roman"/>
              </w:rPr>
              <w:t>3.3.8 CONCLUSION</w:t>
            </w:r>
            <w:r w:rsidR="00C63FCF">
              <w:rPr>
                <w:webHidden/>
              </w:rPr>
              <w:tab/>
            </w:r>
            <w:r w:rsidR="00C63FCF">
              <w:rPr>
                <w:webHidden/>
              </w:rPr>
              <w:fldChar w:fldCharType="begin"/>
            </w:r>
            <w:r w:rsidR="00C63FCF">
              <w:rPr>
                <w:webHidden/>
              </w:rPr>
              <w:instrText xml:space="preserve"> PAGEREF _Toc65490100 \h </w:instrText>
            </w:r>
            <w:r w:rsidR="00C63FCF">
              <w:rPr>
                <w:webHidden/>
              </w:rPr>
            </w:r>
            <w:r w:rsidR="00C63FCF">
              <w:rPr>
                <w:webHidden/>
              </w:rPr>
              <w:fldChar w:fldCharType="separate"/>
            </w:r>
            <w:r w:rsidR="00C63FCF">
              <w:rPr>
                <w:webHidden/>
              </w:rPr>
              <w:t>37</w:t>
            </w:r>
            <w:r w:rsidR="00C63FCF">
              <w:rPr>
                <w:webHidden/>
              </w:rPr>
              <w:fldChar w:fldCharType="end"/>
            </w:r>
          </w:hyperlink>
        </w:p>
        <w:p w14:paraId="06F703A9" w14:textId="38BD384D" w:rsidR="00C63FCF" w:rsidRDefault="0020655F">
          <w:pPr>
            <w:pStyle w:val="TOC1"/>
            <w:tabs>
              <w:tab w:val="right" w:leader="dot" w:pos="9016"/>
            </w:tabs>
            <w:rPr>
              <w:rFonts w:eastAsiaTheme="minorEastAsia"/>
              <w:noProof/>
              <w:lang w:eastAsia="en-GB"/>
            </w:rPr>
          </w:pPr>
          <w:hyperlink w:anchor="_Toc65490101" w:history="1">
            <w:r w:rsidR="00C63FCF" w:rsidRPr="00C014CF">
              <w:rPr>
                <w:rStyle w:val="Hyperlink"/>
                <w:rFonts w:ascii="Times New Roman" w:eastAsia="Times New Roman" w:hAnsi="Times New Roman" w:cs="Times New Roman"/>
                <w:b/>
                <w:bCs/>
                <w:noProof/>
              </w:rPr>
              <w:t>CHAPTER 4: A COMPARATIVE STUDY OF DISCLOSURE IN THE UNITED STATES; LESSONS FOR KENYA</w:t>
            </w:r>
            <w:r w:rsidR="00C63FCF">
              <w:rPr>
                <w:noProof/>
                <w:webHidden/>
              </w:rPr>
              <w:tab/>
            </w:r>
            <w:r w:rsidR="00C63FCF">
              <w:rPr>
                <w:noProof/>
                <w:webHidden/>
              </w:rPr>
              <w:fldChar w:fldCharType="begin"/>
            </w:r>
            <w:r w:rsidR="00C63FCF">
              <w:rPr>
                <w:noProof/>
                <w:webHidden/>
              </w:rPr>
              <w:instrText xml:space="preserve"> PAGEREF _Toc65490101 \h </w:instrText>
            </w:r>
            <w:r w:rsidR="00C63FCF">
              <w:rPr>
                <w:noProof/>
                <w:webHidden/>
              </w:rPr>
            </w:r>
            <w:r w:rsidR="00C63FCF">
              <w:rPr>
                <w:noProof/>
                <w:webHidden/>
              </w:rPr>
              <w:fldChar w:fldCharType="separate"/>
            </w:r>
            <w:r w:rsidR="00C63FCF">
              <w:rPr>
                <w:noProof/>
                <w:webHidden/>
              </w:rPr>
              <w:t>39</w:t>
            </w:r>
            <w:r w:rsidR="00C63FCF">
              <w:rPr>
                <w:noProof/>
                <w:webHidden/>
              </w:rPr>
              <w:fldChar w:fldCharType="end"/>
            </w:r>
          </w:hyperlink>
        </w:p>
        <w:p w14:paraId="4D542A15" w14:textId="1F245EBD" w:rsidR="00C63FCF" w:rsidRDefault="0020655F">
          <w:pPr>
            <w:pStyle w:val="TOC2"/>
            <w:rPr>
              <w:rFonts w:asciiTheme="minorHAnsi" w:eastAsiaTheme="minorEastAsia" w:hAnsiTheme="minorHAnsi" w:cstheme="minorBidi"/>
              <w:b w:val="0"/>
              <w:bCs w:val="0"/>
              <w:sz w:val="22"/>
              <w:szCs w:val="22"/>
              <w:lang w:eastAsia="en-GB"/>
            </w:rPr>
          </w:pPr>
          <w:hyperlink w:anchor="_Toc65490102" w:history="1">
            <w:r w:rsidR="00C63FCF" w:rsidRPr="00C014CF">
              <w:rPr>
                <w:rStyle w:val="Hyperlink"/>
                <w:rFonts w:ascii="Times New Roman" w:eastAsia="Times New Roman" w:hAnsi="Times New Roman"/>
              </w:rPr>
              <w:t>4.1 INTRODUCTION</w:t>
            </w:r>
            <w:r w:rsidR="00C63FCF">
              <w:rPr>
                <w:webHidden/>
              </w:rPr>
              <w:tab/>
            </w:r>
            <w:r w:rsidR="00C63FCF">
              <w:rPr>
                <w:webHidden/>
              </w:rPr>
              <w:fldChar w:fldCharType="begin"/>
            </w:r>
            <w:r w:rsidR="00C63FCF">
              <w:rPr>
                <w:webHidden/>
              </w:rPr>
              <w:instrText xml:space="preserve"> PAGEREF _Toc65490102 \h </w:instrText>
            </w:r>
            <w:r w:rsidR="00C63FCF">
              <w:rPr>
                <w:webHidden/>
              </w:rPr>
            </w:r>
            <w:r w:rsidR="00C63FCF">
              <w:rPr>
                <w:webHidden/>
              </w:rPr>
              <w:fldChar w:fldCharType="separate"/>
            </w:r>
            <w:r w:rsidR="00C63FCF">
              <w:rPr>
                <w:webHidden/>
              </w:rPr>
              <w:t>39</w:t>
            </w:r>
            <w:r w:rsidR="00C63FCF">
              <w:rPr>
                <w:webHidden/>
              </w:rPr>
              <w:fldChar w:fldCharType="end"/>
            </w:r>
          </w:hyperlink>
        </w:p>
        <w:p w14:paraId="30DF509B" w14:textId="06C8234B" w:rsidR="00C63FCF" w:rsidRDefault="0020655F">
          <w:pPr>
            <w:pStyle w:val="TOC2"/>
            <w:rPr>
              <w:rFonts w:asciiTheme="minorHAnsi" w:eastAsiaTheme="minorEastAsia" w:hAnsiTheme="minorHAnsi" w:cstheme="minorBidi"/>
              <w:b w:val="0"/>
              <w:bCs w:val="0"/>
              <w:sz w:val="22"/>
              <w:szCs w:val="22"/>
              <w:lang w:eastAsia="en-GB"/>
            </w:rPr>
          </w:pPr>
          <w:hyperlink w:anchor="_Toc65490103" w:history="1">
            <w:r w:rsidR="00C63FCF" w:rsidRPr="00C014CF">
              <w:rPr>
                <w:rStyle w:val="Hyperlink"/>
                <w:rFonts w:ascii="Times New Roman" w:eastAsia="Times New Roman" w:hAnsi="Times New Roman"/>
              </w:rPr>
              <w:t>4.2 FEDERAL DISCLOSURE LAWS</w:t>
            </w:r>
            <w:r w:rsidR="00C63FCF">
              <w:rPr>
                <w:webHidden/>
              </w:rPr>
              <w:tab/>
            </w:r>
            <w:r w:rsidR="00C63FCF">
              <w:rPr>
                <w:webHidden/>
              </w:rPr>
              <w:fldChar w:fldCharType="begin"/>
            </w:r>
            <w:r w:rsidR="00C63FCF">
              <w:rPr>
                <w:webHidden/>
              </w:rPr>
              <w:instrText xml:space="preserve"> PAGEREF _Toc65490103 \h </w:instrText>
            </w:r>
            <w:r w:rsidR="00C63FCF">
              <w:rPr>
                <w:webHidden/>
              </w:rPr>
            </w:r>
            <w:r w:rsidR="00C63FCF">
              <w:rPr>
                <w:webHidden/>
              </w:rPr>
              <w:fldChar w:fldCharType="separate"/>
            </w:r>
            <w:r w:rsidR="00C63FCF">
              <w:rPr>
                <w:webHidden/>
              </w:rPr>
              <w:t>39</w:t>
            </w:r>
            <w:r w:rsidR="00C63FCF">
              <w:rPr>
                <w:webHidden/>
              </w:rPr>
              <w:fldChar w:fldCharType="end"/>
            </w:r>
          </w:hyperlink>
        </w:p>
        <w:p w14:paraId="02241025" w14:textId="7660A43F" w:rsidR="00C63FCF" w:rsidRDefault="0020655F">
          <w:pPr>
            <w:pStyle w:val="TOC2"/>
            <w:rPr>
              <w:rFonts w:asciiTheme="minorHAnsi" w:eastAsiaTheme="minorEastAsia" w:hAnsiTheme="minorHAnsi" w:cstheme="minorBidi"/>
              <w:b w:val="0"/>
              <w:bCs w:val="0"/>
              <w:sz w:val="22"/>
              <w:szCs w:val="22"/>
              <w:lang w:eastAsia="en-GB"/>
            </w:rPr>
          </w:pPr>
          <w:hyperlink w:anchor="_Toc65490104" w:history="1">
            <w:r w:rsidR="00C63FCF" w:rsidRPr="00C014CF">
              <w:rPr>
                <w:rStyle w:val="Hyperlink"/>
                <w:rFonts w:ascii="Times New Roman" w:eastAsia="Times New Roman" w:hAnsi="Times New Roman"/>
              </w:rPr>
              <w:t>4.2.1 FEDERAL ELECTION CAMPAIGN ACT</w:t>
            </w:r>
            <w:r w:rsidR="00C63FCF">
              <w:rPr>
                <w:webHidden/>
              </w:rPr>
              <w:tab/>
            </w:r>
            <w:r w:rsidR="00C63FCF">
              <w:rPr>
                <w:webHidden/>
              </w:rPr>
              <w:fldChar w:fldCharType="begin"/>
            </w:r>
            <w:r w:rsidR="00C63FCF">
              <w:rPr>
                <w:webHidden/>
              </w:rPr>
              <w:instrText xml:space="preserve"> PAGEREF _Toc65490104 \h </w:instrText>
            </w:r>
            <w:r w:rsidR="00C63FCF">
              <w:rPr>
                <w:webHidden/>
              </w:rPr>
            </w:r>
            <w:r w:rsidR="00C63FCF">
              <w:rPr>
                <w:webHidden/>
              </w:rPr>
              <w:fldChar w:fldCharType="separate"/>
            </w:r>
            <w:r w:rsidR="00C63FCF">
              <w:rPr>
                <w:webHidden/>
              </w:rPr>
              <w:t>39</w:t>
            </w:r>
            <w:r w:rsidR="00C63FCF">
              <w:rPr>
                <w:webHidden/>
              </w:rPr>
              <w:fldChar w:fldCharType="end"/>
            </w:r>
          </w:hyperlink>
        </w:p>
        <w:p w14:paraId="3C8C1A02" w14:textId="2A6FFA25" w:rsidR="00C63FCF" w:rsidRDefault="0020655F">
          <w:pPr>
            <w:pStyle w:val="TOC2"/>
            <w:rPr>
              <w:rFonts w:asciiTheme="minorHAnsi" w:eastAsiaTheme="minorEastAsia" w:hAnsiTheme="minorHAnsi" w:cstheme="minorBidi"/>
              <w:b w:val="0"/>
              <w:bCs w:val="0"/>
              <w:sz w:val="22"/>
              <w:szCs w:val="22"/>
              <w:lang w:eastAsia="en-GB"/>
            </w:rPr>
          </w:pPr>
          <w:hyperlink w:anchor="_Toc65490105" w:history="1">
            <w:r w:rsidR="00C63FCF" w:rsidRPr="00C014CF">
              <w:rPr>
                <w:rStyle w:val="Hyperlink"/>
                <w:rFonts w:ascii="Times New Roman" w:eastAsia="Times New Roman" w:hAnsi="Times New Roman"/>
              </w:rPr>
              <w:t>4.2.2 BIPARTISAN CAMPAIGN REFORM ACT</w:t>
            </w:r>
            <w:r w:rsidR="00C63FCF">
              <w:rPr>
                <w:webHidden/>
              </w:rPr>
              <w:tab/>
            </w:r>
            <w:r w:rsidR="00C63FCF">
              <w:rPr>
                <w:webHidden/>
              </w:rPr>
              <w:fldChar w:fldCharType="begin"/>
            </w:r>
            <w:r w:rsidR="00C63FCF">
              <w:rPr>
                <w:webHidden/>
              </w:rPr>
              <w:instrText xml:space="preserve"> PAGEREF _Toc65490105 \h </w:instrText>
            </w:r>
            <w:r w:rsidR="00C63FCF">
              <w:rPr>
                <w:webHidden/>
              </w:rPr>
            </w:r>
            <w:r w:rsidR="00C63FCF">
              <w:rPr>
                <w:webHidden/>
              </w:rPr>
              <w:fldChar w:fldCharType="separate"/>
            </w:r>
            <w:r w:rsidR="00C63FCF">
              <w:rPr>
                <w:webHidden/>
              </w:rPr>
              <w:t>40</w:t>
            </w:r>
            <w:r w:rsidR="00C63FCF">
              <w:rPr>
                <w:webHidden/>
              </w:rPr>
              <w:fldChar w:fldCharType="end"/>
            </w:r>
          </w:hyperlink>
        </w:p>
        <w:p w14:paraId="65CE8BE7" w14:textId="1405C8B7" w:rsidR="00C63FCF" w:rsidRDefault="0020655F">
          <w:pPr>
            <w:pStyle w:val="TOC2"/>
            <w:rPr>
              <w:rFonts w:asciiTheme="minorHAnsi" w:eastAsiaTheme="minorEastAsia" w:hAnsiTheme="minorHAnsi" w:cstheme="minorBidi"/>
              <w:b w:val="0"/>
              <w:bCs w:val="0"/>
              <w:sz w:val="22"/>
              <w:szCs w:val="22"/>
              <w:lang w:eastAsia="en-GB"/>
            </w:rPr>
          </w:pPr>
          <w:hyperlink w:anchor="_Toc65490106" w:history="1">
            <w:r w:rsidR="00C63FCF" w:rsidRPr="00C014CF">
              <w:rPr>
                <w:rStyle w:val="Hyperlink"/>
                <w:rFonts w:ascii="Times New Roman" w:eastAsia="Times New Roman" w:hAnsi="Times New Roman"/>
              </w:rPr>
              <w:t>4.3 JUSTIFICATION FOR DISCLOSURE REQUIREMENTS IN THE UNITED STATES: THE ANTI-CORRUPTION INTEREST</w:t>
            </w:r>
            <w:r w:rsidR="00C63FCF">
              <w:rPr>
                <w:webHidden/>
              </w:rPr>
              <w:tab/>
            </w:r>
            <w:r w:rsidR="00C63FCF">
              <w:rPr>
                <w:webHidden/>
              </w:rPr>
              <w:fldChar w:fldCharType="begin"/>
            </w:r>
            <w:r w:rsidR="00C63FCF">
              <w:rPr>
                <w:webHidden/>
              </w:rPr>
              <w:instrText xml:space="preserve"> PAGEREF _Toc65490106 \h </w:instrText>
            </w:r>
            <w:r w:rsidR="00C63FCF">
              <w:rPr>
                <w:webHidden/>
              </w:rPr>
            </w:r>
            <w:r w:rsidR="00C63FCF">
              <w:rPr>
                <w:webHidden/>
              </w:rPr>
              <w:fldChar w:fldCharType="separate"/>
            </w:r>
            <w:r w:rsidR="00C63FCF">
              <w:rPr>
                <w:webHidden/>
              </w:rPr>
              <w:t>41</w:t>
            </w:r>
            <w:r w:rsidR="00C63FCF">
              <w:rPr>
                <w:webHidden/>
              </w:rPr>
              <w:fldChar w:fldCharType="end"/>
            </w:r>
          </w:hyperlink>
        </w:p>
        <w:p w14:paraId="3FDA1135" w14:textId="133A7DF3" w:rsidR="00C63FCF" w:rsidRDefault="0020655F">
          <w:pPr>
            <w:pStyle w:val="TOC2"/>
            <w:rPr>
              <w:rFonts w:asciiTheme="minorHAnsi" w:eastAsiaTheme="minorEastAsia" w:hAnsiTheme="minorHAnsi" w:cstheme="minorBidi"/>
              <w:b w:val="0"/>
              <w:bCs w:val="0"/>
              <w:sz w:val="22"/>
              <w:szCs w:val="22"/>
              <w:lang w:eastAsia="en-GB"/>
            </w:rPr>
          </w:pPr>
          <w:hyperlink w:anchor="_Toc65490107" w:history="1">
            <w:r w:rsidR="00C63FCF" w:rsidRPr="00C014CF">
              <w:rPr>
                <w:rStyle w:val="Hyperlink"/>
                <w:rFonts w:ascii="Times New Roman" w:eastAsia="Times New Roman" w:hAnsi="Times New Roman"/>
              </w:rPr>
              <w:t>4.4 JUSTIFICATION FOR DISCLOSURE REQUIREMENTS IN THE UNITED STATES:  THE INFORMATIONAL INTEREST</w:t>
            </w:r>
            <w:r w:rsidR="00C63FCF">
              <w:rPr>
                <w:webHidden/>
              </w:rPr>
              <w:tab/>
            </w:r>
            <w:r w:rsidR="00C63FCF">
              <w:rPr>
                <w:webHidden/>
              </w:rPr>
              <w:fldChar w:fldCharType="begin"/>
            </w:r>
            <w:r w:rsidR="00C63FCF">
              <w:rPr>
                <w:webHidden/>
              </w:rPr>
              <w:instrText xml:space="preserve"> PAGEREF _Toc65490107 \h </w:instrText>
            </w:r>
            <w:r w:rsidR="00C63FCF">
              <w:rPr>
                <w:webHidden/>
              </w:rPr>
            </w:r>
            <w:r w:rsidR="00C63FCF">
              <w:rPr>
                <w:webHidden/>
              </w:rPr>
              <w:fldChar w:fldCharType="separate"/>
            </w:r>
            <w:r w:rsidR="00C63FCF">
              <w:rPr>
                <w:webHidden/>
              </w:rPr>
              <w:t>42</w:t>
            </w:r>
            <w:r w:rsidR="00C63FCF">
              <w:rPr>
                <w:webHidden/>
              </w:rPr>
              <w:fldChar w:fldCharType="end"/>
            </w:r>
          </w:hyperlink>
        </w:p>
        <w:p w14:paraId="2BD2F47F" w14:textId="57854F41" w:rsidR="00C63FCF" w:rsidRDefault="0020655F">
          <w:pPr>
            <w:pStyle w:val="TOC2"/>
            <w:rPr>
              <w:rFonts w:asciiTheme="minorHAnsi" w:eastAsiaTheme="minorEastAsia" w:hAnsiTheme="minorHAnsi" w:cstheme="minorBidi"/>
              <w:b w:val="0"/>
              <w:bCs w:val="0"/>
              <w:sz w:val="22"/>
              <w:szCs w:val="22"/>
              <w:lang w:eastAsia="en-GB"/>
            </w:rPr>
          </w:pPr>
          <w:hyperlink w:anchor="_Toc65490108" w:history="1">
            <w:r w:rsidR="00C63FCF" w:rsidRPr="00C014CF">
              <w:rPr>
                <w:rStyle w:val="Hyperlink"/>
                <w:rFonts w:ascii="Times New Roman" w:eastAsia="Times New Roman" w:hAnsi="Times New Roman"/>
              </w:rPr>
              <w:t>4.5 JUSTIFICATION FOR DISCLOSURE REQUIREMENTS IN THE UNITED STATES: THE ENFORCEMENT INTEREST</w:t>
            </w:r>
            <w:r w:rsidR="00C63FCF">
              <w:rPr>
                <w:webHidden/>
              </w:rPr>
              <w:tab/>
            </w:r>
            <w:r w:rsidR="00C63FCF">
              <w:rPr>
                <w:webHidden/>
              </w:rPr>
              <w:fldChar w:fldCharType="begin"/>
            </w:r>
            <w:r w:rsidR="00C63FCF">
              <w:rPr>
                <w:webHidden/>
              </w:rPr>
              <w:instrText xml:space="preserve"> PAGEREF _Toc65490108 \h </w:instrText>
            </w:r>
            <w:r w:rsidR="00C63FCF">
              <w:rPr>
                <w:webHidden/>
              </w:rPr>
            </w:r>
            <w:r w:rsidR="00C63FCF">
              <w:rPr>
                <w:webHidden/>
              </w:rPr>
              <w:fldChar w:fldCharType="separate"/>
            </w:r>
            <w:r w:rsidR="00C63FCF">
              <w:rPr>
                <w:webHidden/>
              </w:rPr>
              <w:t>43</w:t>
            </w:r>
            <w:r w:rsidR="00C63FCF">
              <w:rPr>
                <w:webHidden/>
              </w:rPr>
              <w:fldChar w:fldCharType="end"/>
            </w:r>
          </w:hyperlink>
        </w:p>
        <w:p w14:paraId="56FA8899" w14:textId="57B1E8C8" w:rsidR="00C63FCF" w:rsidRDefault="0020655F">
          <w:pPr>
            <w:pStyle w:val="TOC2"/>
            <w:rPr>
              <w:rFonts w:asciiTheme="minorHAnsi" w:eastAsiaTheme="minorEastAsia" w:hAnsiTheme="minorHAnsi" w:cstheme="minorBidi"/>
              <w:b w:val="0"/>
              <w:bCs w:val="0"/>
              <w:sz w:val="22"/>
              <w:szCs w:val="22"/>
              <w:lang w:eastAsia="en-GB"/>
            </w:rPr>
          </w:pPr>
          <w:hyperlink w:anchor="_Toc65490109" w:history="1">
            <w:r w:rsidR="00C63FCF" w:rsidRPr="00C014CF">
              <w:rPr>
                <w:rStyle w:val="Hyperlink"/>
                <w:rFonts w:ascii="Times New Roman" w:eastAsia="Times New Roman" w:hAnsi="Times New Roman"/>
              </w:rPr>
              <w:t>4.6 JUSTIFICATION FOR USING THE AMERICAN PERSPECTIVE</w:t>
            </w:r>
            <w:r w:rsidR="00C63FCF">
              <w:rPr>
                <w:webHidden/>
              </w:rPr>
              <w:tab/>
            </w:r>
            <w:r w:rsidR="00C63FCF">
              <w:rPr>
                <w:webHidden/>
              </w:rPr>
              <w:fldChar w:fldCharType="begin"/>
            </w:r>
            <w:r w:rsidR="00C63FCF">
              <w:rPr>
                <w:webHidden/>
              </w:rPr>
              <w:instrText xml:space="preserve"> PAGEREF _Toc65490109 \h </w:instrText>
            </w:r>
            <w:r w:rsidR="00C63FCF">
              <w:rPr>
                <w:webHidden/>
              </w:rPr>
            </w:r>
            <w:r w:rsidR="00C63FCF">
              <w:rPr>
                <w:webHidden/>
              </w:rPr>
              <w:fldChar w:fldCharType="separate"/>
            </w:r>
            <w:r w:rsidR="00C63FCF">
              <w:rPr>
                <w:webHidden/>
              </w:rPr>
              <w:t>43</w:t>
            </w:r>
            <w:r w:rsidR="00C63FCF">
              <w:rPr>
                <w:webHidden/>
              </w:rPr>
              <w:fldChar w:fldCharType="end"/>
            </w:r>
          </w:hyperlink>
        </w:p>
        <w:p w14:paraId="645734F7" w14:textId="1573E5BB" w:rsidR="00C63FCF" w:rsidRDefault="0020655F">
          <w:pPr>
            <w:pStyle w:val="TOC2"/>
            <w:rPr>
              <w:rFonts w:asciiTheme="minorHAnsi" w:eastAsiaTheme="minorEastAsia" w:hAnsiTheme="minorHAnsi" w:cstheme="minorBidi"/>
              <w:b w:val="0"/>
              <w:bCs w:val="0"/>
              <w:sz w:val="22"/>
              <w:szCs w:val="22"/>
              <w:lang w:eastAsia="en-GB"/>
            </w:rPr>
          </w:pPr>
          <w:hyperlink w:anchor="_Toc65490110" w:history="1">
            <w:r w:rsidR="00C63FCF" w:rsidRPr="00C014CF">
              <w:rPr>
                <w:rStyle w:val="Hyperlink"/>
                <w:rFonts w:ascii="Times New Roman" w:eastAsia="Times New Roman" w:hAnsi="Times New Roman"/>
              </w:rPr>
              <w:t>4.7 CONCLUSION</w:t>
            </w:r>
            <w:r w:rsidR="00C63FCF">
              <w:rPr>
                <w:webHidden/>
              </w:rPr>
              <w:tab/>
            </w:r>
            <w:r w:rsidR="00C63FCF">
              <w:rPr>
                <w:webHidden/>
              </w:rPr>
              <w:fldChar w:fldCharType="begin"/>
            </w:r>
            <w:r w:rsidR="00C63FCF">
              <w:rPr>
                <w:webHidden/>
              </w:rPr>
              <w:instrText xml:space="preserve"> PAGEREF _Toc65490110 \h </w:instrText>
            </w:r>
            <w:r w:rsidR="00C63FCF">
              <w:rPr>
                <w:webHidden/>
              </w:rPr>
            </w:r>
            <w:r w:rsidR="00C63FCF">
              <w:rPr>
                <w:webHidden/>
              </w:rPr>
              <w:fldChar w:fldCharType="separate"/>
            </w:r>
            <w:r w:rsidR="00C63FCF">
              <w:rPr>
                <w:webHidden/>
              </w:rPr>
              <w:t>44</w:t>
            </w:r>
            <w:r w:rsidR="00C63FCF">
              <w:rPr>
                <w:webHidden/>
              </w:rPr>
              <w:fldChar w:fldCharType="end"/>
            </w:r>
          </w:hyperlink>
        </w:p>
        <w:p w14:paraId="0097CA57" w14:textId="75716B4D" w:rsidR="00C63FCF" w:rsidRDefault="0020655F">
          <w:pPr>
            <w:pStyle w:val="TOC1"/>
            <w:tabs>
              <w:tab w:val="right" w:leader="dot" w:pos="9016"/>
            </w:tabs>
            <w:rPr>
              <w:rFonts w:eastAsiaTheme="minorEastAsia"/>
              <w:noProof/>
              <w:lang w:eastAsia="en-GB"/>
            </w:rPr>
          </w:pPr>
          <w:hyperlink w:anchor="_Toc65490111" w:history="1">
            <w:r w:rsidR="00C63FCF" w:rsidRPr="00C014CF">
              <w:rPr>
                <w:rStyle w:val="Hyperlink"/>
                <w:rFonts w:ascii="Times New Roman" w:eastAsia="Times New Roman" w:hAnsi="Times New Roman" w:cs="Times New Roman"/>
                <w:b/>
                <w:bCs/>
                <w:noProof/>
              </w:rPr>
              <w:t>CHAPTER 5: CONCLUSION AND RECOMMENDATIONS</w:t>
            </w:r>
            <w:r w:rsidR="00C63FCF">
              <w:rPr>
                <w:noProof/>
                <w:webHidden/>
              </w:rPr>
              <w:tab/>
            </w:r>
            <w:r w:rsidR="00C63FCF">
              <w:rPr>
                <w:noProof/>
                <w:webHidden/>
              </w:rPr>
              <w:fldChar w:fldCharType="begin"/>
            </w:r>
            <w:r w:rsidR="00C63FCF">
              <w:rPr>
                <w:noProof/>
                <w:webHidden/>
              </w:rPr>
              <w:instrText xml:space="preserve"> PAGEREF _Toc65490111 \h </w:instrText>
            </w:r>
            <w:r w:rsidR="00C63FCF">
              <w:rPr>
                <w:noProof/>
                <w:webHidden/>
              </w:rPr>
            </w:r>
            <w:r w:rsidR="00C63FCF">
              <w:rPr>
                <w:noProof/>
                <w:webHidden/>
              </w:rPr>
              <w:fldChar w:fldCharType="separate"/>
            </w:r>
            <w:r w:rsidR="00C63FCF">
              <w:rPr>
                <w:noProof/>
                <w:webHidden/>
              </w:rPr>
              <w:t>45</w:t>
            </w:r>
            <w:r w:rsidR="00C63FCF">
              <w:rPr>
                <w:noProof/>
                <w:webHidden/>
              </w:rPr>
              <w:fldChar w:fldCharType="end"/>
            </w:r>
          </w:hyperlink>
        </w:p>
        <w:p w14:paraId="5A3A2094" w14:textId="385E8F7D" w:rsidR="00C63FCF" w:rsidRDefault="0020655F">
          <w:pPr>
            <w:pStyle w:val="TOC1"/>
            <w:tabs>
              <w:tab w:val="right" w:leader="dot" w:pos="9016"/>
            </w:tabs>
            <w:rPr>
              <w:rFonts w:eastAsiaTheme="minorEastAsia"/>
              <w:noProof/>
              <w:lang w:eastAsia="en-GB"/>
            </w:rPr>
          </w:pPr>
          <w:hyperlink w:anchor="_Toc65490112" w:history="1">
            <w:r w:rsidR="00C63FCF" w:rsidRPr="00C014CF">
              <w:rPr>
                <w:rStyle w:val="Hyperlink"/>
                <w:rFonts w:ascii="Times New Roman" w:hAnsi="Times New Roman" w:cs="Times New Roman"/>
                <w:b/>
                <w:bCs/>
                <w:noProof/>
              </w:rPr>
              <w:t>BIBLIOGRAPHY</w:t>
            </w:r>
            <w:r w:rsidR="00C63FCF">
              <w:rPr>
                <w:noProof/>
                <w:webHidden/>
              </w:rPr>
              <w:tab/>
            </w:r>
            <w:r w:rsidR="00C63FCF">
              <w:rPr>
                <w:noProof/>
                <w:webHidden/>
              </w:rPr>
              <w:fldChar w:fldCharType="begin"/>
            </w:r>
            <w:r w:rsidR="00C63FCF">
              <w:rPr>
                <w:noProof/>
                <w:webHidden/>
              </w:rPr>
              <w:instrText xml:space="preserve"> PAGEREF _Toc65490112 \h </w:instrText>
            </w:r>
            <w:r w:rsidR="00C63FCF">
              <w:rPr>
                <w:noProof/>
                <w:webHidden/>
              </w:rPr>
            </w:r>
            <w:r w:rsidR="00C63FCF">
              <w:rPr>
                <w:noProof/>
                <w:webHidden/>
              </w:rPr>
              <w:fldChar w:fldCharType="separate"/>
            </w:r>
            <w:r w:rsidR="00C63FCF">
              <w:rPr>
                <w:noProof/>
                <w:webHidden/>
              </w:rPr>
              <w:t>47</w:t>
            </w:r>
            <w:r w:rsidR="00C63FCF">
              <w:rPr>
                <w:noProof/>
                <w:webHidden/>
              </w:rPr>
              <w:fldChar w:fldCharType="end"/>
            </w:r>
          </w:hyperlink>
        </w:p>
        <w:p w14:paraId="4789A1F9" w14:textId="0300B7B8" w:rsidR="00A66766" w:rsidRDefault="00A66766">
          <w:r>
            <w:rPr>
              <w:b/>
              <w:bCs/>
              <w:noProof/>
            </w:rPr>
            <w:fldChar w:fldCharType="end"/>
          </w:r>
        </w:p>
      </w:sdtContent>
    </w:sdt>
    <w:p w14:paraId="1EF6E70C" w14:textId="77777777" w:rsidR="00A51346" w:rsidRDefault="00A51346">
      <w:pPr>
        <w:rPr>
          <w:rFonts w:ascii="Times New Roman" w:eastAsiaTheme="majorEastAsia" w:hAnsi="Times New Roman" w:cs="Times New Roman"/>
          <w:color w:val="2F5496" w:themeColor="accent1" w:themeShade="BF"/>
          <w:sz w:val="32"/>
          <w:szCs w:val="32"/>
        </w:rPr>
      </w:pPr>
    </w:p>
    <w:p w14:paraId="0C770E74" w14:textId="77777777" w:rsidR="00A51346" w:rsidRDefault="00A51346">
      <w:pPr>
        <w:rPr>
          <w:rFonts w:ascii="Times New Roman" w:eastAsiaTheme="majorEastAsia" w:hAnsi="Times New Roman" w:cs="Times New Roman"/>
          <w:color w:val="2F5496" w:themeColor="accent1" w:themeShade="BF"/>
          <w:sz w:val="32"/>
          <w:szCs w:val="32"/>
        </w:rPr>
      </w:pPr>
      <w:r>
        <w:rPr>
          <w:rFonts w:ascii="Times New Roman" w:eastAsiaTheme="majorEastAsia" w:hAnsi="Times New Roman" w:cs="Times New Roman"/>
          <w:color w:val="2F5496" w:themeColor="accent1" w:themeShade="BF"/>
          <w:sz w:val="32"/>
          <w:szCs w:val="32"/>
        </w:rPr>
        <w:br w:type="page"/>
      </w:r>
    </w:p>
    <w:p w14:paraId="62A9A960" w14:textId="77777777" w:rsidR="00970858" w:rsidRDefault="00970858" w:rsidP="00970858">
      <w:pPr>
        <w:pStyle w:val="Heading1"/>
        <w:spacing w:line="360" w:lineRule="auto"/>
        <w:jc w:val="center"/>
        <w:rPr>
          <w:rFonts w:ascii="Times New Roman" w:hAnsi="Times New Roman" w:cs="Times New Roman"/>
          <w:b/>
          <w:bCs/>
          <w:sz w:val="28"/>
          <w:szCs w:val="28"/>
        </w:rPr>
      </w:pPr>
      <w:bookmarkStart w:id="3" w:name="_Toc60987090"/>
      <w:bookmarkStart w:id="4" w:name="_Toc65490056"/>
      <w:r>
        <w:rPr>
          <w:rFonts w:ascii="Times New Roman" w:hAnsi="Times New Roman" w:cs="Times New Roman"/>
          <w:b/>
          <w:bCs/>
          <w:sz w:val="28"/>
          <w:szCs w:val="28"/>
        </w:rPr>
        <w:t>Acknowledgement</w:t>
      </w:r>
      <w:bookmarkEnd w:id="3"/>
      <w:bookmarkEnd w:id="4"/>
      <w:r>
        <w:rPr>
          <w:rFonts w:ascii="Times New Roman" w:hAnsi="Times New Roman" w:cs="Times New Roman"/>
          <w:b/>
          <w:bCs/>
          <w:sz w:val="28"/>
          <w:szCs w:val="28"/>
        </w:rPr>
        <w:t xml:space="preserve"> </w:t>
      </w:r>
    </w:p>
    <w:p w14:paraId="3ADCC109" w14:textId="6F5EBC4D" w:rsidR="00BD012F" w:rsidRDefault="00970858" w:rsidP="003310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715AEF">
        <w:rPr>
          <w:rFonts w:ascii="Times New Roman" w:hAnsi="Times New Roman" w:cs="Times New Roman"/>
          <w:sz w:val="24"/>
          <w:szCs w:val="24"/>
        </w:rPr>
        <w:t xml:space="preserve">begin with, I thank God who granted me </w:t>
      </w:r>
      <w:r w:rsidR="00977DB5">
        <w:rPr>
          <w:rFonts w:ascii="Times New Roman" w:hAnsi="Times New Roman" w:cs="Times New Roman"/>
          <w:sz w:val="24"/>
          <w:szCs w:val="24"/>
        </w:rPr>
        <w:t>everything necessary to complete this project. Sec</w:t>
      </w:r>
      <w:r w:rsidR="00CC7FF0">
        <w:rPr>
          <w:rFonts w:ascii="Times New Roman" w:hAnsi="Times New Roman" w:cs="Times New Roman"/>
          <w:sz w:val="24"/>
          <w:szCs w:val="24"/>
        </w:rPr>
        <w:t xml:space="preserve">ondly, I thank my </w:t>
      </w:r>
      <w:r w:rsidR="009D60E5">
        <w:rPr>
          <w:rFonts w:ascii="Times New Roman" w:hAnsi="Times New Roman" w:cs="Times New Roman"/>
          <w:sz w:val="24"/>
          <w:szCs w:val="24"/>
        </w:rPr>
        <w:t>s</w:t>
      </w:r>
      <w:r w:rsidR="00CC7FF0">
        <w:rPr>
          <w:rFonts w:ascii="Times New Roman" w:hAnsi="Times New Roman" w:cs="Times New Roman"/>
          <w:sz w:val="24"/>
          <w:szCs w:val="24"/>
        </w:rPr>
        <w:t>upervisor, Juan Carlos Jiofrio</w:t>
      </w:r>
      <w:r w:rsidR="009D60E5">
        <w:rPr>
          <w:rFonts w:ascii="Times New Roman" w:hAnsi="Times New Roman" w:cs="Times New Roman"/>
          <w:sz w:val="24"/>
          <w:szCs w:val="24"/>
        </w:rPr>
        <w:t>. His intellectual rigour was instrumental in guiding me through this process.</w:t>
      </w:r>
      <w:r w:rsidR="00C670E7">
        <w:rPr>
          <w:rFonts w:ascii="Times New Roman" w:hAnsi="Times New Roman" w:cs="Times New Roman"/>
          <w:sz w:val="24"/>
          <w:szCs w:val="24"/>
        </w:rPr>
        <w:t xml:space="preserve"> My greatest debt is to my parents</w:t>
      </w:r>
      <w:r w:rsidR="00F01D95">
        <w:rPr>
          <w:rFonts w:ascii="Times New Roman" w:hAnsi="Times New Roman" w:cs="Times New Roman"/>
          <w:sz w:val="24"/>
          <w:szCs w:val="24"/>
        </w:rPr>
        <w:t>. My father,</w:t>
      </w:r>
      <w:r w:rsidR="00C670E7">
        <w:rPr>
          <w:rFonts w:ascii="Times New Roman" w:hAnsi="Times New Roman" w:cs="Times New Roman"/>
          <w:sz w:val="24"/>
          <w:szCs w:val="24"/>
        </w:rPr>
        <w:t xml:space="preserve"> the late Kiai Wa Gachanja</w:t>
      </w:r>
      <w:r w:rsidR="007D6C28">
        <w:rPr>
          <w:rFonts w:ascii="Times New Roman" w:hAnsi="Times New Roman" w:cs="Times New Roman"/>
          <w:sz w:val="24"/>
          <w:szCs w:val="24"/>
        </w:rPr>
        <w:t xml:space="preserve">, taught me that </w:t>
      </w:r>
      <w:r w:rsidR="007A47B4">
        <w:rPr>
          <w:rFonts w:ascii="Times New Roman" w:hAnsi="Times New Roman" w:cs="Times New Roman"/>
          <w:sz w:val="24"/>
          <w:szCs w:val="24"/>
        </w:rPr>
        <w:t>not all that is accept</w:t>
      </w:r>
      <w:r w:rsidR="00E1057E">
        <w:rPr>
          <w:rFonts w:ascii="Times New Roman" w:hAnsi="Times New Roman" w:cs="Times New Roman"/>
          <w:sz w:val="24"/>
          <w:szCs w:val="24"/>
        </w:rPr>
        <w:t>ed</w:t>
      </w:r>
      <w:r w:rsidR="007A47B4">
        <w:rPr>
          <w:rFonts w:ascii="Times New Roman" w:hAnsi="Times New Roman" w:cs="Times New Roman"/>
          <w:sz w:val="24"/>
          <w:szCs w:val="24"/>
        </w:rPr>
        <w:t xml:space="preserve"> in society is right. M</w:t>
      </w:r>
      <w:r w:rsidR="004F2153">
        <w:rPr>
          <w:rFonts w:ascii="Times New Roman" w:hAnsi="Times New Roman" w:cs="Times New Roman"/>
          <w:sz w:val="24"/>
          <w:szCs w:val="24"/>
        </w:rPr>
        <w:t>y</w:t>
      </w:r>
      <w:r w:rsidR="007A47B4">
        <w:rPr>
          <w:rFonts w:ascii="Times New Roman" w:hAnsi="Times New Roman" w:cs="Times New Roman"/>
          <w:sz w:val="24"/>
          <w:szCs w:val="24"/>
        </w:rPr>
        <w:t xml:space="preserve"> mother has be</w:t>
      </w:r>
      <w:r w:rsidR="004F2153">
        <w:rPr>
          <w:rFonts w:ascii="Times New Roman" w:hAnsi="Times New Roman" w:cs="Times New Roman"/>
          <w:sz w:val="24"/>
          <w:szCs w:val="24"/>
        </w:rPr>
        <w:t>en the rock of my family.</w:t>
      </w:r>
      <w:r w:rsidR="00EF38CE">
        <w:rPr>
          <w:rFonts w:ascii="Times New Roman" w:hAnsi="Times New Roman" w:cs="Times New Roman"/>
          <w:sz w:val="24"/>
          <w:szCs w:val="24"/>
        </w:rPr>
        <w:t xml:space="preserve"> </w:t>
      </w:r>
    </w:p>
    <w:p w14:paraId="3A1F0703" w14:textId="77777777" w:rsidR="00BD012F" w:rsidRDefault="00BD012F" w:rsidP="003310C9">
      <w:pPr>
        <w:spacing w:line="360" w:lineRule="auto"/>
        <w:jc w:val="both"/>
        <w:rPr>
          <w:rFonts w:ascii="Times New Roman" w:eastAsiaTheme="majorEastAsia" w:hAnsi="Times New Roman" w:cs="Times New Roman"/>
          <w:color w:val="2F5496" w:themeColor="accent1" w:themeShade="BF"/>
          <w:sz w:val="32"/>
          <w:szCs w:val="32"/>
        </w:rPr>
      </w:pPr>
    </w:p>
    <w:p w14:paraId="2A98655C" w14:textId="77777777" w:rsidR="00BD012F" w:rsidRDefault="00BD012F">
      <w:pPr>
        <w:rPr>
          <w:rFonts w:ascii="Times New Roman" w:eastAsiaTheme="majorEastAsia" w:hAnsi="Times New Roman" w:cs="Times New Roman"/>
          <w:color w:val="2F5496" w:themeColor="accent1" w:themeShade="BF"/>
          <w:sz w:val="32"/>
          <w:szCs w:val="32"/>
        </w:rPr>
      </w:pPr>
      <w:r>
        <w:rPr>
          <w:rFonts w:ascii="Times New Roman" w:eastAsiaTheme="majorEastAsia" w:hAnsi="Times New Roman" w:cs="Times New Roman"/>
          <w:color w:val="2F5496" w:themeColor="accent1" w:themeShade="BF"/>
          <w:sz w:val="32"/>
          <w:szCs w:val="32"/>
        </w:rPr>
        <w:br w:type="page"/>
      </w:r>
    </w:p>
    <w:p w14:paraId="0E92A9A8" w14:textId="77777777" w:rsidR="006B0888" w:rsidRPr="004A5489" w:rsidRDefault="006B0888" w:rsidP="006B0888">
      <w:pPr>
        <w:pStyle w:val="Heading1"/>
        <w:spacing w:line="360" w:lineRule="auto"/>
        <w:jc w:val="center"/>
        <w:rPr>
          <w:rFonts w:ascii="Times New Roman" w:hAnsi="Times New Roman" w:cs="Times New Roman"/>
          <w:b/>
          <w:bCs/>
          <w:sz w:val="28"/>
          <w:szCs w:val="28"/>
        </w:rPr>
      </w:pPr>
      <w:bookmarkStart w:id="5" w:name="_Toc60987091"/>
      <w:bookmarkStart w:id="6" w:name="_Toc65490057"/>
      <w:r w:rsidRPr="004A5489">
        <w:rPr>
          <w:rFonts w:ascii="Times New Roman" w:hAnsi="Times New Roman" w:cs="Times New Roman"/>
          <w:b/>
          <w:bCs/>
          <w:sz w:val="28"/>
          <w:szCs w:val="28"/>
        </w:rPr>
        <w:t>Declaration</w:t>
      </w:r>
      <w:bookmarkEnd w:id="5"/>
      <w:bookmarkEnd w:id="6"/>
    </w:p>
    <w:p w14:paraId="2B833AB8" w14:textId="21354660" w:rsidR="006B0888" w:rsidRPr="004A5489" w:rsidRDefault="006B0888" w:rsidP="006B0888">
      <w:pPr>
        <w:spacing w:line="360" w:lineRule="auto"/>
        <w:jc w:val="both"/>
        <w:rPr>
          <w:rFonts w:ascii="Times New Roman" w:hAnsi="Times New Roman" w:cs="Times New Roman"/>
          <w:sz w:val="24"/>
          <w:szCs w:val="24"/>
        </w:rPr>
      </w:pPr>
      <w:r w:rsidRPr="004A5489">
        <w:rPr>
          <w:rFonts w:ascii="Times New Roman" w:hAnsi="Times New Roman" w:cs="Times New Roman"/>
          <w:sz w:val="24"/>
          <w:szCs w:val="24"/>
        </w:rPr>
        <w:t>I,</w:t>
      </w:r>
      <w:r>
        <w:rPr>
          <w:rFonts w:ascii="Times New Roman" w:hAnsi="Times New Roman" w:cs="Times New Roman"/>
          <w:sz w:val="24"/>
          <w:szCs w:val="24"/>
        </w:rPr>
        <w:t xml:space="preserve"> KIAI GACHANJA</w:t>
      </w:r>
      <w:r w:rsidRPr="004A5489">
        <w:rPr>
          <w:rFonts w:ascii="Times New Roman" w:hAnsi="Times New Roman" w:cs="Times New Roman"/>
          <w:sz w:val="24"/>
          <w:szCs w:val="24"/>
        </w:rPr>
        <w:t xml:space="preserve">,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64707085" w14:textId="77777777" w:rsidR="006B0888" w:rsidRPr="00FE388C" w:rsidRDefault="006B0888" w:rsidP="006B0888">
      <w:pPr>
        <w:rPr>
          <w:szCs w:val="24"/>
        </w:rPr>
      </w:pPr>
    </w:p>
    <w:p w14:paraId="489989B0" w14:textId="77777777" w:rsidR="006B0888" w:rsidRPr="00FE388C" w:rsidRDefault="006B0888" w:rsidP="006B0888">
      <w:pPr>
        <w:rPr>
          <w:szCs w:val="24"/>
        </w:rPr>
      </w:pPr>
    </w:p>
    <w:p w14:paraId="454409F1" w14:textId="7D21603B" w:rsidR="006B0888" w:rsidRPr="00AE01FD" w:rsidRDefault="006B0888" w:rsidP="006B0888">
      <w:pPr>
        <w:rPr>
          <w:rFonts w:ascii="Times New Roman" w:hAnsi="Times New Roman" w:cs="Times New Roman"/>
          <w:szCs w:val="24"/>
        </w:rPr>
      </w:pPr>
      <w:r w:rsidRPr="00AE01FD">
        <w:rPr>
          <w:rFonts w:ascii="Times New Roman" w:hAnsi="Times New Roman" w:cs="Times New Roman"/>
          <w:szCs w:val="24"/>
        </w:rPr>
        <w:t>Signed: ....</w:t>
      </w:r>
      <w:r>
        <w:rPr>
          <w:rFonts w:ascii="Times New Roman" w:hAnsi="Times New Roman" w:cs="Times New Roman"/>
          <w:szCs w:val="24"/>
        </w:rPr>
        <w:t xml:space="preserve"> Kiai Gachanja</w:t>
      </w:r>
      <w:r w:rsidRPr="00AE01FD">
        <w:rPr>
          <w:rFonts w:ascii="Times New Roman" w:hAnsi="Times New Roman" w:cs="Times New Roman"/>
          <w:szCs w:val="24"/>
        </w:rPr>
        <w:t>...................................................................</w:t>
      </w:r>
    </w:p>
    <w:p w14:paraId="5E3E36B2" w14:textId="5A869833" w:rsidR="006B0888" w:rsidRPr="00AE01FD" w:rsidRDefault="006B0888" w:rsidP="006B0888">
      <w:pPr>
        <w:rPr>
          <w:rFonts w:ascii="Times New Roman" w:hAnsi="Times New Roman" w:cs="Times New Roman"/>
          <w:szCs w:val="24"/>
        </w:rPr>
      </w:pPr>
      <w:r w:rsidRPr="00AE01FD">
        <w:rPr>
          <w:rFonts w:ascii="Times New Roman" w:hAnsi="Times New Roman" w:cs="Times New Roman"/>
          <w:szCs w:val="24"/>
        </w:rPr>
        <w:t>Date: .........</w:t>
      </w:r>
      <w:r w:rsidR="00B524A4">
        <w:rPr>
          <w:rFonts w:ascii="Times New Roman" w:hAnsi="Times New Roman" w:cs="Times New Roman"/>
          <w:szCs w:val="24"/>
        </w:rPr>
        <w:t>1</w:t>
      </w:r>
      <w:r w:rsidR="00B524A4" w:rsidRPr="00B524A4">
        <w:rPr>
          <w:rFonts w:ascii="Times New Roman" w:hAnsi="Times New Roman" w:cs="Times New Roman"/>
          <w:szCs w:val="24"/>
          <w:vertAlign w:val="superscript"/>
        </w:rPr>
        <w:t>st</w:t>
      </w:r>
      <w:r w:rsidR="00B524A4">
        <w:rPr>
          <w:rFonts w:ascii="Times New Roman" w:hAnsi="Times New Roman" w:cs="Times New Roman"/>
          <w:szCs w:val="24"/>
          <w:vertAlign w:val="superscript"/>
        </w:rPr>
        <w:t xml:space="preserve"> </w:t>
      </w:r>
      <w:r w:rsidR="00B524A4">
        <w:rPr>
          <w:rFonts w:ascii="Times New Roman" w:hAnsi="Times New Roman" w:cs="Times New Roman"/>
          <w:szCs w:val="24"/>
        </w:rPr>
        <w:t>3</w:t>
      </w:r>
      <w:r>
        <w:rPr>
          <w:rFonts w:ascii="Times New Roman" w:hAnsi="Times New Roman" w:cs="Times New Roman"/>
          <w:szCs w:val="24"/>
        </w:rPr>
        <w:t xml:space="preserve"> 2021</w:t>
      </w:r>
      <w:r w:rsidRPr="00AE01FD">
        <w:rPr>
          <w:rFonts w:ascii="Times New Roman" w:hAnsi="Times New Roman" w:cs="Times New Roman"/>
          <w:szCs w:val="24"/>
        </w:rPr>
        <w:t>.................................................................</w:t>
      </w:r>
    </w:p>
    <w:p w14:paraId="13C523D5" w14:textId="77777777" w:rsidR="006B0888" w:rsidRPr="00AE01FD" w:rsidRDefault="006B0888" w:rsidP="006B0888">
      <w:pPr>
        <w:rPr>
          <w:rFonts w:ascii="Times New Roman" w:hAnsi="Times New Roman" w:cs="Times New Roman"/>
          <w:szCs w:val="24"/>
        </w:rPr>
      </w:pPr>
    </w:p>
    <w:p w14:paraId="0CFC5BB4" w14:textId="77777777" w:rsidR="006B0888" w:rsidRPr="00AE01FD" w:rsidRDefault="006B0888" w:rsidP="006B0888">
      <w:pPr>
        <w:rPr>
          <w:rFonts w:ascii="Times New Roman" w:hAnsi="Times New Roman" w:cs="Times New Roman"/>
          <w:szCs w:val="24"/>
        </w:rPr>
      </w:pPr>
    </w:p>
    <w:p w14:paraId="4856BA25" w14:textId="77777777" w:rsidR="006B0888" w:rsidRPr="00AE01FD" w:rsidRDefault="006B0888" w:rsidP="006B0888">
      <w:pPr>
        <w:rPr>
          <w:rFonts w:ascii="Times New Roman" w:hAnsi="Times New Roman" w:cs="Times New Roman"/>
        </w:rPr>
      </w:pPr>
      <w:r w:rsidRPr="00AE01FD">
        <w:rPr>
          <w:rFonts w:ascii="Times New Roman" w:hAnsi="Times New Roman" w:cs="Times New Roman"/>
        </w:rPr>
        <w:t xml:space="preserve">This dissertation has been submitted for examination with my approval as University Supervisor. </w:t>
      </w:r>
    </w:p>
    <w:p w14:paraId="5E7475C5" w14:textId="77777777" w:rsidR="004374D4" w:rsidRPr="00AE01FD" w:rsidRDefault="004374D4" w:rsidP="004374D4">
      <w:pPr>
        <w:rPr>
          <w:rFonts w:ascii="Times New Roman" w:hAnsi="Times New Roman" w:cs="Times New Roman"/>
          <w:szCs w:val="24"/>
        </w:rPr>
      </w:pPr>
      <w:r w:rsidRPr="00AE01FD">
        <w:rPr>
          <w:rFonts w:ascii="Times New Roman" w:hAnsi="Times New Roman" w:cs="Times New Roman"/>
          <w:szCs w:val="24"/>
        </w:rPr>
        <w:t>Signed: ..........................................................................</w:t>
      </w:r>
    </w:p>
    <w:p w14:paraId="34D700A0" w14:textId="09D3C716" w:rsidR="004374D4" w:rsidRPr="00873A0F" w:rsidRDefault="004374D4" w:rsidP="004374D4">
      <w:pPr>
        <w:rPr>
          <w:rFonts w:ascii="Times New Roman" w:hAnsi="Times New Roman" w:cs="Times New Roman"/>
          <w:sz w:val="24"/>
          <w:szCs w:val="24"/>
        </w:rPr>
      </w:pPr>
      <w:r>
        <w:rPr>
          <w:rFonts w:ascii="Times New Roman" w:hAnsi="Times New Roman" w:cs="Times New Roman"/>
          <w:sz w:val="24"/>
          <w:szCs w:val="24"/>
        </w:rPr>
        <w:t>Juan Carlos Jiofrio</w:t>
      </w:r>
    </w:p>
    <w:p w14:paraId="5B9E5C62" w14:textId="77777777" w:rsidR="004374D4" w:rsidRDefault="004374D4" w:rsidP="003310C9">
      <w:pPr>
        <w:spacing w:line="360" w:lineRule="auto"/>
        <w:jc w:val="both"/>
        <w:rPr>
          <w:rFonts w:ascii="Times New Roman" w:eastAsiaTheme="majorEastAsia" w:hAnsi="Times New Roman" w:cs="Times New Roman"/>
          <w:color w:val="2F5496" w:themeColor="accent1" w:themeShade="BF"/>
          <w:sz w:val="32"/>
          <w:szCs w:val="32"/>
        </w:rPr>
      </w:pPr>
    </w:p>
    <w:p w14:paraId="09772D8D" w14:textId="77777777" w:rsidR="004374D4" w:rsidRDefault="004374D4">
      <w:pPr>
        <w:rPr>
          <w:rFonts w:ascii="Times New Roman" w:eastAsiaTheme="majorEastAsia" w:hAnsi="Times New Roman" w:cs="Times New Roman"/>
          <w:color w:val="2F5496" w:themeColor="accent1" w:themeShade="BF"/>
          <w:sz w:val="32"/>
          <w:szCs w:val="32"/>
        </w:rPr>
      </w:pPr>
      <w:r>
        <w:rPr>
          <w:rFonts w:ascii="Times New Roman" w:eastAsiaTheme="majorEastAsia" w:hAnsi="Times New Roman" w:cs="Times New Roman"/>
          <w:color w:val="2F5496" w:themeColor="accent1" w:themeShade="BF"/>
          <w:sz w:val="32"/>
          <w:szCs w:val="32"/>
        </w:rPr>
        <w:br w:type="page"/>
      </w:r>
    </w:p>
    <w:p w14:paraId="4545A8B0" w14:textId="30B510EE" w:rsidR="0028287C" w:rsidRDefault="0028287C" w:rsidP="003310C9">
      <w:pPr>
        <w:spacing w:line="360" w:lineRule="auto"/>
        <w:jc w:val="both"/>
        <w:rPr>
          <w:rFonts w:ascii="Times New Roman" w:eastAsiaTheme="majorEastAsia" w:hAnsi="Times New Roman" w:cs="Times New Roman"/>
          <w:b/>
          <w:bCs/>
          <w:color w:val="2F5496" w:themeColor="accent1" w:themeShade="BF"/>
          <w:sz w:val="26"/>
          <w:szCs w:val="26"/>
        </w:rPr>
      </w:pPr>
      <w:r w:rsidRPr="0028287C">
        <w:rPr>
          <w:rFonts w:ascii="Times New Roman" w:eastAsiaTheme="majorEastAsia" w:hAnsi="Times New Roman" w:cs="Times New Roman"/>
          <w:b/>
          <w:bCs/>
          <w:color w:val="2F5496" w:themeColor="accent1" w:themeShade="BF"/>
          <w:sz w:val="26"/>
          <w:szCs w:val="26"/>
        </w:rPr>
        <w:t>List of Cases</w:t>
      </w:r>
    </w:p>
    <w:p w14:paraId="794278D8"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Buckley v Valeo</w:t>
      </w:r>
      <w:r w:rsidRPr="00806E70">
        <w:rPr>
          <w:rFonts w:ascii="Times New Roman" w:hAnsi="Times New Roman" w:cs="Times New Roman"/>
          <w:sz w:val="24"/>
          <w:szCs w:val="24"/>
        </w:rPr>
        <w:t xml:space="preserve"> (1976), The Supreme Court of the United States.</w:t>
      </w:r>
    </w:p>
    <w:p w14:paraId="0622E2BE"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Citizens United v FEC</w:t>
      </w:r>
      <w:r w:rsidRPr="00806E70">
        <w:rPr>
          <w:rFonts w:ascii="Times New Roman" w:hAnsi="Times New Roman" w:cs="Times New Roman"/>
          <w:sz w:val="24"/>
          <w:szCs w:val="24"/>
        </w:rPr>
        <w:t xml:space="preserve"> (2010), The Supreme Court of the United States.</w:t>
      </w:r>
    </w:p>
    <w:p w14:paraId="036158A3"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 xml:space="preserve">Kenya Airports Authority v Mitu-Bell Welfare Society &amp; 2 others </w:t>
      </w:r>
      <w:r w:rsidRPr="00806E70">
        <w:rPr>
          <w:rFonts w:ascii="Times New Roman" w:hAnsi="Times New Roman" w:cs="Times New Roman"/>
          <w:sz w:val="24"/>
          <w:szCs w:val="24"/>
        </w:rPr>
        <w:t>(2011) eKLR</w:t>
      </w:r>
    </w:p>
    <w:p w14:paraId="48920EE0"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 xml:space="preserve">Orange Democratic Movement v National Treasury &amp; 5 others </w:t>
      </w:r>
      <w:r w:rsidRPr="00806E70">
        <w:rPr>
          <w:rFonts w:ascii="Times New Roman" w:hAnsi="Times New Roman" w:cs="Times New Roman"/>
          <w:sz w:val="24"/>
          <w:szCs w:val="24"/>
        </w:rPr>
        <w:t>(2017) eKLR</w:t>
      </w:r>
    </w:p>
    <w:p w14:paraId="265180EB"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 xml:space="preserve">Peter Anyang Nyongo v The Attorney General of the Republic of Kenya </w:t>
      </w:r>
      <w:r w:rsidRPr="00806E70">
        <w:rPr>
          <w:rFonts w:ascii="Times New Roman" w:hAnsi="Times New Roman" w:cs="Times New Roman"/>
          <w:sz w:val="24"/>
          <w:szCs w:val="24"/>
        </w:rPr>
        <w:t>(2006), The East African Court of Justice.</w:t>
      </w:r>
    </w:p>
    <w:p w14:paraId="1FCB6D2C"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 xml:space="preserve">Political Parties Forum Coalition &amp; 3 others v Registrar of Political Parties &amp; 8 others </w:t>
      </w:r>
      <w:r w:rsidRPr="00806E70">
        <w:rPr>
          <w:rFonts w:ascii="Times New Roman" w:hAnsi="Times New Roman" w:cs="Times New Roman"/>
          <w:sz w:val="24"/>
          <w:szCs w:val="24"/>
        </w:rPr>
        <w:t>(2016) eKLR.</w:t>
      </w:r>
    </w:p>
    <w:p w14:paraId="5A27F47E" w14:textId="77777777" w:rsidR="00806E70" w:rsidRPr="00806E70" w:rsidRDefault="00806E70" w:rsidP="006E3C22">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 xml:space="preserve">Re the Matter of Zipporah Wambui Mathara </w:t>
      </w:r>
      <w:r w:rsidRPr="00806E70">
        <w:rPr>
          <w:rFonts w:ascii="Times New Roman" w:hAnsi="Times New Roman" w:cs="Times New Roman"/>
          <w:sz w:val="24"/>
          <w:szCs w:val="24"/>
        </w:rPr>
        <w:t>(2010) eKLR.</w:t>
      </w:r>
    </w:p>
    <w:p w14:paraId="2D574278" w14:textId="2C055600" w:rsidR="006E3C22" w:rsidRPr="006E3C22" w:rsidRDefault="00806E70" w:rsidP="003310C9">
      <w:pPr>
        <w:spacing w:line="360" w:lineRule="auto"/>
        <w:jc w:val="both"/>
        <w:rPr>
          <w:rFonts w:ascii="Times New Roman" w:hAnsi="Times New Roman" w:cs="Times New Roman"/>
          <w:sz w:val="24"/>
          <w:szCs w:val="24"/>
        </w:rPr>
      </w:pPr>
      <w:r w:rsidRPr="00806E70">
        <w:rPr>
          <w:rFonts w:ascii="Times New Roman" w:hAnsi="Times New Roman" w:cs="Times New Roman"/>
          <w:i/>
          <w:iCs/>
          <w:sz w:val="24"/>
          <w:szCs w:val="24"/>
        </w:rPr>
        <w:t>Speaker of the Senate &amp; another v Attorney General &amp; 4 others</w:t>
      </w:r>
      <w:r w:rsidRPr="00806E70">
        <w:rPr>
          <w:rFonts w:ascii="Times New Roman" w:hAnsi="Times New Roman" w:cs="Times New Roman"/>
          <w:sz w:val="24"/>
          <w:szCs w:val="24"/>
        </w:rPr>
        <w:t xml:space="preserve"> (2013) eKLR.</w:t>
      </w:r>
    </w:p>
    <w:p w14:paraId="7F5137CB" w14:textId="77777777" w:rsidR="00CC3CAC" w:rsidRDefault="0028287C" w:rsidP="003310C9">
      <w:pPr>
        <w:spacing w:line="360" w:lineRule="auto"/>
        <w:jc w:val="both"/>
        <w:rPr>
          <w:rFonts w:ascii="Times New Roman" w:eastAsiaTheme="majorEastAsia" w:hAnsi="Times New Roman" w:cs="Times New Roman"/>
          <w:b/>
          <w:bCs/>
          <w:color w:val="2F5496" w:themeColor="accent1" w:themeShade="BF"/>
          <w:sz w:val="26"/>
          <w:szCs w:val="26"/>
        </w:rPr>
      </w:pPr>
      <w:r w:rsidRPr="0028287C">
        <w:rPr>
          <w:rFonts w:ascii="Times New Roman" w:eastAsiaTheme="majorEastAsia" w:hAnsi="Times New Roman" w:cs="Times New Roman"/>
          <w:b/>
          <w:bCs/>
          <w:color w:val="2F5496" w:themeColor="accent1" w:themeShade="BF"/>
          <w:sz w:val="26"/>
          <w:szCs w:val="26"/>
        </w:rPr>
        <w:t>List of Abbreviations</w:t>
      </w:r>
    </w:p>
    <w:p w14:paraId="17319A68" w14:textId="2620C786" w:rsidR="005B68D5" w:rsidRDefault="005B68D5" w:rsidP="003310C9">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 xml:space="preserve">BCRA </w:t>
      </w:r>
      <w:r w:rsidR="005B193A">
        <w:rPr>
          <w:rFonts w:ascii="Times New Roman" w:eastAsiaTheme="majorEastAsia" w:hAnsi="Times New Roman" w:cs="Times New Roman"/>
          <w:b/>
          <w:bCs/>
          <w:sz w:val="26"/>
          <w:szCs w:val="26"/>
        </w:rPr>
        <w:t xml:space="preserve">   </w:t>
      </w:r>
      <w:r w:rsidRPr="005B68D5">
        <w:rPr>
          <w:rFonts w:ascii="Times New Roman" w:eastAsiaTheme="majorEastAsia" w:hAnsi="Times New Roman" w:cs="Times New Roman"/>
          <w:sz w:val="26"/>
          <w:szCs w:val="26"/>
        </w:rPr>
        <w:t>Bipartisan Campaign Reform Act</w:t>
      </w:r>
    </w:p>
    <w:p w14:paraId="218A9C81" w14:textId="729CF14F" w:rsidR="00EB4496" w:rsidRDefault="00CC3CAC" w:rsidP="003310C9">
      <w:pPr>
        <w:spacing w:line="360" w:lineRule="auto"/>
        <w:jc w:val="both"/>
        <w:rPr>
          <w:rFonts w:ascii="Times New Roman" w:eastAsiaTheme="majorEastAsia" w:hAnsi="Times New Roman" w:cs="Times New Roman"/>
          <w:sz w:val="26"/>
          <w:szCs w:val="26"/>
        </w:rPr>
      </w:pPr>
      <w:r w:rsidRPr="00CC3CAC">
        <w:rPr>
          <w:rFonts w:ascii="Times New Roman" w:eastAsiaTheme="majorEastAsia" w:hAnsi="Times New Roman" w:cs="Times New Roman"/>
          <w:b/>
          <w:bCs/>
          <w:sz w:val="26"/>
          <w:szCs w:val="26"/>
        </w:rPr>
        <w:t xml:space="preserve">KANU </w:t>
      </w:r>
      <w:r w:rsidR="005B193A">
        <w:rPr>
          <w:rFonts w:ascii="Times New Roman" w:eastAsiaTheme="majorEastAsia" w:hAnsi="Times New Roman" w:cs="Times New Roman"/>
          <w:b/>
          <w:bCs/>
          <w:sz w:val="26"/>
          <w:szCs w:val="26"/>
        </w:rPr>
        <w:t xml:space="preserve">  </w:t>
      </w:r>
      <w:r w:rsidRPr="00CC3CAC">
        <w:rPr>
          <w:rFonts w:ascii="Times New Roman" w:eastAsiaTheme="majorEastAsia" w:hAnsi="Times New Roman" w:cs="Times New Roman"/>
          <w:sz w:val="26"/>
          <w:szCs w:val="26"/>
        </w:rPr>
        <w:t>Kenya African National Union</w:t>
      </w:r>
    </w:p>
    <w:p w14:paraId="4375860D" w14:textId="4A53A6F1" w:rsidR="009D3E95" w:rsidRDefault="009D3E95" w:rsidP="003310C9">
      <w:pPr>
        <w:spacing w:line="360" w:lineRule="auto"/>
        <w:jc w:val="both"/>
        <w:rPr>
          <w:rFonts w:ascii="Times New Roman" w:eastAsiaTheme="majorEastAsia" w:hAnsi="Times New Roman" w:cs="Times New Roman"/>
          <w:sz w:val="26"/>
          <w:szCs w:val="26"/>
        </w:rPr>
      </w:pPr>
      <w:r w:rsidRPr="001255A9">
        <w:rPr>
          <w:rFonts w:ascii="Times New Roman" w:eastAsiaTheme="majorEastAsia" w:hAnsi="Times New Roman" w:cs="Times New Roman"/>
          <w:b/>
          <w:bCs/>
          <w:sz w:val="26"/>
          <w:szCs w:val="26"/>
        </w:rPr>
        <w:t>FECA</w:t>
      </w:r>
      <w:r w:rsidR="005B193A" w:rsidRPr="001255A9">
        <w:rPr>
          <w:rFonts w:ascii="Times New Roman" w:eastAsiaTheme="majorEastAsia" w:hAnsi="Times New Roman" w:cs="Times New Roman"/>
          <w:b/>
          <w:bCs/>
          <w:sz w:val="26"/>
          <w:szCs w:val="26"/>
        </w:rPr>
        <w:t xml:space="preserve"> </w:t>
      </w:r>
      <w:r w:rsidRPr="001255A9">
        <w:rPr>
          <w:rFonts w:ascii="Times New Roman" w:eastAsiaTheme="majorEastAsia" w:hAnsi="Times New Roman" w:cs="Times New Roman"/>
          <w:b/>
          <w:bCs/>
          <w:sz w:val="26"/>
          <w:szCs w:val="26"/>
        </w:rPr>
        <w:t xml:space="preserve"> </w:t>
      </w:r>
      <w:r w:rsidR="005B193A">
        <w:rPr>
          <w:rFonts w:ascii="Times New Roman" w:eastAsiaTheme="majorEastAsia" w:hAnsi="Times New Roman" w:cs="Times New Roman"/>
          <w:sz w:val="26"/>
          <w:szCs w:val="26"/>
        </w:rPr>
        <w:t xml:space="preserve">  </w:t>
      </w:r>
      <w:r>
        <w:rPr>
          <w:rFonts w:ascii="Times New Roman" w:eastAsiaTheme="majorEastAsia" w:hAnsi="Times New Roman" w:cs="Times New Roman"/>
          <w:sz w:val="26"/>
          <w:szCs w:val="26"/>
        </w:rPr>
        <w:t>Federal Election Campa</w:t>
      </w:r>
      <w:r w:rsidR="005B193A">
        <w:rPr>
          <w:rFonts w:ascii="Times New Roman" w:eastAsiaTheme="majorEastAsia" w:hAnsi="Times New Roman" w:cs="Times New Roman"/>
          <w:sz w:val="26"/>
          <w:szCs w:val="26"/>
        </w:rPr>
        <w:t>ign Act</w:t>
      </w:r>
    </w:p>
    <w:p w14:paraId="4F19F662" w14:textId="77777777" w:rsidR="005B68D5" w:rsidRDefault="005B68D5" w:rsidP="003310C9">
      <w:pPr>
        <w:spacing w:line="360" w:lineRule="auto"/>
        <w:jc w:val="both"/>
        <w:rPr>
          <w:rFonts w:ascii="Times New Roman" w:eastAsiaTheme="majorEastAsia" w:hAnsi="Times New Roman" w:cs="Times New Roman"/>
          <w:sz w:val="26"/>
          <w:szCs w:val="26"/>
        </w:rPr>
      </w:pPr>
    </w:p>
    <w:p w14:paraId="4A28EE85" w14:textId="77777777" w:rsidR="00EB4496" w:rsidRDefault="00EB4496" w:rsidP="003310C9">
      <w:pPr>
        <w:spacing w:line="360" w:lineRule="auto"/>
        <w:jc w:val="both"/>
        <w:rPr>
          <w:rFonts w:ascii="Times New Roman" w:eastAsiaTheme="majorEastAsia" w:hAnsi="Times New Roman" w:cs="Times New Roman"/>
          <w:b/>
          <w:bCs/>
          <w:color w:val="2F5496" w:themeColor="accent1" w:themeShade="BF"/>
          <w:sz w:val="26"/>
          <w:szCs w:val="26"/>
        </w:rPr>
      </w:pPr>
    </w:p>
    <w:p w14:paraId="3449DBDF" w14:textId="77777777" w:rsidR="004F01C0" w:rsidRDefault="004F01C0" w:rsidP="004F01C0">
      <w:pPr>
        <w:rPr>
          <w:rFonts w:ascii="Times New Roman" w:eastAsiaTheme="majorEastAsia" w:hAnsi="Times New Roman" w:cs="Times New Roman"/>
          <w:b/>
          <w:bCs/>
          <w:color w:val="2F5496" w:themeColor="accent1" w:themeShade="BF"/>
          <w:sz w:val="26"/>
          <w:szCs w:val="26"/>
        </w:rPr>
      </w:pPr>
    </w:p>
    <w:p w14:paraId="4F7309E3" w14:textId="77777777" w:rsidR="004F01C0" w:rsidRDefault="004F01C0">
      <w:pPr>
        <w:rPr>
          <w:rFonts w:ascii="Times New Roman" w:eastAsiaTheme="majorEastAsia" w:hAnsi="Times New Roman" w:cs="Times New Roman"/>
          <w:b/>
          <w:bCs/>
          <w:color w:val="2F5496" w:themeColor="accent1" w:themeShade="BF"/>
          <w:sz w:val="26"/>
          <w:szCs w:val="26"/>
        </w:rPr>
      </w:pPr>
      <w:r>
        <w:rPr>
          <w:rFonts w:ascii="Times New Roman" w:eastAsiaTheme="majorEastAsia" w:hAnsi="Times New Roman" w:cs="Times New Roman"/>
          <w:b/>
          <w:bCs/>
          <w:color w:val="2F5496" w:themeColor="accent1" w:themeShade="BF"/>
          <w:sz w:val="26"/>
          <w:szCs w:val="26"/>
        </w:rPr>
        <w:br w:type="page"/>
      </w:r>
    </w:p>
    <w:p w14:paraId="55C30223" w14:textId="0941790A" w:rsidR="009C0F8D" w:rsidRDefault="004F01C0" w:rsidP="003A712A">
      <w:pPr>
        <w:pStyle w:val="Heading1"/>
        <w:spacing w:line="360" w:lineRule="auto"/>
        <w:jc w:val="center"/>
        <w:rPr>
          <w:rFonts w:ascii="Times New Roman" w:hAnsi="Times New Roman" w:cs="Times New Roman"/>
          <w:b/>
          <w:bCs/>
          <w:sz w:val="26"/>
          <w:szCs w:val="26"/>
        </w:rPr>
      </w:pPr>
      <w:bookmarkStart w:id="7" w:name="_Toc65490058"/>
      <w:r w:rsidRPr="003A712A">
        <w:rPr>
          <w:rFonts w:ascii="Times New Roman" w:hAnsi="Times New Roman" w:cs="Times New Roman"/>
          <w:b/>
          <w:bCs/>
          <w:sz w:val="26"/>
          <w:szCs w:val="26"/>
        </w:rPr>
        <w:t>Abstract</w:t>
      </w:r>
      <w:bookmarkEnd w:id="7"/>
    </w:p>
    <w:p w14:paraId="2FCD38E5" w14:textId="77777777" w:rsidR="003A707F" w:rsidRPr="003A707F" w:rsidRDefault="003A707F" w:rsidP="003A707F"/>
    <w:p w14:paraId="6F370819" w14:textId="56C40E59" w:rsidR="009C0F8D" w:rsidRPr="006E35F3" w:rsidRDefault="00C6577C" w:rsidP="0060651B">
      <w:pPr>
        <w:spacing w:line="360" w:lineRule="auto"/>
        <w:jc w:val="both"/>
        <w:rPr>
          <w:rFonts w:ascii="Times New Roman" w:eastAsiaTheme="majorEastAsia" w:hAnsi="Times New Roman" w:cs="Times New Roman"/>
          <w:b/>
          <w:bCs/>
          <w:i/>
          <w:iCs/>
          <w:sz w:val="26"/>
          <w:szCs w:val="26"/>
        </w:rPr>
      </w:pPr>
      <w:r w:rsidRPr="006E35F3">
        <w:rPr>
          <w:rFonts w:ascii="Times New Roman" w:eastAsiaTheme="majorEastAsia" w:hAnsi="Times New Roman" w:cs="Times New Roman"/>
          <w:i/>
          <w:iCs/>
          <w:sz w:val="24"/>
          <w:szCs w:val="24"/>
        </w:rPr>
        <w:t>Pol</w:t>
      </w:r>
      <w:r w:rsidR="00DA69DE" w:rsidRPr="006E35F3">
        <w:rPr>
          <w:rFonts w:ascii="Times New Roman" w:eastAsiaTheme="majorEastAsia" w:hAnsi="Times New Roman" w:cs="Times New Roman"/>
          <w:i/>
          <w:iCs/>
          <w:sz w:val="24"/>
          <w:szCs w:val="24"/>
        </w:rPr>
        <w:t>itical financing regulation is legally</w:t>
      </w:r>
      <w:r w:rsidR="0074623C" w:rsidRPr="006E35F3">
        <w:rPr>
          <w:rFonts w:ascii="Times New Roman" w:eastAsiaTheme="majorEastAsia" w:hAnsi="Times New Roman" w:cs="Times New Roman"/>
          <w:i/>
          <w:iCs/>
          <w:sz w:val="24"/>
          <w:szCs w:val="24"/>
        </w:rPr>
        <w:t xml:space="preserve"> recognised in Kenya. Furthermore, with the passing of the Election Campaign Financing Act, it is </w:t>
      </w:r>
      <w:r w:rsidR="002E2494" w:rsidRPr="006E35F3">
        <w:rPr>
          <w:rFonts w:ascii="Times New Roman" w:eastAsiaTheme="majorEastAsia" w:hAnsi="Times New Roman" w:cs="Times New Roman"/>
          <w:i/>
          <w:iCs/>
          <w:sz w:val="24"/>
          <w:szCs w:val="24"/>
        </w:rPr>
        <w:t xml:space="preserve">expected that this would discourage money from corrupt sources being used to fund election campaigns. </w:t>
      </w:r>
      <w:r w:rsidR="008D3C26" w:rsidRPr="006E35F3">
        <w:rPr>
          <w:rFonts w:ascii="Times New Roman" w:eastAsiaTheme="majorEastAsia" w:hAnsi="Times New Roman" w:cs="Times New Roman"/>
          <w:i/>
          <w:iCs/>
          <w:sz w:val="24"/>
          <w:szCs w:val="24"/>
        </w:rPr>
        <w:t xml:space="preserve">However, the Election Campaign Financing Act was suspended prior to the 2017 general elections. Therefore, this has been a barrier to the application of the law. </w:t>
      </w:r>
      <w:r w:rsidR="008A7A8D" w:rsidRPr="006E35F3">
        <w:rPr>
          <w:rFonts w:ascii="Times New Roman" w:eastAsiaTheme="majorEastAsia" w:hAnsi="Times New Roman" w:cs="Times New Roman"/>
          <w:i/>
          <w:iCs/>
          <w:sz w:val="24"/>
          <w:szCs w:val="24"/>
        </w:rPr>
        <w:t xml:space="preserve">In addition, the disclosure requirements I Section 16 of the </w:t>
      </w:r>
      <w:r w:rsidR="00C73E4B" w:rsidRPr="006E35F3">
        <w:rPr>
          <w:rFonts w:ascii="Times New Roman" w:eastAsiaTheme="majorEastAsia" w:hAnsi="Times New Roman" w:cs="Times New Roman"/>
          <w:i/>
          <w:iCs/>
          <w:sz w:val="26"/>
          <w:szCs w:val="26"/>
        </w:rPr>
        <w:t xml:space="preserve">Election Campaign Financing Act provide for confidentiality of political financing. This acts as a </w:t>
      </w:r>
      <w:r w:rsidR="002F751E" w:rsidRPr="006E35F3">
        <w:rPr>
          <w:rFonts w:ascii="Times New Roman" w:eastAsiaTheme="majorEastAsia" w:hAnsi="Times New Roman" w:cs="Times New Roman"/>
          <w:i/>
          <w:iCs/>
          <w:sz w:val="26"/>
          <w:szCs w:val="26"/>
        </w:rPr>
        <w:t xml:space="preserve">hindrance to the anti-corruption element of disclosures. </w:t>
      </w:r>
      <w:r w:rsidR="00A21927" w:rsidRPr="006E35F3">
        <w:rPr>
          <w:rFonts w:ascii="Times New Roman" w:eastAsiaTheme="majorEastAsia" w:hAnsi="Times New Roman" w:cs="Times New Roman"/>
          <w:i/>
          <w:iCs/>
          <w:sz w:val="26"/>
          <w:szCs w:val="26"/>
        </w:rPr>
        <w:t xml:space="preserve">The </w:t>
      </w:r>
      <w:r w:rsidR="00C549CD" w:rsidRPr="006E35F3">
        <w:rPr>
          <w:rFonts w:ascii="Times New Roman" w:eastAsiaTheme="majorEastAsia" w:hAnsi="Times New Roman" w:cs="Times New Roman"/>
          <w:i/>
          <w:iCs/>
          <w:sz w:val="26"/>
          <w:szCs w:val="26"/>
        </w:rPr>
        <w:t xml:space="preserve">aim of this study is to assess the role that election campaign financing regulation has in preventing the proceeds of corruption </w:t>
      </w:r>
      <w:r w:rsidR="00F128AB" w:rsidRPr="006E35F3">
        <w:rPr>
          <w:rFonts w:ascii="Times New Roman" w:eastAsiaTheme="majorEastAsia" w:hAnsi="Times New Roman" w:cs="Times New Roman"/>
          <w:i/>
          <w:iCs/>
          <w:sz w:val="26"/>
          <w:szCs w:val="26"/>
        </w:rPr>
        <w:t xml:space="preserve">from funding Kenyan elections. Moreover, the study seeks to examine the extent disclosure requirements can be applied in preventing the </w:t>
      </w:r>
      <w:r w:rsidR="00143F2F" w:rsidRPr="006E35F3">
        <w:rPr>
          <w:rFonts w:ascii="Times New Roman" w:eastAsiaTheme="majorEastAsia" w:hAnsi="Times New Roman" w:cs="Times New Roman"/>
          <w:i/>
          <w:iCs/>
          <w:sz w:val="26"/>
          <w:szCs w:val="26"/>
        </w:rPr>
        <w:t xml:space="preserve">proceeds of </w:t>
      </w:r>
      <w:r w:rsidR="0060651B" w:rsidRPr="006E35F3">
        <w:rPr>
          <w:rFonts w:ascii="Times New Roman" w:eastAsiaTheme="majorEastAsia" w:hAnsi="Times New Roman" w:cs="Times New Roman"/>
          <w:i/>
          <w:iCs/>
          <w:sz w:val="26"/>
          <w:szCs w:val="26"/>
        </w:rPr>
        <w:t>c</w:t>
      </w:r>
      <w:r w:rsidR="00143F2F" w:rsidRPr="006E35F3">
        <w:rPr>
          <w:rFonts w:ascii="Times New Roman" w:eastAsiaTheme="majorEastAsia" w:hAnsi="Times New Roman" w:cs="Times New Roman"/>
          <w:i/>
          <w:iCs/>
          <w:sz w:val="26"/>
          <w:szCs w:val="26"/>
        </w:rPr>
        <w:t xml:space="preserve">orruption from financing political campaigns in Kenya and to draw on the United States </w:t>
      </w:r>
      <w:r w:rsidR="00ED7CDC" w:rsidRPr="006E35F3">
        <w:rPr>
          <w:rFonts w:ascii="Times New Roman" w:eastAsiaTheme="majorEastAsia" w:hAnsi="Times New Roman" w:cs="Times New Roman"/>
          <w:i/>
          <w:iCs/>
          <w:sz w:val="26"/>
          <w:szCs w:val="26"/>
        </w:rPr>
        <w:t xml:space="preserve">on the application of disclosures to prevent proceeds of corruption from </w:t>
      </w:r>
      <w:r w:rsidR="0060651B" w:rsidRPr="006E35F3">
        <w:rPr>
          <w:rFonts w:ascii="Times New Roman" w:eastAsiaTheme="majorEastAsia" w:hAnsi="Times New Roman" w:cs="Times New Roman"/>
          <w:i/>
          <w:iCs/>
          <w:sz w:val="26"/>
          <w:szCs w:val="26"/>
        </w:rPr>
        <w:t>funding election campaigns.</w:t>
      </w:r>
      <w:r w:rsidR="009E237C" w:rsidRPr="006E35F3">
        <w:rPr>
          <w:rFonts w:ascii="Times New Roman" w:eastAsiaTheme="majorEastAsia" w:hAnsi="Times New Roman" w:cs="Times New Roman"/>
          <w:i/>
          <w:iCs/>
          <w:sz w:val="26"/>
          <w:szCs w:val="26"/>
        </w:rPr>
        <w:t xml:space="preserve"> This study finds that the confidentiality of information concerning election campaign financing </w:t>
      </w:r>
      <w:r w:rsidR="001A229D" w:rsidRPr="006E35F3">
        <w:rPr>
          <w:rFonts w:ascii="Times New Roman" w:eastAsiaTheme="majorEastAsia" w:hAnsi="Times New Roman" w:cs="Times New Roman"/>
          <w:i/>
          <w:iCs/>
          <w:sz w:val="26"/>
          <w:szCs w:val="26"/>
        </w:rPr>
        <w:t>inhibits the fight against corruption. This is because this information can reveal links between politicians and donors wh</w:t>
      </w:r>
      <w:r w:rsidR="00E137AB" w:rsidRPr="006E35F3">
        <w:rPr>
          <w:rFonts w:ascii="Times New Roman" w:eastAsiaTheme="majorEastAsia" w:hAnsi="Times New Roman" w:cs="Times New Roman"/>
          <w:i/>
          <w:iCs/>
          <w:sz w:val="26"/>
          <w:szCs w:val="26"/>
        </w:rPr>
        <w:t>o may be suspect.</w:t>
      </w:r>
      <w:r w:rsidR="001A229D" w:rsidRPr="006E35F3">
        <w:rPr>
          <w:rFonts w:ascii="Times New Roman" w:eastAsiaTheme="majorEastAsia" w:hAnsi="Times New Roman" w:cs="Times New Roman"/>
          <w:i/>
          <w:iCs/>
          <w:sz w:val="26"/>
          <w:szCs w:val="26"/>
        </w:rPr>
        <w:t xml:space="preserve"> </w:t>
      </w:r>
      <w:r w:rsidR="00E137AB" w:rsidRPr="006E35F3">
        <w:rPr>
          <w:rFonts w:ascii="Times New Roman" w:eastAsiaTheme="majorEastAsia" w:hAnsi="Times New Roman" w:cs="Times New Roman"/>
          <w:i/>
          <w:iCs/>
          <w:sz w:val="26"/>
          <w:szCs w:val="26"/>
        </w:rPr>
        <w:t>Also, it</w:t>
      </w:r>
      <w:r w:rsidR="001A229D" w:rsidRPr="006E35F3">
        <w:rPr>
          <w:rFonts w:ascii="Times New Roman" w:eastAsiaTheme="majorEastAsia" w:hAnsi="Times New Roman" w:cs="Times New Roman"/>
          <w:i/>
          <w:iCs/>
          <w:sz w:val="26"/>
          <w:szCs w:val="26"/>
        </w:rPr>
        <w:t xml:space="preserve"> makes it more difficult for the citizenry to access relevant information to make informed decisions when voting.</w:t>
      </w:r>
      <w:r w:rsidR="00323A1D" w:rsidRPr="006E35F3">
        <w:rPr>
          <w:rFonts w:ascii="Times New Roman" w:eastAsiaTheme="majorEastAsia" w:hAnsi="Times New Roman" w:cs="Times New Roman"/>
          <w:i/>
          <w:iCs/>
          <w:sz w:val="26"/>
          <w:szCs w:val="26"/>
        </w:rPr>
        <w:t xml:space="preserve"> This study adopts the</w:t>
      </w:r>
      <w:r w:rsidR="00C56351" w:rsidRPr="006E35F3">
        <w:rPr>
          <w:rFonts w:ascii="Times New Roman" w:eastAsiaTheme="majorEastAsia" w:hAnsi="Times New Roman" w:cs="Times New Roman"/>
          <w:i/>
          <w:iCs/>
          <w:sz w:val="26"/>
          <w:szCs w:val="26"/>
        </w:rPr>
        <w:t xml:space="preserve"> </w:t>
      </w:r>
      <w:r w:rsidR="00ED1702" w:rsidRPr="006E35F3">
        <w:rPr>
          <w:rFonts w:ascii="Times New Roman" w:eastAsiaTheme="majorEastAsia" w:hAnsi="Times New Roman" w:cs="Times New Roman"/>
          <w:i/>
          <w:iCs/>
          <w:sz w:val="26"/>
          <w:szCs w:val="26"/>
        </w:rPr>
        <w:t>t</w:t>
      </w:r>
      <w:r w:rsidR="00C56351" w:rsidRPr="006E35F3">
        <w:rPr>
          <w:rFonts w:ascii="Times New Roman" w:eastAsiaTheme="majorEastAsia" w:hAnsi="Times New Roman" w:cs="Times New Roman"/>
          <w:i/>
          <w:iCs/>
          <w:sz w:val="26"/>
          <w:szCs w:val="26"/>
        </w:rPr>
        <w:t>heor</w:t>
      </w:r>
      <w:r w:rsidR="00ED1702" w:rsidRPr="006E35F3">
        <w:rPr>
          <w:rFonts w:ascii="Times New Roman" w:eastAsiaTheme="majorEastAsia" w:hAnsi="Times New Roman" w:cs="Times New Roman"/>
          <w:i/>
          <w:iCs/>
          <w:sz w:val="26"/>
          <w:szCs w:val="26"/>
        </w:rPr>
        <w:t>ies</w:t>
      </w:r>
      <w:r w:rsidR="00C56351" w:rsidRPr="006E35F3">
        <w:rPr>
          <w:rFonts w:ascii="Times New Roman" w:eastAsiaTheme="majorEastAsia" w:hAnsi="Times New Roman" w:cs="Times New Roman"/>
          <w:i/>
          <w:iCs/>
          <w:sz w:val="26"/>
          <w:szCs w:val="26"/>
        </w:rPr>
        <w:t xml:space="preserve"> of liberal democracy</w:t>
      </w:r>
      <w:r w:rsidR="00ED1702" w:rsidRPr="006E35F3">
        <w:rPr>
          <w:rFonts w:ascii="Times New Roman" w:eastAsiaTheme="majorEastAsia" w:hAnsi="Times New Roman" w:cs="Times New Roman"/>
          <w:i/>
          <w:iCs/>
          <w:sz w:val="26"/>
          <w:szCs w:val="26"/>
        </w:rPr>
        <w:t xml:space="preserve">, the public interest theory of government regulation, the private interest theory of government regulation and the egalitarian theory </w:t>
      </w:r>
      <w:r w:rsidR="001555DC" w:rsidRPr="006E35F3">
        <w:rPr>
          <w:rFonts w:ascii="Times New Roman" w:eastAsiaTheme="majorEastAsia" w:hAnsi="Times New Roman" w:cs="Times New Roman"/>
          <w:i/>
          <w:iCs/>
          <w:sz w:val="26"/>
          <w:szCs w:val="26"/>
        </w:rPr>
        <w:t xml:space="preserve">as its framework to understand election campaign financing regulation in Kenya. It concludes by recommending </w:t>
      </w:r>
      <w:r w:rsidR="00BB4D1D" w:rsidRPr="006E35F3">
        <w:rPr>
          <w:rFonts w:ascii="Times New Roman" w:eastAsiaTheme="majorEastAsia" w:hAnsi="Times New Roman" w:cs="Times New Roman"/>
          <w:i/>
          <w:iCs/>
          <w:sz w:val="26"/>
          <w:szCs w:val="26"/>
        </w:rPr>
        <w:t>some reforms in the area of transparency in disclosure requirements to make the fight against corruption more effective.</w:t>
      </w:r>
      <w:r w:rsidR="00ED1702" w:rsidRPr="006E35F3">
        <w:rPr>
          <w:rFonts w:ascii="Times New Roman" w:eastAsiaTheme="majorEastAsia" w:hAnsi="Times New Roman" w:cs="Times New Roman"/>
          <w:i/>
          <w:iCs/>
          <w:sz w:val="26"/>
          <w:szCs w:val="26"/>
        </w:rPr>
        <w:t xml:space="preserve"> </w:t>
      </w:r>
      <w:r w:rsidR="009C0F8D" w:rsidRPr="006E35F3">
        <w:rPr>
          <w:rFonts w:ascii="Times New Roman" w:eastAsiaTheme="majorEastAsia" w:hAnsi="Times New Roman" w:cs="Times New Roman"/>
          <w:b/>
          <w:bCs/>
          <w:i/>
          <w:iCs/>
          <w:sz w:val="26"/>
          <w:szCs w:val="26"/>
        </w:rPr>
        <w:br w:type="page"/>
      </w:r>
    </w:p>
    <w:p w14:paraId="031A4162" w14:textId="77777777" w:rsidR="006B510E" w:rsidRDefault="009C0F8D" w:rsidP="004F01C0">
      <w:pPr>
        <w:jc w:val="center"/>
        <w:rPr>
          <w:rFonts w:ascii="Times New Roman" w:eastAsiaTheme="majorEastAsia" w:hAnsi="Times New Roman" w:cs="Times New Roman"/>
          <w:b/>
          <w:bCs/>
          <w:sz w:val="26"/>
          <w:szCs w:val="26"/>
        </w:rPr>
      </w:pPr>
      <w:r w:rsidRPr="009C0F8D">
        <w:rPr>
          <w:rFonts w:ascii="Times New Roman" w:eastAsiaTheme="majorEastAsia" w:hAnsi="Times New Roman" w:cs="Times New Roman"/>
          <w:b/>
          <w:bCs/>
          <w:sz w:val="26"/>
          <w:szCs w:val="26"/>
        </w:rPr>
        <w:t>Dedication</w:t>
      </w:r>
    </w:p>
    <w:p w14:paraId="1791BA29" w14:textId="0D442B5E" w:rsidR="00087068" w:rsidRDefault="006B510E" w:rsidP="006B510E">
      <w:pPr>
        <w:jc w:val="both"/>
        <w:rPr>
          <w:rFonts w:ascii="Times New Roman" w:eastAsiaTheme="majorEastAsia" w:hAnsi="Times New Roman" w:cs="Times New Roman"/>
          <w:sz w:val="24"/>
          <w:szCs w:val="24"/>
        </w:rPr>
      </w:pPr>
      <w:r w:rsidRPr="006B510E">
        <w:rPr>
          <w:rFonts w:ascii="Times New Roman" w:eastAsiaTheme="majorEastAsia" w:hAnsi="Times New Roman" w:cs="Times New Roman"/>
          <w:sz w:val="24"/>
          <w:szCs w:val="24"/>
        </w:rPr>
        <w:t xml:space="preserve">I dedicate this work to </w:t>
      </w:r>
      <w:r>
        <w:rPr>
          <w:rFonts w:ascii="Times New Roman" w:eastAsiaTheme="majorEastAsia" w:hAnsi="Times New Roman" w:cs="Times New Roman"/>
          <w:sz w:val="24"/>
          <w:szCs w:val="24"/>
        </w:rPr>
        <w:t>my best friend</w:t>
      </w:r>
      <w:r w:rsidR="00BA59BB">
        <w:rPr>
          <w:rFonts w:ascii="Times New Roman" w:eastAsiaTheme="majorEastAsia" w:hAnsi="Times New Roman" w:cs="Times New Roman"/>
          <w:sz w:val="24"/>
          <w:szCs w:val="24"/>
        </w:rPr>
        <w:t xml:space="preserve"> and my late father, Gachanja Wa Kiai who made me all that I am that is good. The bad </w:t>
      </w:r>
      <w:r w:rsidR="00AD2641">
        <w:rPr>
          <w:rFonts w:ascii="Times New Roman" w:eastAsiaTheme="majorEastAsia" w:hAnsi="Times New Roman" w:cs="Times New Roman"/>
          <w:sz w:val="24"/>
          <w:szCs w:val="24"/>
        </w:rPr>
        <w:t>belongs to me.</w:t>
      </w:r>
      <w:r w:rsidR="00121B1C">
        <w:rPr>
          <w:rFonts w:ascii="Times New Roman" w:eastAsiaTheme="majorEastAsia" w:hAnsi="Times New Roman" w:cs="Times New Roman"/>
          <w:sz w:val="24"/>
          <w:szCs w:val="24"/>
        </w:rPr>
        <w:t xml:space="preserve"> It is </w:t>
      </w:r>
      <w:r w:rsidR="003C1824">
        <w:rPr>
          <w:rFonts w:ascii="Times New Roman" w:eastAsiaTheme="majorEastAsia" w:hAnsi="Times New Roman" w:cs="Times New Roman"/>
          <w:sz w:val="24"/>
          <w:szCs w:val="24"/>
        </w:rPr>
        <w:t xml:space="preserve">my greatest honour to </w:t>
      </w:r>
      <w:r w:rsidR="00D453C4">
        <w:rPr>
          <w:rFonts w:ascii="Times New Roman" w:eastAsiaTheme="majorEastAsia" w:hAnsi="Times New Roman" w:cs="Times New Roman"/>
          <w:sz w:val="24"/>
          <w:szCs w:val="24"/>
        </w:rPr>
        <w:t>be</w:t>
      </w:r>
      <w:r w:rsidR="002E62A1">
        <w:rPr>
          <w:rFonts w:ascii="Times New Roman" w:eastAsiaTheme="majorEastAsia" w:hAnsi="Times New Roman" w:cs="Times New Roman"/>
          <w:sz w:val="24"/>
          <w:szCs w:val="24"/>
        </w:rPr>
        <w:t xml:space="preserve"> </w:t>
      </w:r>
      <w:r w:rsidR="00D453C4">
        <w:rPr>
          <w:rFonts w:ascii="Times New Roman" w:eastAsiaTheme="majorEastAsia" w:hAnsi="Times New Roman" w:cs="Times New Roman"/>
          <w:sz w:val="24"/>
          <w:szCs w:val="24"/>
        </w:rPr>
        <w:t xml:space="preserve">who you knew I could become </w:t>
      </w:r>
      <w:r w:rsidR="003C1824">
        <w:rPr>
          <w:rFonts w:ascii="Times New Roman" w:eastAsiaTheme="majorEastAsia" w:hAnsi="Times New Roman" w:cs="Times New Roman"/>
          <w:sz w:val="24"/>
          <w:szCs w:val="24"/>
        </w:rPr>
        <w:t xml:space="preserve">and to keep your memory alive. </w:t>
      </w:r>
    </w:p>
    <w:p w14:paraId="27AD79D5" w14:textId="2DE4DC58" w:rsidR="00087068" w:rsidRDefault="00087068" w:rsidP="006B510E">
      <w:pPr>
        <w:jc w:val="both"/>
        <w:rPr>
          <w:rFonts w:ascii="Times New Roman" w:eastAsiaTheme="majorEastAsia" w:hAnsi="Times New Roman" w:cs="Times New Roman"/>
          <w:sz w:val="24"/>
          <w:szCs w:val="24"/>
        </w:rPr>
      </w:pPr>
    </w:p>
    <w:p w14:paraId="3FE5DCA2" w14:textId="7A7CCB42" w:rsidR="003A707F" w:rsidRDefault="003A707F" w:rsidP="006B510E">
      <w:pPr>
        <w:jc w:val="both"/>
        <w:rPr>
          <w:rFonts w:ascii="Times New Roman" w:eastAsiaTheme="majorEastAsia" w:hAnsi="Times New Roman" w:cs="Times New Roman"/>
          <w:sz w:val="24"/>
          <w:szCs w:val="24"/>
        </w:rPr>
      </w:pPr>
    </w:p>
    <w:p w14:paraId="208E9552" w14:textId="77777777" w:rsidR="003A707F" w:rsidRDefault="003A707F" w:rsidP="006B510E">
      <w:pPr>
        <w:jc w:val="both"/>
        <w:rPr>
          <w:rFonts w:ascii="Times New Roman" w:eastAsiaTheme="majorEastAsia" w:hAnsi="Times New Roman" w:cs="Times New Roman"/>
          <w:sz w:val="24"/>
          <w:szCs w:val="24"/>
        </w:rPr>
      </w:pPr>
    </w:p>
    <w:p w14:paraId="22C87250" w14:textId="4D6B47C7" w:rsidR="00E808B8" w:rsidRPr="006B510E" w:rsidRDefault="00EB4496" w:rsidP="006B510E">
      <w:pPr>
        <w:jc w:val="both"/>
        <w:rPr>
          <w:rFonts w:ascii="Times New Roman" w:eastAsiaTheme="majorEastAsia" w:hAnsi="Times New Roman" w:cs="Times New Roman"/>
          <w:color w:val="2F5496" w:themeColor="accent1" w:themeShade="BF"/>
          <w:sz w:val="24"/>
          <w:szCs w:val="24"/>
        </w:rPr>
      </w:pPr>
      <w:r w:rsidRPr="006B510E">
        <w:rPr>
          <w:rFonts w:ascii="Times New Roman" w:eastAsiaTheme="majorEastAsia" w:hAnsi="Times New Roman" w:cs="Times New Roman"/>
          <w:color w:val="2F5496" w:themeColor="accent1" w:themeShade="BF"/>
          <w:sz w:val="24"/>
          <w:szCs w:val="24"/>
        </w:rPr>
        <w:br w:type="page"/>
      </w:r>
    </w:p>
    <w:p w14:paraId="411EEA2D" w14:textId="77777777" w:rsidR="003A707F" w:rsidRDefault="003A707F" w:rsidP="004D0C11">
      <w:pPr>
        <w:spacing w:line="360" w:lineRule="auto"/>
        <w:contextualSpacing/>
        <w:jc w:val="both"/>
        <w:rPr>
          <w:rFonts w:ascii="Times New Roman" w:eastAsia="Times New Roman" w:hAnsi="Times New Roman" w:cs="Times New Roman"/>
          <w:b/>
          <w:bCs/>
          <w:spacing w:val="-10"/>
          <w:kern w:val="28"/>
          <w:sz w:val="36"/>
          <w:szCs w:val="36"/>
        </w:rPr>
        <w:sectPr w:rsidR="003A707F" w:rsidSect="008C288B">
          <w:footerReference w:type="default" r:id="rId8"/>
          <w:footerReference w:type="first" r:id="rId9"/>
          <w:pgSz w:w="11906" w:h="16838"/>
          <w:pgMar w:top="1440" w:right="1440" w:bottom="1440" w:left="1440" w:header="708" w:footer="708" w:gutter="0"/>
          <w:pgNumType w:fmt="lowerRoman" w:start="0"/>
          <w:cols w:space="708"/>
          <w:titlePg/>
          <w:docGrid w:linePitch="360"/>
        </w:sectPr>
      </w:pPr>
    </w:p>
    <w:p w14:paraId="222795F0" w14:textId="282E9DC1" w:rsidR="004D0C11" w:rsidRPr="002A6FCD" w:rsidRDefault="004D0C11" w:rsidP="004D0C11">
      <w:pPr>
        <w:spacing w:line="360" w:lineRule="auto"/>
        <w:contextualSpacing/>
        <w:jc w:val="both"/>
        <w:rPr>
          <w:rFonts w:ascii="Times New Roman" w:eastAsia="Times New Roman" w:hAnsi="Times New Roman" w:cs="Times New Roman"/>
          <w:b/>
          <w:bCs/>
          <w:spacing w:val="-10"/>
          <w:kern w:val="28"/>
          <w:sz w:val="30"/>
          <w:szCs w:val="30"/>
        </w:rPr>
      </w:pPr>
      <w:r w:rsidRPr="002A6FCD">
        <w:rPr>
          <w:rFonts w:ascii="Times New Roman" w:eastAsia="Times New Roman" w:hAnsi="Times New Roman" w:cs="Times New Roman"/>
          <w:b/>
          <w:bCs/>
          <w:spacing w:val="-10"/>
          <w:kern w:val="28"/>
          <w:sz w:val="30"/>
          <w:szCs w:val="30"/>
        </w:rPr>
        <w:t xml:space="preserve">ELECTION CAMPAIGN FINANCING IN KENYA: ADDRESSING FINANCING FROM </w:t>
      </w:r>
      <w:r w:rsidR="00EE4778" w:rsidRPr="002A6FCD">
        <w:rPr>
          <w:rFonts w:ascii="Times New Roman" w:eastAsia="Times New Roman" w:hAnsi="Times New Roman" w:cs="Times New Roman"/>
          <w:b/>
          <w:bCs/>
          <w:spacing w:val="-10"/>
          <w:kern w:val="28"/>
          <w:sz w:val="30"/>
          <w:szCs w:val="30"/>
        </w:rPr>
        <w:t>PROCEEDS OF CORRPTION</w:t>
      </w:r>
      <w:r w:rsidRPr="002A6FCD">
        <w:rPr>
          <w:rFonts w:ascii="Times New Roman" w:eastAsia="Times New Roman" w:hAnsi="Times New Roman" w:cs="Times New Roman"/>
          <w:b/>
          <w:bCs/>
          <w:spacing w:val="-10"/>
          <w:kern w:val="28"/>
          <w:sz w:val="30"/>
          <w:szCs w:val="30"/>
        </w:rPr>
        <w:t xml:space="preserve"> THROUGH </w:t>
      </w:r>
      <w:r w:rsidR="007139C1" w:rsidRPr="002A6FCD">
        <w:rPr>
          <w:rFonts w:ascii="Times New Roman" w:eastAsia="Times New Roman" w:hAnsi="Times New Roman" w:cs="Times New Roman"/>
          <w:b/>
          <w:bCs/>
          <w:spacing w:val="-10"/>
          <w:kern w:val="28"/>
          <w:sz w:val="30"/>
          <w:szCs w:val="30"/>
        </w:rPr>
        <w:t>TRANSPARENCY IN DISCLOSURES</w:t>
      </w:r>
    </w:p>
    <w:p w14:paraId="0F53CCAD" w14:textId="77777777" w:rsidR="005B3C4B" w:rsidRPr="005B3C4B" w:rsidRDefault="005B3C4B" w:rsidP="005B3C4B">
      <w:pPr>
        <w:keepNext/>
        <w:keepLines/>
        <w:spacing w:before="240" w:after="0" w:line="360" w:lineRule="auto"/>
        <w:jc w:val="both"/>
        <w:outlineLvl w:val="0"/>
        <w:rPr>
          <w:rFonts w:ascii="Times New Roman" w:eastAsia="Times New Roman" w:hAnsi="Times New Roman" w:cs="Times New Roman"/>
          <w:b/>
          <w:bCs/>
          <w:color w:val="2F5496" w:themeColor="accent1" w:themeShade="BF"/>
          <w:sz w:val="32"/>
          <w:szCs w:val="32"/>
        </w:rPr>
      </w:pPr>
      <w:bookmarkStart w:id="8" w:name="_Toc65490059"/>
      <w:r w:rsidRPr="005B3C4B">
        <w:rPr>
          <w:rFonts w:ascii="Times New Roman" w:eastAsia="Times New Roman" w:hAnsi="Times New Roman" w:cs="Times New Roman"/>
          <w:b/>
          <w:bCs/>
          <w:color w:val="2F5496" w:themeColor="accent1" w:themeShade="BF"/>
          <w:sz w:val="32"/>
          <w:szCs w:val="32"/>
        </w:rPr>
        <w:t>CHAPTER 1</w:t>
      </w:r>
      <w:bookmarkEnd w:id="8"/>
      <w:r w:rsidRPr="005B3C4B">
        <w:rPr>
          <w:rFonts w:ascii="Times New Roman" w:eastAsia="Times New Roman" w:hAnsi="Times New Roman" w:cs="Times New Roman"/>
          <w:b/>
          <w:bCs/>
          <w:color w:val="2F5496" w:themeColor="accent1" w:themeShade="BF"/>
          <w:sz w:val="32"/>
          <w:szCs w:val="32"/>
        </w:rPr>
        <w:t xml:space="preserve"> </w:t>
      </w:r>
    </w:p>
    <w:p w14:paraId="1CDFC8EA" w14:textId="77777777" w:rsidR="005B3C4B" w:rsidRPr="005B3C4B" w:rsidRDefault="005B3C4B" w:rsidP="005B3C4B">
      <w:pPr>
        <w:keepNext/>
        <w:keepLines/>
        <w:numPr>
          <w:ilvl w:val="1"/>
          <w:numId w:val="18"/>
        </w:numPr>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9" w:name="_Toc65490060"/>
      <w:r w:rsidRPr="005B3C4B">
        <w:rPr>
          <w:rFonts w:ascii="Times New Roman" w:eastAsia="Times New Roman" w:hAnsi="Times New Roman" w:cs="Times New Roman"/>
          <w:b/>
          <w:bCs/>
          <w:color w:val="2F5496" w:themeColor="accent1" w:themeShade="BF"/>
          <w:sz w:val="26"/>
          <w:szCs w:val="26"/>
        </w:rPr>
        <w:t>INTRODUCTION</w:t>
      </w:r>
      <w:bookmarkEnd w:id="9"/>
    </w:p>
    <w:p w14:paraId="502B7819" w14:textId="5AE30D9D"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Campaign financing is a major concern when an election is on the horizon. Furthermore, the cost of running an election campaign keep rising. For instance, in the 2017 Kenyan elections, it is estimated that the cost of the election was north of half a billion dollars. Also, Kenya is plagued by corruption. In 2018, Kenya ranked at position 144 out of 180 countries in Transparency International’s Corruption Perception Index. Besides, it had a score of 27 on a scale where 100 represents a very clean country and 0 represents a highly corrupt country. In 2019, there was a near-stagnation. Kenya was given a score of 29 on the Corruption Perception Index. Furthermore, it is estimated by the Office of the Auditor-General that up to a third of the annual budget is lost to corruption. </w:t>
      </w:r>
    </w:p>
    <w:p w14:paraId="2EAB2EAD" w14:textId="67520492"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Scandals have rocked the nation putting into sharp focus the link between corruption and political finance in the country. Indeed, the Goldenberg and Anglo-leasing scandals laid bare that corrupt political financing is a challenge that requires to be addressed. The need for resources to finance political contenders fosters a context within which corrupt political finance can flourish. Besides, there has not been an Act dedicated to political finance for much of the country's existence. However, the Election Campaign Financing Act was passed in 2013. It covers five major areas, transparency requirements, sources of funding, expenditure regulation, oversight and enforcement and sanctions.</w:t>
      </w:r>
    </w:p>
    <w:p w14:paraId="782A6348" w14:textId="77777777"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Against this background and since Kenya is relatively new in the area of campaign finance regulation, this study seeks to analyse the current transparency requirements framework under the Act.</w:t>
      </w:r>
    </w:p>
    <w:p w14:paraId="0D2FC974"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0" w:name="_Toc65490061"/>
      <w:r w:rsidRPr="005B3C4B">
        <w:rPr>
          <w:rFonts w:ascii="Times New Roman" w:eastAsia="Calibri" w:hAnsi="Times New Roman" w:cs="Times New Roman"/>
          <w:b/>
          <w:bCs/>
          <w:color w:val="2F5496" w:themeColor="accent1" w:themeShade="BF"/>
          <w:sz w:val="26"/>
          <w:szCs w:val="26"/>
        </w:rPr>
        <w:t>STATEMENT OF THE PROBLEM</w:t>
      </w:r>
      <w:bookmarkEnd w:id="10"/>
    </w:p>
    <w:p w14:paraId="7D502A33" w14:textId="6CCD8CFB"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bCs/>
          <w:sz w:val="24"/>
          <w:szCs w:val="24"/>
        </w:rPr>
        <w:t xml:space="preserve">According to the public interest theory of government regulation, political financing regulation is meant to address negative externalities such as corruption. However, despite the Election Campaign Financing Act being enacted in 2013, Kenya's corruption levels have not improved. Consider in 2018, six years after the Act came into being, Kenya's corruption levels were a 27 on Transparency International's Corruption Perception Index. </w:t>
      </w:r>
      <w:r w:rsidRPr="005B3C4B">
        <w:rPr>
          <w:rFonts w:ascii="Times New Roman" w:eastAsia="Calibri" w:hAnsi="Times New Roman" w:cs="Times New Roman"/>
          <w:sz w:val="24"/>
          <w:szCs w:val="24"/>
        </w:rPr>
        <w:t xml:space="preserve">According to Transparency International, in 2018 Kenya was ranked as no 144 out of 180 countries. The following year, Kenya had a score of 29, an increase in levels of corruption. Furthermore, public money is often embezzled and redirected into political campaigns. For instance, it is reported that the proceeds of the Goldenberg Corruption Scandal were redirected into political campaigns. The Goldenberg Corruption Scandal involved fictitious exports of gold and diamonds form Kenya and resulted in the loss of huge sums of money from the public purse. Contracts involving large amounts of money were entered into and the government subsequently paid out money under these contracts. The money that was lost in this scheme was later used in funding political campaigns in Kenya in the 1992 general election. </w:t>
      </w:r>
      <w:r w:rsidRPr="005B3C4B">
        <w:rPr>
          <w:rFonts w:ascii="Times New Roman" w:eastAsia="Calibri" w:hAnsi="Times New Roman" w:cs="Times New Roman"/>
          <w:bCs/>
          <w:sz w:val="24"/>
          <w:szCs w:val="24"/>
        </w:rPr>
        <w:t xml:space="preserve">Also, there were inadequate or sometimes non-existent disclosures associated with the scandal which made it difficult to establish the amount of money from corrupt dealings that had been channelled into political campaigns. </w:t>
      </w:r>
      <w:r w:rsidRPr="005B3C4B">
        <w:rPr>
          <w:rFonts w:ascii="Times New Roman" w:eastAsia="Calibri" w:hAnsi="Times New Roman" w:cs="Times New Roman"/>
          <w:sz w:val="24"/>
          <w:szCs w:val="24"/>
        </w:rPr>
        <w:t xml:space="preserve">Therefore, the risk of corruption in political financing must be averted. Furthermore, with the rising costs associated with elections, the influence of money sourced from criminal activities can only increase if left unregulated. This is particularly a concern in Kenya where politics is capital intensive. Also, the electorate needs to make informed decisions when they elect a candidate on what their sources of funding are. This requires transparency on the part of political actors. Therefore, the question of whether the Election Campaign Financing Act's transparency provisions under </w:t>
      </w:r>
      <w:r w:rsidRPr="005B3C4B">
        <w:rPr>
          <w:rFonts w:ascii="Times New Roman" w:eastAsia="Calibri" w:hAnsi="Times New Roman" w:cs="Times New Roman"/>
          <w:i/>
          <w:iCs/>
          <w:sz w:val="24"/>
          <w:szCs w:val="24"/>
        </w:rPr>
        <w:t>Section 16</w:t>
      </w:r>
      <w:r w:rsidRPr="005B3C4B">
        <w:rPr>
          <w:rFonts w:ascii="Times New Roman" w:eastAsia="Calibri" w:hAnsi="Times New Roman" w:cs="Times New Roman"/>
          <w:sz w:val="24"/>
          <w:szCs w:val="24"/>
        </w:rPr>
        <w:t xml:space="preserve"> can root out corrupt political financing remains. Moreover, it allows the confidentiality of information relating to political financing. This study seeks to analyse the rationale behind campaign financing regulation. It also seeks to analyse how best to apply the principle of transparency in the context of political campaign financing to avert corruption.</w:t>
      </w:r>
    </w:p>
    <w:p w14:paraId="076FD62D" w14:textId="77777777" w:rsidR="005B3C4B" w:rsidRPr="005B3C4B" w:rsidRDefault="005B3C4B" w:rsidP="005B3C4B">
      <w:pPr>
        <w:keepNext/>
        <w:keepLines/>
        <w:numPr>
          <w:ilvl w:val="1"/>
          <w:numId w:val="18"/>
        </w:numPr>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11" w:name="_Toc65490062"/>
      <w:r w:rsidRPr="005B3C4B">
        <w:rPr>
          <w:rFonts w:ascii="Times New Roman" w:eastAsia="Times New Roman" w:hAnsi="Times New Roman" w:cs="Times New Roman"/>
          <w:b/>
          <w:bCs/>
          <w:color w:val="2F5496" w:themeColor="accent1" w:themeShade="BF"/>
          <w:sz w:val="26"/>
          <w:szCs w:val="26"/>
        </w:rPr>
        <w:t>JUSTIFICATION OF THE STUDY</w:t>
      </w:r>
      <w:bookmarkEnd w:id="11"/>
    </w:p>
    <w:p w14:paraId="68782256" w14:textId="6045A9E5" w:rsidR="005B3C4B" w:rsidRPr="005B3C4B" w:rsidRDefault="005B3C4B" w:rsidP="005B3C4B">
      <w:pPr>
        <w:spacing w:line="360" w:lineRule="auto"/>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This study seeks to examine political financing regulation in Kenya, under four categories,</w:t>
      </w:r>
      <w:r w:rsidRPr="005B3C4B">
        <w:rPr>
          <w:rFonts w:ascii="Times New Roman" w:eastAsia="Calibri" w:hAnsi="Times New Roman" w:cs="Times New Roman"/>
          <w:sz w:val="24"/>
          <w:szCs w:val="24"/>
        </w:rPr>
        <w:t xml:space="preserve"> rules on sources of funding, expenditure regulations, record-keeping and reporting requirements, disclosure requirements and oversight mechanisms and sanctions. </w:t>
      </w:r>
      <w:r w:rsidRPr="005B3C4B">
        <w:rPr>
          <w:rFonts w:ascii="Times New Roman" w:eastAsia="Calibri" w:hAnsi="Times New Roman" w:cs="Times New Roman"/>
          <w:bCs/>
          <w:sz w:val="24"/>
          <w:szCs w:val="24"/>
        </w:rPr>
        <w:t xml:space="preserve">  Furthermore, the study seeks to clarify how money from illicit sources such as the Goldenberg Corruption Scandal, could be channelled into political campaigns. Albeit the Election Campaign Financing Act is meant to address this problem, it falls short because its disclosure requirements do not necessitate that the financial information of political actors is disclosed to the public. Instead, under </w:t>
      </w:r>
      <w:r w:rsidRPr="005B3C4B">
        <w:rPr>
          <w:rFonts w:ascii="Times New Roman" w:eastAsia="Calibri" w:hAnsi="Times New Roman" w:cs="Times New Roman"/>
          <w:bCs/>
          <w:i/>
          <w:iCs/>
          <w:sz w:val="24"/>
          <w:szCs w:val="24"/>
        </w:rPr>
        <w:t>Section 16(5)</w:t>
      </w:r>
      <w:r w:rsidRPr="005B3C4B">
        <w:rPr>
          <w:rFonts w:ascii="Times New Roman" w:eastAsia="Calibri" w:hAnsi="Times New Roman" w:cs="Times New Roman"/>
          <w:bCs/>
          <w:sz w:val="24"/>
          <w:szCs w:val="24"/>
        </w:rPr>
        <w:t>, it allows this information to be kept confidential. Also, this Act was suspended from being applied in the 2017 general election by parliament. Furthermore, this impeded the effective implementation of campaign financing regulation. These factors combined would make it difficult to address the problem of the proceeds of corruption being used in political campaigns as occurred in the 1992 general elections.</w:t>
      </w:r>
      <w:r w:rsidRPr="005B3C4B">
        <w:rPr>
          <w:rFonts w:ascii="Times New Roman" w:eastAsia="Calibri" w:hAnsi="Times New Roman" w:cs="Times New Roman"/>
          <w:sz w:val="24"/>
          <w:szCs w:val="24"/>
          <w:vertAlign w:val="superscript"/>
        </w:rPr>
        <w:t xml:space="preserve">  </w:t>
      </w:r>
      <w:r w:rsidRPr="005B3C4B">
        <w:rPr>
          <w:rFonts w:ascii="Times New Roman" w:eastAsia="Calibri" w:hAnsi="Times New Roman" w:cs="Times New Roman"/>
          <w:bCs/>
          <w:sz w:val="24"/>
          <w:szCs w:val="24"/>
        </w:rPr>
        <w:t>Therefore, this study seeks to clarify the means of addressing the problem of money from corruption scandals and illegal activities being channelled into political campaigns.</w:t>
      </w:r>
    </w:p>
    <w:p w14:paraId="63CA1A9A"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2" w:name="_Toc65490063"/>
      <w:r w:rsidRPr="005B3C4B">
        <w:rPr>
          <w:rFonts w:ascii="Times New Roman" w:eastAsia="Calibri" w:hAnsi="Times New Roman" w:cs="Times New Roman"/>
          <w:b/>
          <w:bCs/>
          <w:color w:val="2F5496" w:themeColor="accent1" w:themeShade="BF"/>
          <w:sz w:val="26"/>
          <w:szCs w:val="26"/>
        </w:rPr>
        <w:t>SIGNIFICANCE OF THE STUDY</w:t>
      </w:r>
      <w:bookmarkEnd w:id="12"/>
    </w:p>
    <w:p w14:paraId="5B6B6C39" w14:textId="17DE0B03"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Campaign financing left unregulated is anathema to democracy. In addition, this may lead to the provision of lucrative contracts, licenses, or tax reductions in anticipation of large political donations. In the Kenyan context, these contracts may be awarded through dubious or illegal means and consequently, the money that is channelled into politics are the proceeds of crime or corruption scandals. Moreover, such schemes resulted in the Goldenberg Corruption Scandal. Further, campaign financing regulation is a method of stymying corruption by enhancing transparent conduct concerning elections. Therefore, this study seeks to alleviate and stop the negative effect of corruption in the electoral process.</w:t>
      </w:r>
    </w:p>
    <w:p w14:paraId="43239E39"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3" w:name="_Toc65490064"/>
      <w:r w:rsidRPr="005B3C4B">
        <w:rPr>
          <w:rFonts w:ascii="Times New Roman" w:eastAsia="Calibri" w:hAnsi="Times New Roman" w:cs="Times New Roman"/>
          <w:b/>
          <w:bCs/>
          <w:color w:val="2F5496" w:themeColor="accent1" w:themeShade="BF"/>
          <w:sz w:val="26"/>
          <w:szCs w:val="26"/>
        </w:rPr>
        <w:t>STATEMENT OF AIMS AND OBJECTIVES</w:t>
      </w:r>
      <w:bookmarkEnd w:id="13"/>
    </w:p>
    <w:p w14:paraId="4879D08A" w14:textId="010B0BFE"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This study seeks to establish how best campaign financing regulation can reduce the influence of the proceeds of corruption in politics. In particular, it will focus on the</w:t>
      </w:r>
      <w:r w:rsidR="004B37DE">
        <w:rPr>
          <w:rFonts w:ascii="Times New Roman" w:eastAsia="Calibri" w:hAnsi="Times New Roman" w:cs="Times New Roman"/>
          <w:sz w:val="24"/>
          <w:szCs w:val="24"/>
        </w:rPr>
        <w:t xml:space="preserve"> principle of transparency and the </w:t>
      </w:r>
      <w:r w:rsidRPr="005B3C4B">
        <w:rPr>
          <w:rFonts w:ascii="Times New Roman" w:eastAsia="Calibri" w:hAnsi="Times New Roman" w:cs="Times New Roman"/>
          <w:sz w:val="24"/>
          <w:szCs w:val="24"/>
        </w:rPr>
        <w:t>role of disclosure requirements.</w:t>
      </w:r>
    </w:p>
    <w:p w14:paraId="04422430" w14:textId="77777777" w:rsidR="005B3C4B" w:rsidRPr="005B3C4B" w:rsidRDefault="005B3C4B" w:rsidP="005B3C4B">
      <w:pPr>
        <w:keepNext/>
        <w:keepLines/>
        <w:numPr>
          <w:ilvl w:val="1"/>
          <w:numId w:val="18"/>
        </w:numPr>
        <w:spacing w:before="40" w:after="0" w:line="360" w:lineRule="auto"/>
        <w:outlineLvl w:val="1"/>
        <w:rPr>
          <w:rFonts w:ascii="Times New Roman" w:eastAsia="Calibri" w:hAnsi="Times New Roman" w:cs="Times New Roman"/>
          <w:b/>
          <w:bCs/>
          <w:color w:val="2F5496" w:themeColor="accent1" w:themeShade="BF"/>
          <w:sz w:val="26"/>
          <w:szCs w:val="26"/>
        </w:rPr>
      </w:pPr>
      <w:bookmarkStart w:id="14" w:name="_Toc65490065"/>
      <w:r w:rsidRPr="005B3C4B">
        <w:rPr>
          <w:rFonts w:ascii="Times New Roman" w:eastAsia="Calibri" w:hAnsi="Times New Roman" w:cs="Times New Roman"/>
          <w:b/>
          <w:bCs/>
          <w:color w:val="2F5496" w:themeColor="accent1" w:themeShade="BF"/>
          <w:sz w:val="26"/>
          <w:szCs w:val="26"/>
        </w:rPr>
        <w:t>OBJECTIVES OF THE STUDY</w:t>
      </w:r>
      <w:bookmarkEnd w:id="14"/>
    </w:p>
    <w:p w14:paraId="7873080C" w14:textId="77777777" w:rsidR="005B3C4B" w:rsidRPr="005B3C4B" w:rsidRDefault="005B3C4B" w:rsidP="005B3C4B">
      <w:pPr>
        <w:spacing w:line="360" w:lineRule="auto"/>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To achieve the aim of this study, this study is going to:</w:t>
      </w:r>
    </w:p>
    <w:p w14:paraId="7008A08E" w14:textId="77777777" w:rsidR="005B3C4B" w:rsidRPr="005B3C4B" w:rsidRDefault="005B3C4B" w:rsidP="005B3C4B">
      <w:pPr>
        <w:numPr>
          <w:ilvl w:val="0"/>
          <w:numId w:val="19"/>
        </w:numPr>
        <w:spacing w:after="0" w:line="360" w:lineRule="auto"/>
        <w:contextualSpacing/>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Assess the role and impact of election campaign financing regulation in preventing the proceeds of corruption from funding politics in Kenya.</w:t>
      </w:r>
    </w:p>
    <w:p w14:paraId="16044C84" w14:textId="77777777" w:rsidR="005B3C4B" w:rsidRPr="005B3C4B" w:rsidRDefault="005B3C4B" w:rsidP="005B3C4B">
      <w:pPr>
        <w:numPr>
          <w:ilvl w:val="0"/>
          <w:numId w:val="19"/>
        </w:numPr>
        <w:spacing w:after="0" w:line="360" w:lineRule="auto"/>
        <w:contextualSpacing/>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To determine the extent disclosure requirements can be applied in preventing the proceeds of corruption from financing political campaigns in Kenya.</w:t>
      </w:r>
    </w:p>
    <w:p w14:paraId="3DF83134" w14:textId="2D3F94EC" w:rsidR="005B3C4B" w:rsidRPr="005B3C4B" w:rsidRDefault="005B3C4B" w:rsidP="005B3C4B">
      <w:pPr>
        <w:numPr>
          <w:ilvl w:val="0"/>
          <w:numId w:val="19"/>
        </w:numPr>
        <w:spacing w:after="0" w:line="360" w:lineRule="auto"/>
        <w:contextualSpacing/>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To draw on the United States on the application on disclosure requirements in campaign financing regulation.</w:t>
      </w:r>
    </w:p>
    <w:p w14:paraId="75847C24" w14:textId="77777777" w:rsidR="005B3C4B" w:rsidRPr="005B3C4B" w:rsidRDefault="005B3C4B" w:rsidP="005B3C4B">
      <w:pPr>
        <w:keepNext/>
        <w:keepLines/>
        <w:numPr>
          <w:ilvl w:val="1"/>
          <w:numId w:val="18"/>
        </w:numPr>
        <w:spacing w:before="40" w:after="0" w:line="360" w:lineRule="auto"/>
        <w:outlineLvl w:val="1"/>
        <w:rPr>
          <w:rFonts w:ascii="Times New Roman" w:eastAsia="Calibri" w:hAnsi="Times New Roman" w:cs="Times New Roman"/>
          <w:b/>
          <w:bCs/>
          <w:color w:val="2F5496" w:themeColor="accent1" w:themeShade="BF"/>
          <w:sz w:val="26"/>
          <w:szCs w:val="26"/>
        </w:rPr>
      </w:pPr>
      <w:bookmarkStart w:id="15" w:name="_Toc65490066"/>
      <w:r w:rsidRPr="005B3C4B">
        <w:rPr>
          <w:rFonts w:ascii="Times New Roman" w:eastAsia="Calibri" w:hAnsi="Times New Roman" w:cs="Times New Roman"/>
          <w:b/>
          <w:bCs/>
          <w:color w:val="2F5496" w:themeColor="accent1" w:themeShade="BF"/>
          <w:sz w:val="26"/>
          <w:szCs w:val="26"/>
        </w:rPr>
        <w:t>RESEARCH QUESTIONS</w:t>
      </w:r>
      <w:bookmarkEnd w:id="15"/>
    </w:p>
    <w:p w14:paraId="769B72A0" w14:textId="77777777" w:rsidR="005B3C4B" w:rsidRPr="005B3C4B" w:rsidRDefault="005B3C4B" w:rsidP="005B3C4B">
      <w:pPr>
        <w:numPr>
          <w:ilvl w:val="0"/>
          <w:numId w:val="20"/>
        </w:numPr>
        <w:spacing w:after="0" w:line="360" w:lineRule="auto"/>
        <w:contextualSpacing/>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Whether campaign financing regulation is effectively preventing the proceeds of corruption from financing political campaigns in Kenya?</w:t>
      </w:r>
    </w:p>
    <w:p w14:paraId="44896693" w14:textId="77777777" w:rsidR="005B3C4B" w:rsidRPr="005B3C4B" w:rsidRDefault="005B3C4B" w:rsidP="005B3C4B">
      <w:pPr>
        <w:numPr>
          <w:ilvl w:val="0"/>
          <w:numId w:val="20"/>
        </w:numPr>
        <w:spacing w:after="0" w:line="360" w:lineRule="auto"/>
        <w:contextualSpacing/>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How does the United States apply disclosure requirements in preventing proceeds form corruption from financing political campaigns?</w:t>
      </w:r>
    </w:p>
    <w:p w14:paraId="6630F861" w14:textId="77777777" w:rsidR="005B3C4B" w:rsidRPr="005B3C4B" w:rsidRDefault="005B3C4B" w:rsidP="005B3C4B">
      <w:pPr>
        <w:numPr>
          <w:ilvl w:val="0"/>
          <w:numId w:val="20"/>
        </w:numPr>
        <w:spacing w:after="0" w:line="360" w:lineRule="auto"/>
        <w:contextualSpacing/>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 xml:space="preserve">What is the appropriate application of disclosure requirements in Kenya? </w:t>
      </w:r>
    </w:p>
    <w:p w14:paraId="7FB59F6A"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6" w:name="_Toc65490067"/>
      <w:r w:rsidRPr="005B3C4B">
        <w:rPr>
          <w:rFonts w:ascii="Times New Roman" w:eastAsia="Calibri" w:hAnsi="Times New Roman" w:cs="Times New Roman"/>
          <w:b/>
          <w:bCs/>
          <w:color w:val="2F5496" w:themeColor="accent1" w:themeShade="BF"/>
          <w:sz w:val="26"/>
          <w:szCs w:val="26"/>
        </w:rPr>
        <w:t>HYPOTHESIS</w:t>
      </w:r>
      <w:bookmarkEnd w:id="16"/>
    </w:p>
    <w:p w14:paraId="75B1A136" w14:textId="2EA5CCC7" w:rsidR="005B3C4B" w:rsidRPr="005B3C4B" w:rsidRDefault="00206271" w:rsidP="005B3C4B">
      <w:pPr>
        <w:numPr>
          <w:ilvl w:val="0"/>
          <w:numId w:val="21"/>
        </w:num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Disclosure of political financing in Keny</w:t>
      </w:r>
      <w:r w:rsidR="001234CB">
        <w:rPr>
          <w:rFonts w:ascii="Times New Roman" w:eastAsia="Calibri" w:hAnsi="Times New Roman" w:cs="Times New Roman"/>
          <w:sz w:val="24"/>
          <w:szCs w:val="24"/>
        </w:rPr>
        <w:t>a, is inadequate</w:t>
      </w:r>
      <w:r w:rsidR="00FC7C3D">
        <w:rPr>
          <w:rFonts w:ascii="Times New Roman" w:eastAsia="Calibri" w:hAnsi="Times New Roman" w:cs="Times New Roman"/>
          <w:sz w:val="24"/>
          <w:szCs w:val="24"/>
        </w:rPr>
        <w:t xml:space="preserve"> in preventing funding </w:t>
      </w:r>
      <w:r w:rsidR="009F7A45">
        <w:rPr>
          <w:rFonts w:ascii="Times New Roman" w:eastAsia="Calibri" w:hAnsi="Times New Roman" w:cs="Times New Roman"/>
          <w:sz w:val="24"/>
          <w:szCs w:val="24"/>
        </w:rPr>
        <w:t>sourced from corruption</w:t>
      </w:r>
      <w:r w:rsidR="001234CB">
        <w:rPr>
          <w:rFonts w:ascii="Times New Roman" w:eastAsia="Calibri" w:hAnsi="Times New Roman" w:cs="Times New Roman"/>
          <w:sz w:val="24"/>
          <w:szCs w:val="24"/>
        </w:rPr>
        <w:t xml:space="preserve"> because </w:t>
      </w:r>
      <w:r w:rsidR="00FC7C3D">
        <w:rPr>
          <w:rFonts w:ascii="Times New Roman" w:eastAsia="Calibri" w:hAnsi="Times New Roman" w:cs="Times New Roman"/>
          <w:sz w:val="24"/>
          <w:szCs w:val="24"/>
        </w:rPr>
        <w:t>essential information is kept confidential.</w:t>
      </w:r>
    </w:p>
    <w:p w14:paraId="3A8290A0" w14:textId="77777777" w:rsidR="005B3C4B" w:rsidRPr="005B3C4B" w:rsidRDefault="005B3C4B" w:rsidP="005B3C4B">
      <w:pPr>
        <w:numPr>
          <w:ilvl w:val="0"/>
          <w:numId w:val="21"/>
        </w:numPr>
        <w:spacing w:after="0" w:line="360" w:lineRule="auto"/>
        <w:contextualSpacing/>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There is no elaborate jurisprudence regarding campaign financing regulation in Kenya.</w:t>
      </w:r>
    </w:p>
    <w:p w14:paraId="3DF31547" w14:textId="06A4374F" w:rsidR="005B3C4B" w:rsidRPr="005B3C4B" w:rsidRDefault="005B3C4B" w:rsidP="005B3C4B">
      <w:pPr>
        <w:numPr>
          <w:ilvl w:val="0"/>
          <w:numId w:val="21"/>
        </w:numPr>
        <w:spacing w:after="0" w:line="360" w:lineRule="auto"/>
        <w:contextualSpacing/>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United States has precedent on election campaign financing</w:t>
      </w:r>
      <w:r w:rsidR="00A771AF">
        <w:rPr>
          <w:rFonts w:ascii="Times New Roman" w:eastAsia="Calibri" w:hAnsi="Times New Roman" w:cs="Times New Roman"/>
          <w:sz w:val="24"/>
          <w:szCs w:val="24"/>
        </w:rPr>
        <w:t xml:space="preserve"> that can address the problem of corruption</w:t>
      </w:r>
      <w:r w:rsidRPr="005B3C4B">
        <w:rPr>
          <w:rFonts w:ascii="Times New Roman" w:eastAsia="Calibri" w:hAnsi="Times New Roman" w:cs="Times New Roman"/>
          <w:sz w:val="24"/>
          <w:szCs w:val="24"/>
        </w:rPr>
        <w:t>.</w:t>
      </w:r>
    </w:p>
    <w:p w14:paraId="318425C0"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7" w:name="_Toc65490068"/>
      <w:r w:rsidRPr="005B3C4B">
        <w:rPr>
          <w:rFonts w:ascii="Times New Roman" w:eastAsia="Calibri" w:hAnsi="Times New Roman" w:cs="Times New Roman"/>
          <w:b/>
          <w:bCs/>
          <w:color w:val="2F5496" w:themeColor="accent1" w:themeShade="BF"/>
          <w:sz w:val="26"/>
          <w:szCs w:val="26"/>
        </w:rPr>
        <w:t>THEORETICAL FRAMEWORK</w:t>
      </w:r>
      <w:bookmarkEnd w:id="17"/>
    </w:p>
    <w:p w14:paraId="03F753AD" w14:textId="3C592711" w:rsidR="006E655D" w:rsidRDefault="00245C85" w:rsidP="005B3C4B">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liberal democracy theory entails the premise that people participate over their own affairs. </w:t>
      </w:r>
      <w:r w:rsidR="0019232B">
        <w:rPr>
          <w:rFonts w:ascii="Times New Roman" w:eastAsia="Calibri" w:hAnsi="Times New Roman" w:cs="Times New Roman"/>
          <w:sz w:val="24"/>
          <w:szCs w:val="24"/>
        </w:rPr>
        <w:t xml:space="preserve">Additionally, it is </w:t>
      </w:r>
      <w:r w:rsidR="0019232B">
        <w:rPr>
          <w:rFonts w:ascii="Times New Roman" w:hAnsi="Times New Roman" w:cs="Times New Roman"/>
          <w:sz w:val="24"/>
          <w:szCs w:val="24"/>
        </w:rPr>
        <w:t xml:space="preserve">characterised by free and fair elections, the rule of law, the separation of powers and the protection of the basic liberties of the freedom of speech, the freedom of assembly, the freedom of religion and the right to property. </w:t>
      </w:r>
      <w:r w:rsidR="001F4F9C">
        <w:rPr>
          <w:rFonts w:ascii="Times New Roman" w:eastAsia="Calibri" w:hAnsi="Times New Roman" w:cs="Times New Roman"/>
          <w:sz w:val="24"/>
          <w:szCs w:val="24"/>
        </w:rPr>
        <w:t>Information is required in order for citiz</w:t>
      </w:r>
      <w:r w:rsidR="00E602CD">
        <w:rPr>
          <w:rFonts w:ascii="Times New Roman" w:eastAsia="Calibri" w:hAnsi="Times New Roman" w:cs="Times New Roman"/>
          <w:sz w:val="24"/>
          <w:szCs w:val="24"/>
        </w:rPr>
        <w:t>e</w:t>
      </w:r>
      <w:r w:rsidR="001F4F9C">
        <w:rPr>
          <w:rFonts w:ascii="Times New Roman" w:eastAsia="Calibri" w:hAnsi="Times New Roman" w:cs="Times New Roman"/>
          <w:sz w:val="24"/>
          <w:szCs w:val="24"/>
        </w:rPr>
        <w:t xml:space="preserve">ns to evaluate the best course of action in their </w:t>
      </w:r>
      <w:r w:rsidR="00E602CD">
        <w:rPr>
          <w:rFonts w:ascii="Times New Roman" w:eastAsia="Calibri" w:hAnsi="Times New Roman" w:cs="Times New Roman"/>
          <w:sz w:val="24"/>
          <w:szCs w:val="24"/>
        </w:rPr>
        <w:t xml:space="preserve">participation in a democracy. </w:t>
      </w:r>
      <w:r>
        <w:rPr>
          <w:rFonts w:ascii="Times New Roman" w:eastAsia="Calibri" w:hAnsi="Times New Roman" w:cs="Times New Roman"/>
          <w:sz w:val="24"/>
          <w:szCs w:val="24"/>
        </w:rPr>
        <w:t>Naturally, for the participation of citizens over their own affairs, transparency is essential in political financing regulation. This information to enable th</w:t>
      </w:r>
      <w:r w:rsidR="001827DF">
        <w:rPr>
          <w:rFonts w:ascii="Times New Roman" w:eastAsia="Calibri" w:hAnsi="Times New Roman" w:cs="Times New Roman"/>
          <w:sz w:val="24"/>
          <w:szCs w:val="24"/>
        </w:rPr>
        <w:t>e citizenry to</w:t>
      </w:r>
      <w:r>
        <w:rPr>
          <w:rFonts w:ascii="Times New Roman" w:eastAsia="Calibri" w:hAnsi="Times New Roman" w:cs="Times New Roman"/>
          <w:sz w:val="24"/>
          <w:szCs w:val="24"/>
        </w:rPr>
        <w:t xml:space="preserve"> make informed decisions. </w:t>
      </w:r>
    </w:p>
    <w:p w14:paraId="35A9123D" w14:textId="2DBD837D"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 xml:space="preserve">The public interest theory of government </w:t>
      </w:r>
      <w:r w:rsidR="008B0143">
        <w:rPr>
          <w:rFonts w:ascii="Times New Roman" w:eastAsia="Times New Roman" w:hAnsi="Times New Roman" w:cs="Times New Roman"/>
          <w:sz w:val="24"/>
          <w:szCs w:val="24"/>
        </w:rPr>
        <w:t>regulation</w:t>
      </w:r>
      <w:r w:rsidR="009362EF">
        <w:rPr>
          <w:rFonts w:ascii="Times New Roman" w:eastAsia="Times New Roman" w:hAnsi="Times New Roman" w:cs="Times New Roman"/>
          <w:sz w:val="24"/>
          <w:szCs w:val="24"/>
        </w:rPr>
        <w:t xml:space="preserve"> </w:t>
      </w:r>
      <w:r w:rsidRPr="005B3C4B">
        <w:rPr>
          <w:rFonts w:ascii="Times New Roman" w:eastAsia="Times New Roman" w:hAnsi="Times New Roman" w:cs="Times New Roman"/>
          <w:sz w:val="24"/>
          <w:szCs w:val="24"/>
        </w:rPr>
        <w:t>advances the claim that the purpose of political campaign financing regulation is to correct inefficiencies in politic</w:t>
      </w:r>
      <w:r w:rsidR="009362EF">
        <w:rPr>
          <w:rFonts w:ascii="Times New Roman" w:eastAsia="Times New Roman" w:hAnsi="Times New Roman" w:cs="Times New Roman"/>
          <w:sz w:val="24"/>
          <w:szCs w:val="24"/>
        </w:rPr>
        <w:t>al financing</w:t>
      </w:r>
      <w:r w:rsidRPr="005B3C4B">
        <w:rPr>
          <w:rFonts w:ascii="Times New Roman" w:eastAsia="Times New Roman" w:hAnsi="Times New Roman" w:cs="Times New Roman"/>
          <w:sz w:val="24"/>
          <w:szCs w:val="24"/>
        </w:rPr>
        <w:t>. Additionally, corruption is highlighted as one such inefficiency.</w:t>
      </w:r>
      <w:r w:rsidRPr="005B3C4B">
        <w:rPr>
          <w:rFonts w:ascii="Times New Roman" w:eastAsia="Times New Roman" w:hAnsi="Times New Roman" w:cs="Times New Roman"/>
          <w:sz w:val="24"/>
          <w:szCs w:val="24"/>
          <w:vertAlign w:val="superscript"/>
        </w:rPr>
        <w:t xml:space="preserve"> </w:t>
      </w:r>
      <w:r w:rsidRPr="005B3C4B">
        <w:rPr>
          <w:rFonts w:ascii="Times New Roman" w:eastAsia="Times New Roman" w:hAnsi="Times New Roman" w:cs="Times New Roman"/>
          <w:sz w:val="24"/>
          <w:szCs w:val="24"/>
        </w:rPr>
        <w:t xml:space="preserve"> The aim to correct market failures may be a response to the citizens’ demands for action. Admittedly, this theory is based on three assumptions;</w:t>
      </w:r>
      <w:r w:rsidRPr="005B3C4B">
        <w:rPr>
          <w:rFonts w:ascii="Times New Roman" w:eastAsia="Calibri" w:hAnsi="Times New Roman" w:cs="Times New Roman"/>
          <w:sz w:val="24"/>
          <w:szCs w:val="24"/>
        </w:rPr>
        <w:t xml:space="preserve"> </w:t>
      </w:r>
      <w:r w:rsidRPr="005B3C4B">
        <w:rPr>
          <w:rFonts w:ascii="Times New Roman" w:eastAsia="Times New Roman" w:hAnsi="Times New Roman" w:cs="Times New Roman"/>
          <w:sz w:val="24"/>
          <w:szCs w:val="24"/>
        </w:rPr>
        <w:t>there exists a benevolent state; there is a clear definition of what a market failure is and that there exist demands from the public to address market failures.</w:t>
      </w:r>
    </w:p>
    <w:p w14:paraId="322D7FAF" w14:textId="3073FECB"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The private interest theory of regulation posits that regulation is undertaken to achieve the goals of powerful groups rather than a greater social good per se. Also, these interest groups may be political parties, civil </w:t>
      </w:r>
      <w:proofErr w:type="gramStart"/>
      <w:r w:rsidRPr="005B3C4B">
        <w:rPr>
          <w:rFonts w:ascii="Times New Roman" w:eastAsia="Calibri" w:hAnsi="Times New Roman" w:cs="Times New Roman"/>
          <w:sz w:val="24"/>
          <w:szCs w:val="24"/>
        </w:rPr>
        <w:t>society</w:t>
      </w:r>
      <w:proofErr w:type="gramEnd"/>
      <w:r w:rsidRPr="005B3C4B">
        <w:rPr>
          <w:rFonts w:ascii="Times New Roman" w:eastAsia="Calibri" w:hAnsi="Times New Roman" w:cs="Times New Roman"/>
          <w:sz w:val="24"/>
          <w:szCs w:val="24"/>
        </w:rPr>
        <w:t xml:space="preserve"> or regional actors just to name a few. Furthermore, under this theory, an equilibrium level of regulation is dependent on the forces of supply and demand. Demand stems from the interest groups that would benefit from regulation. Supply is dependent on political influence. That is the ability of interest groups to have their goals enunciated and expressed as policy. </w:t>
      </w:r>
    </w:p>
    <w:p w14:paraId="16882808" w14:textId="13FCDED3"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egalitarian theory acknowledges that there is an inequality of resources and that this has an impact on political processes. The egalitarian theory seeks to level the playing field between the rich and the poor. Furthermore, the egalitarian theory seeks to prevent a situation where wealthy donors have a huge influence over legislation by virtue of their donations. They believe that equalization can be achieved through election campaign financing. Egalitarians believe that the rights of individuals should not solely be looked at through the paradigm that they exist in a vacuum. Rather, they are concerned with the rights of individuals relative to the rights of others. Furthermore, they believe that equalization in the political process can be achieved through campaign financing regulation.</w:t>
      </w:r>
    </w:p>
    <w:p w14:paraId="00746B04"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18" w:name="_Toc65490069"/>
      <w:r w:rsidRPr="005B3C4B">
        <w:rPr>
          <w:rFonts w:ascii="Times New Roman" w:eastAsia="Calibri" w:hAnsi="Times New Roman" w:cs="Times New Roman"/>
          <w:b/>
          <w:bCs/>
          <w:color w:val="2F5496" w:themeColor="accent1" w:themeShade="BF"/>
          <w:sz w:val="26"/>
          <w:szCs w:val="26"/>
        </w:rPr>
        <w:t>RESEARCH METHODOLOGY</w:t>
      </w:r>
      <w:bookmarkEnd w:id="18"/>
    </w:p>
    <w:p w14:paraId="0D3A1D19" w14:textId="05EEF45D" w:rsidR="005B3C4B" w:rsidRPr="005B3C4B" w:rsidRDefault="005B3C4B" w:rsidP="005B3C4B">
      <w:pPr>
        <w:spacing w:line="360" w:lineRule="auto"/>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This study will adopt a doctrinal research methodology</w:t>
      </w:r>
      <w:r w:rsidR="00E66E5B">
        <w:rPr>
          <w:rFonts w:ascii="Times New Roman" w:eastAsia="Calibri" w:hAnsi="Times New Roman" w:cs="Times New Roman"/>
          <w:bCs/>
          <w:sz w:val="24"/>
          <w:szCs w:val="24"/>
        </w:rPr>
        <w:t xml:space="preserve"> </w:t>
      </w:r>
      <w:r w:rsidR="00C0516D">
        <w:rPr>
          <w:rFonts w:ascii="Times New Roman" w:eastAsia="Calibri" w:hAnsi="Times New Roman" w:cs="Times New Roman"/>
          <w:bCs/>
          <w:sz w:val="24"/>
          <w:szCs w:val="24"/>
        </w:rPr>
        <w:t>and comparative law</w:t>
      </w:r>
      <w:r w:rsidRPr="005B3C4B">
        <w:rPr>
          <w:rFonts w:ascii="Times New Roman" w:eastAsia="Calibri" w:hAnsi="Times New Roman" w:cs="Times New Roman"/>
          <w:bCs/>
          <w:sz w:val="24"/>
          <w:szCs w:val="24"/>
        </w:rPr>
        <w:t xml:space="preserve">. It entails the review and analysis of existing literature including primary and </w:t>
      </w:r>
      <w:r w:rsidR="00C0516D">
        <w:rPr>
          <w:rFonts w:ascii="Times New Roman" w:eastAsia="Calibri" w:hAnsi="Times New Roman" w:cs="Times New Roman"/>
          <w:bCs/>
          <w:sz w:val="24"/>
          <w:szCs w:val="24"/>
        </w:rPr>
        <w:t>secondary</w:t>
      </w:r>
      <w:r w:rsidRPr="00D568BA">
        <w:rPr>
          <w:rFonts w:ascii="Times New Roman" w:eastAsia="Calibri" w:hAnsi="Times New Roman" w:cs="Times New Roman"/>
          <w:bCs/>
          <w:color w:val="FF0000"/>
          <w:sz w:val="24"/>
          <w:szCs w:val="24"/>
        </w:rPr>
        <w:t xml:space="preserve"> </w:t>
      </w:r>
      <w:r w:rsidRPr="005B3C4B">
        <w:rPr>
          <w:rFonts w:ascii="Times New Roman" w:eastAsia="Calibri" w:hAnsi="Times New Roman" w:cs="Times New Roman"/>
          <w:bCs/>
          <w:sz w:val="24"/>
          <w:szCs w:val="24"/>
        </w:rPr>
        <w:t xml:space="preserve">sources. Furthermore, this study will include a comparative analysis between the Kenyan and United States jurisdictions. Case law, statutes, books, journals, the Constitution, reports, internet resources and other relevant material will be utilised. </w:t>
      </w:r>
    </w:p>
    <w:p w14:paraId="097AF4BE" w14:textId="77777777" w:rsidR="005B3C4B" w:rsidRPr="005B3C4B" w:rsidRDefault="005B3C4B" w:rsidP="005B3C4B">
      <w:pPr>
        <w:keepNext/>
        <w:keepLines/>
        <w:numPr>
          <w:ilvl w:val="1"/>
          <w:numId w:val="18"/>
        </w:numPr>
        <w:spacing w:before="40" w:after="0" w:line="360" w:lineRule="auto"/>
        <w:outlineLvl w:val="1"/>
        <w:rPr>
          <w:rFonts w:ascii="Times New Roman" w:eastAsia="Times New Roman" w:hAnsi="Times New Roman" w:cs="Times New Roman"/>
          <w:b/>
          <w:bCs/>
          <w:color w:val="2F5496" w:themeColor="accent1" w:themeShade="BF"/>
          <w:sz w:val="26"/>
          <w:szCs w:val="26"/>
        </w:rPr>
      </w:pPr>
      <w:bookmarkStart w:id="19" w:name="_Toc65490070"/>
      <w:r w:rsidRPr="005B3C4B">
        <w:rPr>
          <w:rFonts w:ascii="Times New Roman" w:eastAsia="Times New Roman" w:hAnsi="Times New Roman" w:cs="Times New Roman"/>
          <w:b/>
          <w:bCs/>
          <w:color w:val="2F5496" w:themeColor="accent1" w:themeShade="BF"/>
          <w:sz w:val="26"/>
          <w:szCs w:val="26"/>
        </w:rPr>
        <w:t>LITERATURE REVIEW</w:t>
      </w:r>
      <w:bookmarkEnd w:id="19"/>
    </w:p>
    <w:p w14:paraId="4D0BE5E4" w14:textId="139F4674"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Reid notes that the fact that elections are increasingly costly is a credible concern. Furthermore, she states that wealthy individuals and entities may have a disproportionate influence on legislators, electoral </w:t>
      </w:r>
      <w:proofErr w:type="gramStart"/>
      <w:r w:rsidRPr="005B3C4B">
        <w:rPr>
          <w:rFonts w:ascii="Times New Roman" w:eastAsia="Calibri" w:hAnsi="Times New Roman" w:cs="Times New Roman"/>
          <w:sz w:val="24"/>
          <w:szCs w:val="24"/>
        </w:rPr>
        <w:t>debate</w:t>
      </w:r>
      <w:proofErr w:type="gramEnd"/>
      <w:r w:rsidRPr="005B3C4B">
        <w:rPr>
          <w:rFonts w:ascii="Times New Roman" w:eastAsia="Calibri" w:hAnsi="Times New Roman" w:cs="Times New Roman"/>
          <w:sz w:val="24"/>
          <w:szCs w:val="24"/>
        </w:rPr>
        <w:t xml:space="preserve"> and election outcomes if campaign financing is not regulated. Furthermore, she distinguishes the quid pro quo type of corruption from subtler forms of corruption such as privileged access.</w:t>
      </w:r>
    </w:p>
    <w:p w14:paraId="5C7F3B3F" w14:textId="270E3D80"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Dembitskiy is of the view that when campaign finance is viewed as speech, the Courts are likely to strike down limits on money in politics. However, where campaign finance is viewed as a manner of speech, the Courts are likely to put limits on the appearance of corruption. Therefore, considering elections to be administrative matters where the objective is the prevention of corruption is conducive for stymying corruption in elections.</w:t>
      </w:r>
    </w:p>
    <w:p w14:paraId="1810D920" w14:textId="64B6C436"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Fisher opines that regulation of political finance in some cases stems from the public outcry in the wake of political scandals. He analyses Britain in this context. He is quick to add, however, that regulation is not the silver bullet to increase public confidence and trust in the political campaign financing system nor the political system.</w:t>
      </w:r>
    </w:p>
    <w:p w14:paraId="5966500E" w14:textId="4CCD7E80"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Jiang states that disclosure requirements advance informational interest. They inform voters about the financiers of certain political messages. Furthermore, he states that informational interest concerning disclosure outweighs the freedom of speech of political financing donors.</w:t>
      </w:r>
    </w:p>
    <w:p w14:paraId="451A021A" w14:textId="3EF112C2"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Mwangi opines that political corruption in Kenya has harmed political participation, rule of law, </w:t>
      </w:r>
      <w:proofErr w:type="gramStart"/>
      <w:r w:rsidRPr="005B3C4B">
        <w:rPr>
          <w:rFonts w:ascii="Times New Roman" w:eastAsia="Calibri" w:hAnsi="Times New Roman" w:cs="Times New Roman"/>
          <w:sz w:val="24"/>
          <w:szCs w:val="24"/>
        </w:rPr>
        <w:t>accountability</w:t>
      </w:r>
      <w:proofErr w:type="gramEnd"/>
      <w:r w:rsidRPr="005B3C4B">
        <w:rPr>
          <w:rFonts w:ascii="Times New Roman" w:eastAsia="Calibri" w:hAnsi="Times New Roman" w:cs="Times New Roman"/>
          <w:sz w:val="24"/>
          <w:szCs w:val="24"/>
        </w:rPr>
        <w:t xml:space="preserve"> and transparency. He states that corruption in political finance has been increased in the multiparty era. However, he is quick to add that the multiparty era has created new avenues to fight corruption.</w:t>
      </w:r>
    </w:p>
    <w:p w14:paraId="11CF7132" w14:textId="77777777" w:rsidR="005B3C4B" w:rsidRPr="005B3C4B" w:rsidRDefault="005B3C4B" w:rsidP="005B3C4B">
      <w:pPr>
        <w:keepNext/>
        <w:keepLines/>
        <w:numPr>
          <w:ilvl w:val="1"/>
          <w:numId w:val="18"/>
        </w:numPr>
        <w:spacing w:before="40" w:after="0" w:line="360" w:lineRule="auto"/>
        <w:outlineLvl w:val="1"/>
        <w:rPr>
          <w:rFonts w:ascii="Times New Roman" w:eastAsia="Calibri" w:hAnsi="Times New Roman" w:cs="Times New Roman"/>
          <w:b/>
          <w:bCs/>
          <w:color w:val="2F5496" w:themeColor="accent1" w:themeShade="BF"/>
          <w:sz w:val="26"/>
          <w:szCs w:val="26"/>
        </w:rPr>
      </w:pPr>
      <w:bookmarkStart w:id="20" w:name="_Toc65490071"/>
      <w:r w:rsidRPr="005B3C4B">
        <w:rPr>
          <w:rFonts w:ascii="Times New Roman" w:eastAsia="Calibri" w:hAnsi="Times New Roman" w:cs="Times New Roman"/>
          <w:b/>
          <w:bCs/>
          <w:color w:val="2F5496" w:themeColor="accent1" w:themeShade="BF"/>
          <w:sz w:val="26"/>
          <w:szCs w:val="26"/>
        </w:rPr>
        <w:t>LIMITATIONS</w:t>
      </w:r>
      <w:bookmarkEnd w:id="20"/>
    </w:p>
    <w:p w14:paraId="5E364528" w14:textId="77777777" w:rsidR="005B3C4B" w:rsidRPr="005B3C4B" w:rsidRDefault="005B3C4B" w:rsidP="005B3C4B">
      <w:pPr>
        <w:spacing w:line="360" w:lineRule="auto"/>
        <w:jc w:val="both"/>
        <w:rPr>
          <w:rFonts w:ascii="Times New Roman" w:eastAsia="Calibri" w:hAnsi="Times New Roman" w:cs="Times New Roman"/>
          <w:bCs/>
          <w:sz w:val="24"/>
          <w:szCs w:val="24"/>
        </w:rPr>
      </w:pPr>
      <w:r w:rsidRPr="005B3C4B">
        <w:rPr>
          <w:rFonts w:ascii="Times New Roman" w:eastAsia="Calibri" w:hAnsi="Times New Roman" w:cs="Times New Roman"/>
          <w:bCs/>
          <w:sz w:val="24"/>
          <w:szCs w:val="24"/>
        </w:rPr>
        <w:t>A lot of literature has been written by authors on campaign financing in different jurisdictions. However, little has been written about Kenya. It follows that the main limitation is that this topic has not been widely researched nor written on in Kenya. Understandably, materials from local scholars and authors are scarce and limited.</w:t>
      </w:r>
    </w:p>
    <w:p w14:paraId="6307FFFF" w14:textId="77777777" w:rsidR="005B3C4B" w:rsidRPr="005B3C4B" w:rsidRDefault="005B3C4B" w:rsidP="005B3C4B">
      <w:pPr>
        <w:keepNext/>
        <w:keepLines/>
        <w:numPr>
          <w:ilvl w:val="1"/>
          <w:numId w:val="18"/>
        </w:numPr>
        <w:spacing w:before="40" w:after="0" w:line="360" w:lineRule="auto"/>
        <w:jc w:val="both"/>
        <w:outlineLvl w:val="1"/>
        <w:rPr>
          <w:rFonts w:ascii="Times New Roman" w:eastAsia="Calibri" w:hAnsi="Times New Roman" w:cs="Times New Roman"/>
          <w:b/>
          <w:bCs/>
          <w:color w:val="2F5496" w:themeColor="accent1" w:themeShade="BF"/>
          <w:sz w:val="26"/>
          <w:szCs w:val="26"/>
        </w:rPr>
      </w:pPr>
      <w:bookmarkStart w:id="21" w:name="_Toc65490072"/>
      <w:r w:rsidRPr="005B3C4B">
        <w:rPr>
          <w:rFonts w:ascii="Times New Roman" w:eastAsia="Calibri" w:hAnsi="Times New Roman" w:cs="Times New Roman"/>
          <w:b/>
          <w:bCs/>
          <w:color w:val="2F5496" w:themeColor="accent1" w:themeShade="BF"/>
          <w:sz w:val="26"/>
          <w:szCs w:val="26"/>
        </w:rPr>
        <w:t>CHAPTER BREAKDOWN</w:t>
      </w:r>
      <w:bookmarkEnd w:id="21"/>
    </w:p>
    <w:p w14:paraId="796AB194" w14:textId="66489A90" w:rsidR="005B3C4B" w:rsidRPr="00EA5686" w:rsidRDefault="005B3C4B" w:rsidP="005B3C4B">
      <w:pPr>
        <w:spacing w:line="360" w:lineRule="auto"/>
        <w:jc w:val="both"/>
        <w:rPr>
          <w:rFonts w:ascii="Times New Roman" w:eastAsia="Calibri" w:hAnsi="Times New Roman" w:cs="Times New Roman"/>
          <w:color w:val="2F5496" w:themeColor="accent1" w:themeShade="BF"/>
          <w:sz w:val="24"/>
          <w:szCs w:val="24"/>
        </w:rPr>
      </w:pPr>
      <w:r w:rsidRPr="005B3C4B">
        <w:rPr>
          <w:rFonts w:ascii="Times New Roman" w:eastAsia="Calibri" w:hAnsi="Times New Roman" w:cs="Times New Roman"/>
          <w:sz w:val="24"/>
          <w:szCs w:val="24"/>
        </w:rPr>
        <w:t xml:space="preserve">This study will be divided into five chapters. Chapter I highlights the study, its aim, objectives, hypothesis, research problem and research questions. </w:t>
      </w:r>
      <w:r w:rsidR="007E3AFF">
        <w:rPr>
          <w:rFonts w:ascii="Times New Roman" w:eastAsia="Calibri" w:hAnsi="Times New Roman" w:cs="Times New Roman"/>
          <w:sz w:val="24"/>
          <w:szCs w:val="24"/>
        </w:rPr>
        <w:t xml:space="preserve">Chapter II covers the theoretical frameworks that function as a lens through which election campaign financing regulation can be studied.  </w:t>
      </w:r>
      <w:r w:rsidRPr="005B3C4B">
        <w:rPr>
          <w:rFonts w:ascii="Times New Roman" w:eastAsia="Calibri" w:hAnsi="Times New Roman" w:cs="Times New Roman"/>
          <w:sz w:val="24"/>
          <w:szCs w:val="24"/>
        </w:rPr>
        <w:t>Chapter I</w:t>
      </w:r>
      <w:r w:rsidR="007E3AFF">
        <w:rPr>
          <w:rFonts w:ascii="Times New Roman" w:eastAsia="Calibri" w:hAnsi="Times New Roman" w:cs="Times New Roman"/>
          <w:sz w:val="24"/>
          <w:szCs w:val="24"/>
        </w:rPr>
        <w:t>I</w:t>
      </w:r>
      <w:r w:rsidRPr="005B3C4B">
        <w:rPr>
          <w:rFonts w:ascii="Times New Roman" w:eastAsia="Calibri" w:hAnsi="Times New Roman" w:cs="Times New Roman"/>
          <w:sz w:val="24"/>
          <w:szCs w:val="24"/>
        </w:rPr>
        <w:t>I examines the various national and international laws governing election financing regulation and the rationale behind election financing regulation. Chapter I</w:t>
      </w:r>
      <w:r w:rsidR="007E3AFF">
        <w:rPr>
          <w:rFonts w:ascii="Times New Roman" w:eastAsia="Calibri" w:hAnsi="Times New Roman" w:cs="Times New Roman"/>
          <w:sz w:val="24"/>
          <w:szCs w:val="24"/>
        </w:rPr>
        <w:t>V</w:t>
      </w:r>
      <w:r w:rsidRPr="005B3C4B">
        <w:rPr>
          <w:rFonts w:ascii="Times New Roman" w:eastAsia="Calibri" w:hAnsi="Times New Roman" w:cs="Times New Roman"/>
          <w:sz w:val="24"/>
          <w:szCs w:val="24"/>
        </w:rPr>
        <w:t xml:space="preserve"> makes a comparative analysis of election finance regulation disclosure requirements vis a vis the United States and chapter V makes recommendations with regards to the Kenyan context.</w:t>
      </w:r>
    </w:p>
    <w:p w14:paraId="0D2B6551" w14:textId="77777777" w:rsidR="005B3C4B" w:rsidRPr="005B3C4B" w:rsidRDefault="005B3C4B" w:rsidP="005B3C4B">
      <w:pPr>
        <w:keepNext/>
        <w:keepLines/>
        <w:spacing w:before="240" w:after="0" w:line="360" w:lineRule="auto"/>
        <w:jc w:val="both"/>
        <w:outlineLvl w:val="0"/>
        <w:rPr>
          <w:rFonts w:ascii="Times New Roman" w:eastAsia="Times New Roman" w:hAnsi="Times New Roman" w:cs="Times New Roman"/>
          <w:b/>
          <w:bCs/>
          <w:color w:val="2F5496" w:themeColor="accent1" w:themeShade="BF"/>
          <w:sz w:val="24"/>
          <w:szCs w:val="24"/>
        </w:rPr>
      </w:pPr>
      <w:r w:rsidRPr="005B3C4B">
        <w:rPr>
          <w:rFonts w:ascii="Calibri Light" w:eastAsia="Times New Roman" w:hAnsi="Calibri Light" w:cs="Times New Roman"/>
          <w:color w:val="2F5496" w:themeColor="accent1" w:themeShade="BF"/>
          <w:sz w:val="24"/>
          <w:szCs w:val="24"/>
        </w:rPr>
        <w:br w:type="page"/>
      </w:r>
      <w:bookmarkStart w:id="22" w:name="_Toc65490073"/>
      <w:r w:rsidRPr="005B3C4B">
        <w:rPr>
          <w:rFonts w:ascii="Times New Roman" w:eastAsia="Times New Roman" w:hAnsi="Times New Roman" w:cs="Times New Roman"/>
          <w:b/>
          <w:bCs/>
          <w:color w:val="2F5496" w:themeColor="accent1" w:themeShade="BF"/>
          <w:sz w:val="32"/>
          <w:szCs w:val="32"/>
        </w:rPr>
        <w:t>CHAPTER 2: THEORETICAL FRAMEWORK</w:t>
      </w:r>
      <w:bookmarkEnd w:id="22"/>
    </w:p>
    <w:p w14:paraId="54DA934A" w14:textId="77777777" w:rsidR="005B3C4B" w:rsidRPr="005B3C4B" w:rsidRDefault="005B3C4B"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23" w:name="_Toc65490074"/>
      <w:r w:rsidRPr="005B3C4B">
        <w:rPr>
          <w:rFonts w:ascii="Times New Roman" w:eastAsia="Times New Roman" w:hAnsi="Times New Roman" w:cs="Times New Roman"/>
          <w:b/>
          <w:bCs/>
          <w:color w:val="2F5496" w:themeColor="accent1" w:themeShade="BF"/>
          <w:sz w:val="26"/>
          <w:szCs w:val="26"/>
        </w:rPr>
        <w:t>2.1 INTRODUCTION</w:t>
      </w:r>
      <w:bookmarkEnd w:id="23"/>
    </w:p>
    <w:p w14:paraId="605166EE" w14:textId="4DB4C81B"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Variation is abundant in the way different states approach political financing regulation. In Sweden for instance, more than three-quarters of political financing is derived from public funds. Moreover, the level of regulation is quite low. In contrast, India has a higher level of political financing regulation without public funding of political parties. States can seek to address problems such as corruption and crime through regulation. Also, the level to which the state intervenes in political financing regulation is determined by a host of factors. Notably, interest groups outside of government and the governing elite have a powerful sway over the scope and depth of political financing regulation in the State. For example, corporation and regional actors exert influence over this political financing regulation. This chapter delves into the </w:t>
      </w:r>
      <w:r w:rsidR="00FC59B2">
        <w:rPr>
          <w:rFonts w:ascii="Times New Roman" w:eastAsia="Calibri" w:hAnsi="Times New Roman" w:cs="Times New Roman"/>
          <w:sz w:val="24"/>
          <w:szCs w:val="24"/>
        </w:rPr>
        <w:t>liberal democracy theory</w:t>
      </w:r>
      <w:r w:rsidR="002144E3">
        <w:rPr>
          <w:rFonts w:ascii="Times New Roman" w:eastAsia="Calibri" w:hAnsi="Times New Roman" w:cs="Times New Roman"/>
          <w:sz w:val="24"/>
          <w:szCs w:val="24"/>
        </w:rPr>
        <w:t xml:space="preserve">, </w:t>
      </w:r>
      <w:r w:rsidRPr="005B3C4B">
        <w:rPr>
          <w:rFonts w:ascii="Times New Roman" w:eastAsia="Calibri" w:hAnsi="Times New Roman" w:cs="Times New Roman"/>
          <w:sz w:val="24"/>
          <w:szCs w:val="24"/>
        </w:rPr>
        <w:t xml:space="preserve">public </w:t>
      </w:r>
      <w:proofErr w:type="gramStart"/>
      <w:r w:rsidRPr="005B3C4B">
        <w:rPr>
          <w:rFonts w:ascii="Times New Roman" w:eastAsia="Calibri" w:hAnsi="Times New Roman" w:cs="Times New Roman"/>
          <w:sz w:val="24"/>
          <w:szCs w:val="24"/>
        </w:rPr>
        <w:t>interest</w:t>
      </w:r>
      <w:proofErr w:type="gramEnd"/>
      <w:r w:rsidRPr="005B3C4B">
        <w:rPr>
          <w:rFonts w:ascii="Times New Roman" w:eastAsia="Calibri" w:hAnsi="Times New Roman" w:cs="Times New Roman"/>
          <w:sz w:val="24"/>
          <w:szCs w:val="24"/>
        </w:rPr>
        <w:t xml:space="preserve"> and private interest theories of government regulation. </w:t>
      </w:r>
    </w:p>
    <w:p w14:paraId="5BF6CE96" w14:textId="77777777" w:rsidR="008863EA" w:rsidRDefault="005B3C4B"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24" w:name="_Toc65490075"/>
      <w:r w:rsidRPr="005B3C4B">
        <w:rPr>
          <w:rFonts w:ascii="Times New Roman" w:eastAsia="Times New Roman" w:hAnsi="Times New Roman" w:cs="Times New Roman"/>
          <w:b/>
          <w:bCs/>
          <w:color w:val="2F5496" w:themeColor="accent1" w:themeShade="BF"/>
          <w:sz w:val="26"/>
          <w:szCs w:val="26"/>
        </w:rPr>
        <w:t>2.2</w:t>
      </w:r>
      <w:r w:rsidR="008863EA">
        <w:rPr>
          <w:rFonts w:ascii="Times New Roman" w:eastAsia="Times New Roman" w:hAnsi="Times New Roman" w:cs="Times New Roman"/>
          <w:b/>
          <w:bCs/>
          <w:color w:val="2F5496" w:themeColor="accent1" w:themeShade="BF"/>
          <w:sz w:val="26"/>
          <w:szCs w:val="26"/>
        </w:rPr>
        <w:t xml:space="preserve"> LIBERAL DEMOCRACY THEORY</w:t>
      </w:r>
      <w:bookmarkEnd w:id="24"/>
    </w:p>
    <w:p w14:paraId="10C423DB" w14:textId="28E505B5" w:rsidR="00FB5683" w:rsidRDefault="005B3C4B" w:rsidP="00FB5683">
      <w:pPr>
        <w:spacing w:line="360" w:lineRule="auto"/>
        <w:jc w:val="both"/>
        <w:rPr>
          <w:rFonts w:ascii="Times New Roman" w:hAnsi="Times New Roman" w:cs="Times New Roman"/>
          <w:sz w:val="24"/>
          <w:szCs w:val="24"/>
        </w:rPr>
      </w:pPr>
      <w:r w:rsidRPr="005B3C4B">
        <w:rPr>
          <w:rFonts w:ascii="Times New Roman" w:eastAsia="Times New Roman" w:hAnsi="Times New Roman" w:cs="Times New Roman"/>
          <w:b/>
          <w:bCs/>
          <w:color w:val="2F5496" w:themeColor="accent1" w:themeShade="BF"/>
          <w:sz w:val="26"/>
          <w:szCs w:val="26"/>
        </w:rPr>
        <w:t xml:space="preserve"> </w:t>
      </w:r>
      <w:r w:rsidR="00FB5683">
        <w:rPr>
          <w:rFonts w:ascii="Times New Roman" w:hAnsi="Times New Roman" w:cs="Times New Roman"/>
          <w:sz w:val="24"/>
          <w:szCs w:val="24"/>
        </w:rPr>
        <w:t xml:space="preserve">Democracy as a legal theory entails the power and the participation of the people over their affairs. This is evident from its earliest manifestation in Greek times, the ancient Greek word ‘demos’ is interpreted to mean ‘the people’ and ‘kratein’ is interpreted as ‘to rule’. President Abraham Lincoln of the United States coined it as a government ‘…of the people, by the people and for the people.’ Admittedly, there are various types of democracy, they include representative democracy, liberal democracy, social </w:t>
      </w:r>
      <w:proofErr w:type="gramStart"/>
      <w:r w:rsidR="00FB5683">
        <w:rPr>
          <w:rFonts w:ascii="Times New Roman" w:hAnsi="Times New Roman" w:cs="Times New Roman"/>
          <w:sz w:val="24"/>
          <w:szCs w:val="24"/>
        </w:rPr>
        <w:t>democracy</w:t>
      </w:r>
      <w:proofErr w:type="gramEnd"/>
      <w:r w:rsidR="00FB5683">
        <w:rPr>
          <w:rFonts w:ascii="Times New Roman" w:hAnsi="Times New Roman" w:cs="Times New Roman"/>
          <w:sz w:val="24"/>
          <w:szCs w:val="24"/>
        </w:rPr>
        <w:t xml:space="preserve"> and monarchies among others.</w:t>
      </w:r>
    </w:p>
    <w:p w14:paraId="4FA05463" w14:textId="440607EE" w:rsidR="00FB5683" w:rsidRDefault="00FB5683" w:rsidP="00FB5683">
      <w:pPr>
        <w:spacing w:line="360" w:lineRule="auto"/>
        <w:jc w:val="both"/>
        <w:rPr>
          <w:rFonts w:ascii="Times New Roman" w:hAnsi="Times New Roman" w:cs="Times New Roman"/>
          <w:sz w:val="24"/>
          <w:szCs w:val="24"/>
        </w:rPr>
      </w:pPr>
      <w:r>
        <w:rPr>
          <w:rFonts w:ascii="Times New Roman" w:hAnsi="Times New Roman" w:cs="Times New Roman"/>
          <w:sz w:val="24"/>
          <w:szCs w:val="24"/>
        </w:rPr>
        <w:t>Fareed Zakaria advances the claim that liberal democracy is a political system characterised by free and fair elections, the rule of law, the separation of powers and the protection of the basic liberties of the freedom of speech, the freedom of assembly, the freedom of religion and the right</w:t>
      </w:r>
      <w:r w:rsidR="0019232B">
        <w:rPr>
          <w:rFonts w:ascii="Times New Roman" w:hAnsi="Times New Roman" w:cs="Times New Roman"/>
          <w:sz w:val="24"/>
          <w:szCs w:val="24"/>
        </w:rPr>
        <w:t xml:space="preserve"> to property</w:t>
      </w:r>
      <w:r>
        <w:rPr>
          <w:rFonts w:ascii="Times New Roman" w:hAnsi="Times New Roman" w:cs="Times New Roman"/>
          <w:sz w:val="24"/>
          <w:szCs w:val="24"/>
        </w:rPr>
        <w:t xml:space="preserve">. Owuor prosecutes the argument that liberal democracy theory encompasses citizens’ participation, democratic rule, civil rights and liberties and the rule of law.  Additionally, to enhance citizens’ participation in the area of political financing regulation, the principle of transparency is essential to enable citizens to be informed. </w:t>
      </w:r>
      <w:r w:rsidR="008F2E98" w:rsidRPr="00176351">
        <w:rPr>
          <w:rFonts w:ascii="Times New Roman" w:eastAsia="Calibri" w:hAnsi="Times New Roman" w:cs="Times New Roman"/>
          <w:sz w:val="24"/>
          <w:szCs w:val="24"/>
        </w:rPr>
        <w:t xml:space="preserve">Article 10 of the Constitution has significance in the realm of campaign financing regulation because it contains the values and principles of democracy and participation of the people, human dignity, equity, social justice, inclusiveness equality, human rights, non-discrimination and protection of the marginalised, good governance, integrity, </w:t>
      </w:r>
      <w:proofErr w:type="gramStart"/>
      <w:r w:rsidR="008F2E98" w:rsidRPr="00176351">
        <w:rPr>
          <w:rFonts w:ascii="Times New Roman" w:eastAsia="Calibri" w:hAnsi="Times New Roman" w:cs="Times New Roman"/>
          <w:sz w:val="24"/>
          <w:szCs w:val="24"/>
        </w:rPr>
        <w:t>transparency</w:t>
      </w:r>
      <w:proofErr w:type="gramEnd"/>
      <w:r w:rsidR="008F2E98" w:rsidRPr="00176351">
        <w:rPr>
          <w:rFonts w:ascii="Times New Roman" w:eastAsia="Calibri" w:hAnsi="Times New Roman" w:cs="Times New Roman"/>
          <w:sz w:val="24"/>
          <w:szCs w:val="24"/>
        </w:rPr>
        <w:t xml:space="preserve"> and accountability. </w:t>
      </w:r>
      <w:r>
        <w:rPr>
          <w:rFonts w:ascii="Times New Roman" w:hAnsi="Times New Roman" w:cs="Times New Roman"/>
          <w:sz w:val="24"/>
          <w:szCs w:val="24"/>
        </w:rPr>
        <w:t>Transparency is arguably the cornerstone of political financing regulation. Moreover, effective disclosure can minimise the impact of undue influence on politics as well as allow voters to make informed decisions when voting.</w:t>
      </w:r>
      <w:r w:rsidRPr="009B6CD6">
        <w:rPr>
          <w:rFonts w:ascii="Times New Roman" w:hAnsi="Times New Roman" w:cs="Times New Roman"/>
          <w:sz w:val="24"/>
          <w:szCs w:val="24"/>
        </w:rPr>
        <w:t xml:space="preserve"> </w:t>
      </w:r>
      <w:r>
        <w:rPr>
          <w:rFonts w:ascii="Times New Roman" w:hAnsi="Times New Roman" w:cs="Times New Roman"/>
          <w:sz w:val="24"/>
          <w:szCs w:val="24"/>
        </w:rPr>
        <w:t>Furthermore, it ensures accountability on the part of political parties and candidates.</w:t>
      </w:r>
    </w:p>
    <w:p w14:paraId="54D22CE9" w14:textId="366B1F09" w:rsidR="00FB5683" w:rsidRDefault="00FB5683" w:rsidP="00FB5683">
      <w:pPr>
        <w:spacing w:line="360" w:lineRule="auto"/>
        <w:jc w:val="both"/>
        <w:rPr>
          <w:rFonts w:ascii="Times New Roman" w:hAnsi="Times New Roman" w:cs="Times New Roman"/>
          <w:sz w:val="24"/>
          <w:szCs w:val="24"/>
        </w:rPr>
      </w:pPr>
      <w:r w:rsidRPr="00A55985">
        <w:rPr>
          <w:rFonts w:ascii="Times New Roman" w:hAnsi="Times New Roman" w:cs="Times New Roman"/>
          <w:sz w:val="24"/>
          <w:szCs w:val="24"/>
        </w:rPr>
        <w:t>Transparency creates benefits in the context of political financing regulation. Firstly, it is a guard against corruption and improper influence. Consider that a politician who is elected with major financial support from an individual donor, corporate entity, or industry. In the event such a politician uses their power to unduly benefit their benefactor, the nexus between the donation and the subsequent reward will not go unnoticed.</w:t>
      </w:r>
      <w:r>
        <w:rPr>
          <w:rFonts w:ascii="Times New Roman" w:hAnsi="Times New Roman" w:cs="Times New Roman"/>
          <w:sz w:val="24"/>
          <w:szCs w:val="24"/>
        </w:rPr>
        <w:t xml:space="preserve"> Secondly, in the event donations are disclosed before the elections, the electorate will have time to peruse the records of donations and discern the main backers of each candidate and political party. Therefore, they can make an informed decision when voting and make decisions based on the interests behind the candidates for elective seats. </w:t>
      </w:r>
    </w:p>
    <w:p w14:paraId="1E11C368" w14:textId="4692737C" w:rsidR="00FB5683" w:rsidRDefault="00FB5683" w:rsidP="00FB5683">
      <w:pPr>
        <w:spacing w:line="360" w:lineRule="auto"/>
        <w:jc w:val="both"/>
        <w:rPr>
          <w:rFonts w:ascii="Times New Roman" w:hAnsi="Times New Roman" w:cs="Times New Roman"/>
          <w:sz w:val="24"/>
          <w:szCs w:val="24"/>
        </w:rPr>
      </w:pPr>
      <w:r>
        <w:rPr>
          <w:rFonts w:ascii="Times New Roman" w:hAnsi="Times New Roman" w:cs="Times New Roman"/>
          <w:sz w:val="24"/>
          <w:szCs w:val="24"/>
        </w:rPr>
        <w:t>Transparency is an empty shell unless there is a system to verify and audit the data that is submitted by political parties and candidates. Furthermore, if there are no measures to carry out thorough audits, it allows political candidates to submit inaccurate data in the knowledge that no concerns will be raised. In other words, there will be no incentives for candidates to submit accurate information. Admittedly, verification and audit of financial records are effective in spotting irregularities in the funding and expenditure of political parties and candidates.</w:t>
      </w:r>
    </w:p>
    <w:p w14:paraId="2A8241AD" w14:textId="7B65465E" w:rsidR="00FB5683" w:rsidRPr="00A55985" w:rsidRDefault="00FB5683" w:rsidP="00FB56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publication of information on political financing enhances transparency. Further, it facilitates disclosures that are timely, reliable, accessible and the information disclosed should be in an intelligible format. Additionally, civil society organisations that act as watchdogs over political financing benefit when information is reported in a timely manner because the information is </w:t>
      </w:r>
      <w:proofErr w:type="gramStart"/>
      <w:r>
        <w:rPr>
          <w:rFonts w:ascii="Times New Roman" w:hAnsi="Times New Roman" w:cs="Times New Roman"/>
          <w:sz w:val="24"/>
          <w:szCs w:val="24"/>
        </w:rPr>
        <w:t>relevant</w:t>
      </w:r>
      <w:proofErr w:type="gramEnd"/>
      <w:r>
        <w:rPr>
          <w:rFonts w:ascii="Times New Roman" w:hAnsi="Times New Roman" w:cs="Times New Roman"/>
          <w:sz w:val="24"/>
          <w:szCs w:val="24"/>
        </w:rPr>
        <w:t xml:space="preserve"> and they can sensitize the public based on the latest information. One disadvantage many political </w:t>
      </w:r>
      <w:proofErr w:type="gramStart"/>
      <w:r>
        <w:rPr>
          <w:rFonts w:ascii="Times New Roman" w:hAnsi="Times New Roman" w:cs="Times New Roman"/>
          <w:sz w:val="24"/>
          <w:szCs w:val="24"/>
        </w:rPr>
        <w:t>financing</w:t>
      </w:r>
      <w:proofErr w:type="gramEnd"/>
      <w:r>
        <w:rPr>
          <w:rFonts w:ascii="Times New Roman" w:hAnsi="Times New Roman" w:cs="Times New Roman"/>
          <w:sz w:val="24"/>
          <w:szCs w:val="24"/>
        </w:rPr>
        <w:t xml:space="preserve"> regulation regimes face is that sometimes the legal framework inhibits disclosure. For instance, </w:t>
      </w:r>
      <w:r w:rsidRPr="0049444A">
        <w:rPr>
          <w:rFonts w:ascii="Times New Roman" w:hAnsi="Times New Roman" w:cs="Times New Roman"/>
          <w:i/>
          <w:iCs/>
          <w:sz w:val="24"/>
          <w:szCs w:val="24"/>
        </w:rPr>
        <w:t>Section 16(5)</w:t>
      </w:r>
      <w:r>
        <w:rPr>
          <w:rFonts w:ascii="Times New Roman" w:hAnsi="Times New Roman" w:cs="Times New Roman"/>
          <w:sz w:val="24"/>
          <w:szCs w:val="24"/>
        </w:rPr>
        <w:t xml:space="preserve"> of the Election Campaign Financing Act provides for the confidentiality of the political financing of candidates and political parties. </w:t>
      </w:r>
    </w:p>
    <w:p w14:paraId="293EBEAE" w14:textId="621E5BF8" w:rsidR="008863EA" w:rsidRDefault="008863EA"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p>
    <w:p w14:paraId="2DE6ABA1" w14:textId="4CE0A899" w:rsidR="005B3C4B" w:rsidRPr="005B3C4B" w:rsidRDefault="008863EA"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25" w:name="_Toc65490076"/>
      <w:r>
        <w:rPr>
          <w:rFonts w:ascii="Times New Roman" w:eastAsia="Times New Roman" w:hAnsi="Times New Roman" w:cs="Times New Roman"/>
          <w:b/>
          <w:bCs/>
          <w:color w:val="2F5496" w:themeColor="accent1" w:themeShade="BF"/>
          <w:sz w:val="26"/>
          <w:szCs w:val="26"/>
        </w:rPr>
        <w:t>2.3</w:t>
      </w:r>
      <w:r w:rsidR="005B3C4B" w:rsidRPr="005B3C4B">
        <w:rPr>
          <w:rFonts w:ascii="Times New Roman" w:eastAsia="Times New Roman" w:hAnsi="Times New Roman" w:cs="Times New Roman"/>
          <w:b/>
          <w:bCs/>
          <w:color w:val="2F5496" w:themeColor="accent1" w:themeShade="BF"/>
          <w:sz w:val="26"/>
          <w:szCs w:val="26"/>
        </w:rPr>
        <w:t>PUBLIC INTEREST THEORY OF GOVERNMENT REGULATION</w:t>
      </w:r>
      <w:bookmarkEnd w:id="25"/>
      <w:r w:rsidR="005B3C4B" w:rsidRPr="005B3C4B">
        <w:rPr>
          <w:rFonts w:ascii="Times New Roman" w:eastAsia="Times New Roman" w:hAnsi="Times New Roman" w:cs="Times New Roman"/>
          <w:b/>
          <w:bCs/>
          <w:color w:val="2F5496" w:themeColor="accent1" w:themeShade="BF"/>
          <w:sz w:val="26"/>
          <w:szCs w:val="26"/>
        </w:rPr>
        <w:t xml:space="preserve"> </w:t>
      </w:r>
    </w:p>
    <w:p w14:paraId="0552F9F0" w14:textId="58F47333"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 xml:space="preserve">Consider the economic marketplace. Economists claim that in the ideal situation, efficiency arises when the economic markets are competitive, accurate information is available, resources are mobile, and individuals engaging in the transactions bear the full costs and receive the full benefits of their transactions. Applying similar reasoning to the political marketplace, Dowsian models of democracy advance an ideal situation like that where voters support political parties that most closely align with them and political parties compete to get the largest number of seats possible. </w:t>
      </w:r>
    </w:p>
    <w:p w14:paraId="5B4B1360" w14:textId="34F44D76"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Departures from the ideal situation exist. For instance, monopoly power is a manifestation of one such departure. Additionally, negative externalities such as manufacturers failing to pay for pollution, leaving the burden on the members of the society is a second such departure. In response, the public interest theory of government regulation advances the claim that benevolent states address these market failures by the institution of legal regulations. In sum, regulation is used to. Another reason for regulation in the economic marketplace is social protection such as regulating the sale of alcohol and prescription drugs.</w:t>
      </w:r>
    </w:p>
    <w:p w14:paraId="6A3323A3" w14:textId="2DCFDC56"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 xml:space="preserve">A monopoly exercised by a dominant political party or an oligopoly by a group of parties has been witnessed in the Kenyan political marketplace. Furthermore, the dominant political party for much of the country’s existence was the Kenya African National Union (KANU). In the early post-independence years, Kenya was a </w:t>
      </w:r>
      <w:r w:rsidRPr="005B3C4B">
        <w:rPr>
          <w:rFonts w:ascii="Times New Roman" w:eastAsia="Times New Roman" w:hAnsi="Times New Roman" w:cs="Times New Roman"/>
          <w:i/>
          <w:iCs/>
          <w:sz w:val="24"/>
          <w:szCs w:val="24"/>
        </w:rPr>
        <w:t>de-facto</w:t>
      </w:r>
      <w:r w:rsidRPr="005B3C4B">
        <w:rPr>
          <w:rFonts w:ascii="Times New Roman" w:eastAsia="Times New Roman" w:hAnsi="Times New Roman" w:cs="Times New Roman"/>
          <w:sz w:val="24"/>
          <w:szCs w:val="24"/>
        </w:rPr>
        <w:t xml:space="preserve"> one-party state under KANU and then President Jomo Kenyatta. Therefore, there was no democratic space for other political parties or dissenting political voices to be heard. KANU is the independence party and at the height of its power, Kenya was a </w:t>
      </w:r>
      <w:r w:rsidRPr="005B3C4B">
        <w:rPr>
          <w:rFonts w:ascii="Times New Roman" w:eastAsia="Times New Roman" w:hAnsi="Times New Roman" w:cs="Times New Roman"/>
          <w:i/>
          <w:iCs/>
          <w:sz w:val="24"/>
          <w:szCs w:val="24"/>
        </w:rPr>
        <w:t>de-jure</w:t>
      </w:r>
      <w:r w:rsidRPr="005B3C4B">
        <w:rPr>
          <w:rFonts w:ascii="Times New Roman" w:eastAsia="Times New Roman" w:hAnsi="Times New Roman" w:cs="Times New Roman"/>
          <w:sz w:val="24"/>
          <w:szCs w:val="24"/>
        </w:rPr>
        <w:t xml:space="preserve"> one-party state. Further, this development was in 1982, under Kenyatta's successor, Daniel Arap Moi. Consequently, this limited the pool for political choices the citizens could have as representatives. Not until 1992 was multi-party politics permitted. Besides, the repeal of the provision occurred after sustained pressure from external aid donors, whose pinnacle was the suspension of 350 million dollars. It is widely considered that the atmosphere became more hostile to KANU since the end of the cold war ushered in an era where Western governments became more intolerant to authoritarian rulers.</w:t>
      </w:r>
    </w:p>
    <w:p w14:paraId="46EB1548" w14:textId="55796EEC"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 xml:space="preserve">In the multi-partyism era, the political landscape was populated by oligopolies. This outcome was largely owed to the reality of ethnic mobilization in Kenya. Naturally, individual political parties were constituted by members and candidates from certain ethnicities. This heralded an era where candidates could reliably achieve a win if they contested a seat under the banner of the party most aligned with their ethnic enclaves. Also, the ethnically based parties coalesced frequently to achieve the votes necessary to give them a chance to clinch the presidency. These coalitions consisting of multi-ethnic alliances utilized the ethnic arithmetic to secure electoral victory and few if any survived electoral defeats. This is so because the ethnic factions split once it was clear that the </w:t>
      </w:r>
      <w:proofErr w:type="gramStart"/>
      <w:r w:rsidRPr="005B3C4B">
        <w:rPr>
          <w:rFonts w:ascii="Times New Roman" w:eastAsia="Times New Roman" w:hAnsi="Times New Roman" w:cs="Times New Roman"/>
          <w:sz w:val="24"/>
          <w:szCs w:val="24"/>
        </w:rPr>
        <w:t>alliances</w:t>
      </w:r>
      <w:proofErr w:type="gramEnd"/>
      <w:r w:rsidRPr="005B3C4B">
        <w:rPr>
          <w:rFonts w:ascii="Times New Roman" w:eastAsia="Times New Roman" w:hAnsi="Times New Roman" w:cs="Times New Roman"/>
          <w:sz w:val="24"/>
          <w:szCs w:val="24"/>
        </w:rPr>
        <w:t xml:space="preserve"> they formed failed.</w:t>
      </w:r>
    </w:p>
    <w:p w14:paraId="439C48AB" w14:textId="1D10A6B6" w:rsidR="005B3C4B" w:rsidRPr="00FA6E79" w:rsidRDefault="005B3C4B" w:rsidP="005B3C4B">
      <w:pPr>
        <w:spacing w:after="0"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Notably, the inequitable access by all parties to financing, corruption, the abuse of state resources and the ballooning costs of elections are inefficiencies in the political context. Also, it is documented that in past Kenyan elections, the incumbent political party usually has access to state resources and abuses it.</w:t>
      </w:r>
      <w:r w:rsidRPr="005B3C4B">
        <w:rPr>
          <w:rFonts w:ascii="Times New Roman" w:eastAsia="Calibri" w:hAnsi="Times New Roman" w:cs="Times New Roman"/>
          <w:sz w:val="24"/>
          <w:szCs w:val="24"/>
        </w:rPr>
        <w:t xml:space="preserve"> Odhiambo argues the money lost in the Goldenberg Corruption Scandal was used in funding political campaigns in Kenya in the 1992 general election. </w:t>
      </w:r>
      <w:r w:rsidRPr="005B3C4B">
        <w:rPr>
          <w:rFonts w:ascii="Times New Roman" w:eastAsia="Times New Roman" w:hAnsi="Times New Roman" w:cs="Times New Roman"/>
          <w:sz w:val="24"/>
          <w:szCs w:val="24"/>
        </w:rPr>
        <w:t xml:space="preserve"> Brown claims that in the 1992 general elections, it is estimated that KANU used 60 million dollars in vote-buying. They distributed cash and food to voters to garner their support. </w:t>
      </w:r>
      <w:proofErr w:type="gramStart"/>
      <w:r w:rsidRPr="005B3C4B">
        <w:rPr>
          <w:rFonts w:ascii="Times New Roman" w:eastAsia="Times New Roman" w:hAnsi="Times New Roman" w:cs="Times New Roman"/>
          <w:sz w:val="24"/>
          <w:szCs w:val="24"/>
        </w:rPr>
        <w:t>Furthermore</w:t>
      </w:r>
      <w:proofErr w:type="gramEnd"/>
      <w:r w:rsidRPr="005B3C4B">
        <w:rPr>
          <w:rFonts w:ascii="Times New Roman" w:eastAsia="Times New Roman" w:hAnsi="Times New Roman" w:cs="Times New Roman"/>
          <w:sz w:val="24"/>
          <w:szCs w:val="24"/>
        </w:rPr>
        <w:t xml:space="preserve"> according to the Kenya National Commission on Human Rights, in the 2017 elections, it is documented that the incumbent political party utilised state resources to sway voters. For instance, government projects were launched whilst campaigning for the elections and government motor vehicles were utilised in this endeavour. Moreover, </w:t>
      </w:r>
      <w:r w:rsidR="00DA6201">
        <w:rPr>
          <w:rFonts w:ascii="Times New Roman" w:eastAsia="Times New Roman" w:hAnsi="Times New Roman" w:cs="Times New Roman"/>
          <w:sz w:val="24"/>
          <w:szCs w:val="24"/>
        </w:rPr>
        <w:t xml:space="preserve">according to the Kenya National Commission on Human Rights, in the 2017 general election, </w:t>
      </w:r>
      <w:r w:rsidRPr="005B3C4B">
        <w:rPr>
          <w:rFonts w:ascii="Times New Roman" w:eastAsia="Times New Roman" w:hAnsi="Times New Roman" w:cs="Times New Roman"/>
          <w:sz w:val="24"/>
          <w:szCs w:val="24"/>
        </w:rPr>
        <w:t xml:space="preserve">the use of state resources for campaigning extended to the distribution of relief food by government officials while campaigning for the incumbent political party, Jubilee and the incumbent </w:t>
      </w:r>
      <w:r w:rsidR="00C0516D" w:rsidRPr="00B052B4">
        <w:rPr>
          <w:rFonts w:ascii="Times New Roman" w:eastAsia="Times New Roman" w:hAnsi="Times New Roman" w:cs="Times New Roman"/>
          <w:sz w:val="24"/>
          <w:szCs w:val="24"/>
        </w:rPr>
        <w:t>President Uhuru Kenyatta</w:t>
      </w:r>
      <w:r w:rsidRPr="00FA6E79">
        <w:rPr>
          <w:rFonts w:ascii="Times New Roman" w:eastAsia="Times New Roman" w:hAnsi="Times New Roman" w:cs="Times New Roman"/>
          <w:sz w:val="24"/>
          <w:szCs w:val="24"/>
        </w:rPr>
        <w:t>.</w:t>
      </w:r>
    </w:p>
    <w:p w14:paraId="5D9C95F8" w14:textId="5E2864EC" w:rsidR="005B3C4B" w:rsidRPr="005B3C4B" w:rsidRDefault="005B3C4B" w:rsidP="005B3C4B">
      <w:pPr>
        <w:spacing w:line="360" w:lineRule="auto"/>
        <w:jc w:val="both"/>
        <w:rPr>
          <w:rFonts w:ascii="Times New Roman" w:eastAsia="Times New Roman" w:hAnsi="Times New Roman" w:cs="Times New Roman"/>
          <w:sz w:val="24"/>
          <w:szCs w:val="24"/>
        </w:rPr>
      </w:pPr>
      <w:r w:rsidRPr="005B3C4B">
        <w:rPr>
          <w:rFonts w:ascii="Times New Roman" w:eastAsia="Times New Roman" w:hAnsi="Times New Roman" w:cs="Times New Roman"/>
          <w:sz w:val="24"/>
          <w:szCs w:val="24"/>
        </w:rPr>
        <w:t>Notably, the public interest theory of government regulation posits that benevolent and responsive states aim to correct market failures in the political landscape. Their aim is primarily to correct market failures as a response to the citizens’ demands for action. Admittedly, corruption and the use of the proceeds of corruption to fund political campaigns is one such market failure in the political landscape. The public theory of government regulation theory is based on three assumptions; there is a clear definition of what a market failure is, there exists a benevolent state; and that there are demands from the public to address market failures. Furthermore, this study aims to address the use of the proceeds of corruption in political financing as a market-failure.</w:t>
      </w:r>
    </w:p>
    <w:p w14:paraId="5B3240BB" w14:textId="23FA9464" w:rsidR="005B3C4B" w:rsidRPr="005B3C4B" w:rsidRDefault="005B3C4B"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26" w:name="_Toc65490077"/>
      <w:r w:rsidRPr="005B3C4B">
        <w:rPr>
          <w:rFonts w:ascii="Times New Roman" w:eastAsia="Times New Roman" w:hAnsi="Times New Roman" w:cs="Times New Roman"/>
          <w:b/>
          <w:bCs/>
          <w:color w:val="2F5496" w:themeColor="accent1" w:themeShade="BF"/>
          <w:sz w:val="26"/>
          <w:szCs w:val="26"/>
        </w:rPr>
        <w:t>2.</w:t>
      </w:r>
      <w:r w:rsidR="00FA6E79">
        <w:rPr>
          <w:rFonts w:ascii="Times New Roman" w:eastAsia="Times New Roman" w:hAnsi="Times New Roman" w:cs="Times New Roman"/>
          <w:b/>
          <w:bCs/>
          <w:color w:val="2F5496" w:themeColor="accent1" w:themeShade="BF"/>
          <w:sz w:val="26"/>
          <w:szCs w:val="26"/>
        </w:rPr>
        <w:t>4</w:t>
      </w:r>
      <w:r w:rsidRPr="005B3C4B">
        <w:rPr>
          <w:rFonts w:ascii="Times New Roman" w:eastAsia="Times New Roman" w:hAnsi="Times New Roman" w:cs="Times New Roman"/>
          <w:b/>
          <w:bCs/>
          <w:color w:val="2F5496" w:themeColor="accent1" w:themeShade="BF"/>
          <w:sz w:val="26"/>
          <w:szCs w:val="26"/>
        </w:rPr>
        <w:t xml:space="preserve"> PRIVATE INTEREST THEORY OF GOVERNMENT REGULATION</w:t>
      </w:r>
      <w:bookmarkEnd w:id="26"/>
    </w:p>
    <w:p w14:paraId="31EA2684" w14:textId="4EB4AC17"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private interest theory of government regulation distinguishes itself from the public interest theory in that it views the motives of the government as less compassionate. Under this theory, the main motivation behind government regulation of political financing is to serve various interest groups and powerful elites as opposed to a greater social good. Granted, the interest groups in question may have noble ends. Peltzman makes the claim that these interest groups generate demand for regulation, and supply, in turn, is determined by the political influence they wield. Moreover, two versions of the private interest theory of regulation exist. The first is the capture view and the second is the tollbooth view. A common thread in the two is that influence and political power is a vital factor in determining whose preference for regulation is manifested in policy outcomes.</w:t>
      </w:r>
    </w:p>
    <w:p w14:paraId="7ED474F5" w14:textId="466F84DB"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According to the capture view, the regulatory process is captured by special interests. Furthermore, these special interests demand regulation. Additionally, their ability to ‘pay’ for regulation in votes and provide access to resources to political actors determines whether regulation is realised. The resources take the form of campaign contributions and contributed services. In the Kenyan context, campaign contributions may be proceeds of corruption scandals such as the Goldenberg Corruption Scandal which funded the 1992 general elections.</w:t>
      </w:r>
      <w:r w:rsidRPr="005B3C4B">
        <w:rPr>
          <w:rFonts w:ascii="Times New Roman" w:eastAsia="Calibri" w:hAnsi="Times New Roman" w:cs="Times New Roman"/>
          <w:sz w:val="24"/>
          <w:szCs w:val="24"/>
          <w:vertAlign w:val="superscript"/>
        </w:rPr>
        <w:t xml:space="preserve">  </w:t>
      </w:r>
      <w:r w:rsidRPr="005B3C4B">
        <w:rPr>
          <w:rFonts w:ascii="Times New Roman" w:eastAsia="Calibri" w:hAnsi="Times New Roman" w:cs="Times New Roman"/>
          <w:sz w:val="24"/>
          <w:szCs w:val="24"/>
        </w:rPr>
        <w:t xml:space="preserve"> However, there may be more discreet methods such as the hiring of party officials and workers. McChesney posits that under the tollbooth view, regulation is primarily a method for politicians and bureaucrats to benefit themselves. Politicians use regulations as a means to extract rents and would implement regulations even to the detriment of an industry or interest group.</w:t>
      </w:r>
    </w:p>
    <w:p w14:paraId="3797E77F" w14:textId="3F488D91"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Within the context of political financing regulation, certain political groups and actors have varied preferences on the level and degree of state intervention. These actors constitute internal actors and external actors. The internal actors are primarily political parties, </w:t>
      </w:r>
      <w:proofErr w:type="gramStart"/>
      <w:r w:rsidRPr="005B3C4B">
        <w:rPr>
          <w:rFonts w:ascii="Times New Roman" w:eastAsia="Calibri" w:hAnsi="Times New Roman" w:cs="Times New Roman"/>
          <w:sz w:val="24"/>
          <w:szCs w:val="24"/>
        </w:rPr>
        <w:t>corporations</w:t>
      </w:r>
      <w:proofErr w:type="gramEnd"/>
      <w:r w:rsidRPr="005B3C4B">
        <w:rPr>
          <w:rFonts w:ascii="Times New Roman" w:eastAsia="Calibri" w:hAnsi="Times New Roman" w:cs="Times New Roman"/>
          <w:sz w:val="24"/>
          <w:szCs w:val="24"/>
        </w:rPr>
        <w:t xml:space="preserve"> and civil society. External actors on the other hand, such as the African Union, have a degree of influence on political financing regulation.</w:t>
      </w:r>
    </w:p>
    <w:p w14:paraId="5998BCCA" w14:textId="36E83AB4"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Notably, politicians pass political financing regulation legislation while it regulates politicians themselves. Also, political parties often have abundant preferences for the level of regulation they prefer. Katz and Mair opine that governing parties, for instance, would prefer to use public resources to keep their majority and prevent the emergence of new parties. They would thus prefer a system whereby parties receive public funds based on their past performance such as the proportion of constituencies garnered in the last election. Moreover, in the Kenyan context, eighty per cent of the political </w:t>
      </w:r>
      <w:proofErr w:type="gramStart"/>
      <w:r w:rsidRPr="005B3C4B">
        <w:rPr>
          <w:rFonts w:ascii="Times New Roman" w:eastAsia="Calibri" w:hAnsi="Times New Roman" w:cs="Times New Roman"/>
          <w:sz w:val="24"/>
          <w:szCs w:val="24"/>
        </w:rPr>
        <w:t>parties</w:t>
      </w:r>
      <w:proofErr w:type="gramEnd"/>
      <w:r w:rsidRPr="005B3C4B">
        <w:rPr>
          <w:rFonts w:ascii="Times New Roman" w:eastAsia="Calibri" w:hAnsi="Times New Roman" w:cs="Times New Roman"/>
          <w:sz w:val="24"/>
          <w:szCs w:val="24"/>
        </w:rPr>
        <w:t xml:space="preserve"> fund is distributed proportionately based on the total number of votes secured by each political party in the preceding election. Consequently, more established political parties are at an advantage. Kenyan members of parliament </w:t>
      </w:r>
      <w:r w:rsidRPr="00645314">
        <w:rPr>
          <w:rFonts w:ascii="Times New Roman" w:eastAsia="Calibri" w:hAnsi="Times New Roman" w:cs="Times New Roman"/>
          <w:sz w:val="24"/>
          <w:szCs w:val="24"/>
        </w:rPr>
        <w:t xml:space="preserve">have been an obstacle </w:t>
      </w:r>
      <w:r w:rsidRPr="005B3C4B">
        <w:rPr>
          <w:rFonts w:ascii="Times New Roman" w:eastAsia="Calibri" w:hAnsi="Times New Roman" w:cs="Times New Roman"/>
          <w:sz w:val="24"/>
          <w:szCs w:val="24"/>
        </w:rPr>
        <w:t>in implementing election campaign financing regulation. Consider that in 2017, parliament suspended the application of the Election Campaign Financing Act by five years to prevent scrutiny into their political finances.</w:t>
      </w:r>
      <w:r w:rsidRPr="005B3C4B">
        <w:rPr>
          <w:rFonts w:ascii="Times New Roman" w:eastAsia="Calibri" w:hAnsi="Times New Roman" w:cs="Times New Roman"/>
          <w:bCs/>
          <w:vertAlign w:val="superscript"/>
        </w:rPr>
        <w:t xml:space="preserve"> </w:t>
      </w:r>
      <w:r w:rsidRPr="005B3C4B">
        <w:rPr>
          <w:rFonts w:ascii="Times New Roman" w:eastAsia="Calibri" w:hAnsi="Times New Roman" w:cs="Times New Roman"/>
          <w:bCs/>
          <w:sz w:val="24"/>
          <w:szCs w:val="24"/>
        </w:rPr>
        <w:t xml:space="preserve"> </w:t>
      </w:r>
      <w:r w:rsidRPr="005B3C4B">
        <w:rPr>
          <w:rFonts w:ascii="Times New Roman" w:eastAsia="Calibri" w:hAnsi="Times New Roman" w:cs="Times New Roman"/>
          <w:sz w:val="24"/>
          <w:szCs w:val="24"/>
        </w:rPr>
        <w:t xml:space="preserve"> Tsebelis prosecutes the argument that a deterrent against self-interested interventions by the political class is the action of veto players. Veto players are political actors whose agreement is required to </w:t>
      </w:r>
      <w:proofErr w:type="gramStart"/>
      <w:r w:rsidRPr="005B3C4B">
        <w:rPr>
          <w:rFonts w:ascii="Times New Roman" w:eastAsia="Calibri" w:hAnsi="Times New Roman" w:cs="Times New Roman"/>
          <w:sz w:val="24"/>
          <w:szCs w:val="24"/>
        </w:rPr>
        <w:t>effect</w:t>
      </w:r>
      <w:proofErr w:type="gramEnd"/>
      <w:r w:rsidRPr="005B3C4B">
        <w:rPr>
          <w:rFonts w:ascii="Times New Roman" w:eastAsia="Calibri" w:hAnsi="Times New Roman" w:cs="Times New Roman"/>
          <w:sz w:val="24"/>
          <w:szCs w:val="24"/>
        </w:rPr>
        <w:t xml:space="preserve"> a policy change. They act as a check on the abuse of power. An example is a judiciary which can overturn campaign financing laws.</w:t>
      </w:r>
    </w:p>
    <w:p w14:paraId="538F806D" w14:textId="5D8DBE36"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Civil society is instrumental in campaign financing regulation in that public pressure surrounding corruption would lead to higher levels of regulation. </w:t>
      </w:r>
      <w:r w:rsidR="00645314">
        <w:rPr>
          <w:rFonts w:ascii="Times New Roman" w:eastAsia="Calibri" w:hAnsi="Times New Roman" w:cs="Times New Roman"/>
          <w:sz w:val="24"/>
          <w:szCs w:val="24"/>
        </w:rPr>
        <w:t xml:space="preserve">Give an introduction about a foreign judgment. </w:t>
      </w:r>
      <w:r w:rsidRPr="005B3C4B">
        <w:rPr>
          <w:rFonts w:ascii="Times New Roman" w:eastAsia="Calibri" w:hAnsi="Times New Roman" w:cs="Times New Roman"/>
          <w:sz w:val="24"/>
          <w:szCs w:val="24"/>
        </w:rPr>
        <w:t xml:space="preserve">Granted, the decision in </w:t>
      </w:r>
      <w:r w:rsidRPr="005B3C4B">
        <w:rPr>
          <w:rFonts w:ascii="Times New Roman" w:eastAsia="Calibri" w:hAnsi="Times New Roman" w:cs="Times New Roman"/>
          <w:i/>
          <w:iCs/>
          <w:sz w:val="24"/>
          <w:szCs w:val="24"/>
        </w:rPr>
        <w:t>Buckley v Valeo</w:t>
      </w:r>
      <w:r w:rsidRPr="005B3C4B">
        <w:rPr>
          <w:rFonts w:ascii="Times New Roman" w:eastAsia="Calibri" w:hAnsi="Times New Roman" w:cs="Times New Roman"/>
          <w:sz w:val="24"/>
          <w:szCs w:val="24"/>
        </w:rPr>
        <w:t>, was overturned. However,</w:t>
      </w:r>
      <w:r w:rsidR="00990EEF">
        <w:rPr>
          <w:rFonts w:ascii="Times New Roman" w:eastAsia="Calibri" w:hAnsi="Times New Roman" w:cs="Times New Roman"/>
          <w:sz w:val="24"/>
          <w:szCs w:val="24"/>
        </w:rPr>
        <w:t xml:space="preserve"> </w:t>
      </w:r>
      <w:r w:rsidRPr="005B3C4B">
        <w:rPr>
          <w:rFonts w:ascii="Times New Roman" w:eastAsia="Calibri" w:hAnsi="Times New Roman" w:cs="Times New Roman"/>
          <w:sz w:val="24"/>
          <w:szCs w:val="24"/>
        </w:rPr>
        <w:t>Parsilly and Lammie suggest that public opinion supported the view that corruption was high. Furthermore, civil society was lobbied aggressively. Therefore, this mixture of factors coalesced to result in stringent campaign financing regulation whereby even the appearance of corruption was declared the problem to be addressed. Waltzer makes the claim that an active, and united civil society would be more effective in achieving campaign financing regulation as opposed to a fractured civil society. Kenyan civil society is at the forefront of creating public pressure to address the ills of corruption. As enunciated in its report on the Goldenberg Corruption Scandal, African Centre for Open Governance has championed public pressure to prevent the proceeds of corruption scandals from being used to fund political campaigns.</w:t>
      </w:r>
    </w:p>
    <w:p w14:paraId="433EB6C8" w14:textId="63273EF6"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Gross and Helpman acknowledge that corporations have an interest in political campaign financing.  Their primary reason is their desire to have sway over the policies that politicians enact. The sway can be procured through lobbying with political contributions which are permissible or corruption, which is illegal. Campos and Giovanni press the claim that lobbying is predominant in wealthier nations such as the United States, while corruption is rampant in poorer countries. </w:t>
      </w:r>
      <w:r w:rsidR="00DA6201">
        <w:rPr>
          <w:rFonts w:ascii="Times New Roman" w:eastAsia="Calibri" w:hAnsi="Times New Roman" w:cs="Times New Roman"/>
          <w:sz w:val="24"/>
          <w:szCs w:val="24"/>
        </w:rPr>
        <w:t>According to the Commission of Inquiry into the Goldenberg Affair</w:t>
      </w:r>
      <w:proofErr w:type="gramStart"/>
      <w:r w:rsidR="00DA6201">
        <w:rPr>
          <w:rFonts w:ascii="Times New Roman" w:eastAsia="Calibri" w:hAnsi="Times New Roman" w:cs="Times New Roman"/>
          <w:sz w:val="24"/>
          <w:szCs w:val="24"/>
        </w:rPr>
        <w:t xml:space="preserve">, </w:t>
      </w:r>
      <w:r w:rsidRPr="005B3C4B">
        <w:rPr>
          <w:rFonts w:ascii="Times New Roman" w:eastAsia="Calibri" w:hAnsi="Times New Roman" w:cs="Times New Roman"/>
          <w:sz w:val="24"/>
          <w:szCs w:val="24"/>
        </w:rPr>
        <w:t>,</w:t>
      </w:r>
      <w:proofErr w:type="gramEnd"/>
      <w:r w:rsidRPr="005B3C4B">
        <w:rPr>
          <w:rFonts w:ascii="Times New Roman" w:eastAsia="Calibri" w:hAnsi="Times New Roman" w:cs="Times New Roman"/>
          <w:sz w:val="24"/>
          <w:szCs w:val="24"/>
        </w:rPr>
        <w:t xml:space="preserve"> Goldenberg International</w:t>
      </w:r>
      <w:r w:rsidR="00DA6201">
        <w:rPr>
          <w:rFonts w:ascii="Times New Roman" w:eastAsia="Calibri" w:hAnsi="Times New Roman" w:cs="Times New Roman"/>
          <w:sz w:val="24"/>
          <w:szCs w:val="24"/>
        </w:rPr>
        <w:t xml:space="preserve"> was</w:t>
      </w:r>
      <w:r w:rsidRPr="005B3C4B">
        <w:rPr>
          <w:rFonts w:ascii="Times New Roman" w:eastAsia="Calibri" w:hAnsi="Times New Roman" w:cs="Times New Roman"/>
          <w:sz w:val="24"/>
          <w:szCs w:val="24"/>
        </w:rPr>
        <w:t xml:space="preserve"> a Kenyan company incorporated by Kamlesh Pattni and James </w:t>
      </w:r>
      <w:r w:rsidR="00A95F79" w:rsidRPr="00B052B4">
        <w:rPr>
          <w:rFonts w:ascii="Times New Roman" w:eastAsia="Calibri" w:hAnsi="Times New Roman" w:cs="Times New Roman"/>
          <w:sz w:val="24"/>
          <w:szCs w:val="24"/>
        </w:rPr>
        <w:t>Kanyotu,</w:t>
      </w:r>
      <w:r w:rsidRPr="00B052B4">
        <w:rPr>
          <w:rFonts w:ascii="Times New Roman" w:eastAsia="Calibri" w:hAnsi="Times New Roman" w:cs="Times New Roman"/>
          <w:sz w:val="24"/>
          <w:szCs w:val="24"/>
        </w:rPr>
        <w:t xml:space="preserve"> </w:t>
      </w:r>
      <w:r w:rsidR="0088388E" w:rsidRPr="00B052B4">
        <w:rPr>
          <w:rFonts w:ascii="Times New Roman" w:eastAsia="Calibri" w:hAnsi="Times New Roman" w:cs="Times New Roman"/>
          <w:sz w:val="24"/>
          <w:szCs w:val="24"/>
        </w:rPr>
        <w:t xml:space="preserve">was involved in </w:t>
      </w:r>
      <w:r w:rsidR="00A95F79" w:rsidRPr="00B052B4">
        <w:rPr>
          <w:rFonts w:ascii="Times New Roman" w:eastAsia="Calibri" w:hAnsi="Times New Roman" w:cs="Times New Roman"/>
          <w:sz w:val="24"/>
          <w:szCs w:val="24"/>
        </w:rPr>
        <w:t>fictitious gold and diamond exports</w:t>
      </w:r>
      <w:r w:rsidRPr="00FA6E79">
        <w:rPr>
          <w:rFonts w:ascii="Times New Roman" w:eastAsia="Calibri" w:hAnsi="Times New Roman" w:cs="Times New Roman"/>
          <w:sz w:val="24"/>
          <w:szCs w:val="24"/>
        </w:rPr>
        <w:t xml:space="preserve">. </w:t>
      </w:r>
      <w:r w:rsidRPr="005B3C4B">
        <w:rPr>
          <w:rFonts w:ascii="Times New Roman" w:eastAsia="Calibri" w:hAnsi="Times New Roman" w:cs="Times New Roman"/>
          <w:sz w:val="24"/>
          <w:szCs w:val="24"/>
        </w:rPr>
        <w:t>Further, this company received compensation from Central Bank of Kenya for the fictitious transactions. The funds that were acquired by the company were subsequently used to fund political campaigns. Arguably, the predominance of the private sector in the economy augurs well for the influence of the private sector and their ability to influence policy.</w:t>
      </w:r>
    </w:p>
    <w:p w14:paraId="57F6E0AF" w14:textId="395E7578"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Gourevitch presses the case of regional and global organizations to have a degree of influence on the policies of their member states, even in areas that would be considered entirely domestic.  Kenya is a member of the United Nations and the African Union. Moravcsik argues that international norms incentivise policymakers, thereby influencing domestic policies, for instance, sanctions have this effect. The United Nations, for example, has addressed some of the concerns in campaign financing regulation through the lens of anti-corruption instruments. The United Nation Convention Against Corruption is clear on calling on states to 'enhance transparency in the funding of candidates for elected public office and, where applicable, the funding of political parties. Furthermore, the African Union Convention on Preventing and Combating Corruption, under Article 10 clarifies that members should adhere to transparency in funding political parties.</w:t>
      </w:r>
    </w:p>
    <w:p w14:paraId="35168519" w14:textId="3C169E4F"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Levitsky and Way argue that the more intrinsically tied a country is to an international or regional community, the greater the pressure it is subject to. The European Union, for example, acts as a norm maker for its member states. For instance, in the sphere of human rights practices, the European Union has a far-reaching influence on its member states. In the 1990s, the influence was used in the forms of conditionality before a country was granted European Union Membership.</w:t>
      </w:r>
      <w:r w:rsidR="005B6D39">
        <w:rPr>
          <w:rFonts w:ascii="Times New Roman" w:eastAsia="Calibri" w:hAnsi="Times New Roman" w:cs="Times New Roman"/>
          <w:sz w:val="24"/>
          <w:szCs w:val="24"/>
        </w:rPr>
        <w:t xml:space="preserve">There is a unique relationship between Kenya and its aid donors, for instance, </w:t>
      </w:r>
      <w:r w:rsidR="005B6D39" w:rsidRPr="002D0F55">
        <w:rPr>
          <w:rFonts w:ascii="Times New Roman" w:eastAsia="Calibri" w:hAnsi="Times New Roman" w:cs="Times New Roman"/>
          <w:sz w:val="24"/>
          <w:szCs w:val="24"/>
        </w:rPr>
        <w:t xml:space="preserve">Grosh and Orvis </w:t>
      </w:r>
      <w:r w:rsidR="00BD5800" w:rsidRPr="002D0F55">
        <w:rPr>
          <w:rFonts w:ascii="Times New Roman" w:eastAsia="Calibri" w:hAnsi="Times New Roman" w:cs="Times New Roman"/>
          <w:sz w:val="24"/>
          <w:szCs w:val="24"/>
        </w:rPr>
        <w:t>make the claim that foreign loans and grants constituted 86</w:t>
      </w:r>
      <w:r w:rsidR="00234A4B" w:rsidRPr="002D0F55">
        <w:rPr>
          <w:rFonts w:ascii="Times New Roman" w:eastAsia="Calibri" w:hAnsi="Times New Roman" w:cs="Times New Roman"/>
          <w:sz w:val="24"/>
          <w:szCs w:val="24"/>
        </w:rPr>
        <w:t>%</w:t>
      </w:r>
      <w:r w:rsidR="00BD5800" w:rsidRPr="002D0F55">
        <w:rPr>
          <w:rFonts w:ascii="Times New Roman" w:eastAsia="Calibri" w:hAnsi="Times New Roman" w:cs="Times New Roman"/>
          <w:sz w:val="24"/>
          <w:szCs w:val="24"/>
        </w:rPr>
        <w:t xml:space="preserve"> of the government’s development budget in </w:t>
      </w:r>
      <w:r w:rsidR="00294465" w:rsidRPr="002D0F55">
        <w:rPr>
          <w:rFonts w:ascii="Times New Roman" w:eastAsia="Calibri" w:hAnsi="Times New Roman" w:cs="Times New Roman"/>
          <w:sz w:val="24"/>
          <w:szCs w:val="24"/>
        </w:rPr>
        <w:t xml:space="preserve">1989-1990. These donors include the World Bank and the </w:t>
      </w:r>
      <w:r w:rsidR="00133CF1" w:rsidRPr="002D0F55">
        <w:rPr>
          <w:rFonts w:ascii="Times New Roman" w:eastAsia="Calibri" w:hAnsi="Times New Roman" w:cs="Times New Roman"/>
          <w:sz w:val="24"/>
          <w:szCs w:val="24"/>
        </w:rPr>
        <w:t>Uni</w:t>
      </w:r>
      <w:r w:rsidR="006F5FFC" w:rsidRPr="002D0F55">
        <w:rPr>
          <w:rFonts w:ascii="Times New Roman" w:eastAsia="Calibri" w:hAnsi="Times New Roman" w:cs="Times New Roman"/>
          <w:sz w:val="24"/>
          <w:szCs w:val="24"/>
        </w:rPr>
        <w:t>t</w:t>
      </w:r>
      <w:r w:rsidR="00133CF1" w:rsidRPr="002D0F55">
        <w:rPr>
          <w:rFonts w:ascii="Times New Roman" w:eastAsia="Calibri" w:hAnsi="Times New Roman" w:cs="Times New Roman"/>
          <w:sz w:val="24"/>
          <w:szCs w:val="24"/>
        </w:rPr>
        <w:t>ed</w:t>
      </w:r>
      <w:r w:rsidR="006F5FFC" w:rsidRPr="002D0F55">
        <w:rPr>
          <w:rFonts w:ascii="Times New Roman" w:eastAsia="Calibri" w:hAnsi="Times New Roman" w:cs="Times New Roman"/>
          <w:sz w:val="24"/>
          <w:szCs w:val="24"/>
        </w:rPr>
        <w:t xml:space="preserve"> States</w:t>
      </w:r>
      <w:r w:rsidR="00BA178A" w:rsidRPr="002D0F55">
        <w:rPr>
          <w:rFonts w:ascii="Times New Roman" w:eastAsia="Calibri" w:hAnsi="Times New Roman" w:cs="Times New Roman"/>
          <w:sz w:val="24"/>
          <w:szCs w:val="24"/>
        </w:rPr>
        <w:t>.</w:t>
      </w:r>
      <w:r w:rsidR="000279F7" w:rsidRPr="002D0F55">
        <w:rPr>
          <w:rStyle w:val="FootnoteReference"/>
          <w:rFonts w:ascii="Times New Roman" w:eastAsia="Calibri" w:hAnsi="Times New Roman" w:cs="Times New Roman"/>
          <w:sz w:val="24"/>
          <w:szCs w:val="24"/>
        </w:rPr>
        <w:t xml:space="preserve"> </w:t>
      </w:r>
      <w:r w:rsidR="000279F7" w:rsidRPr="002D0F55">
        <w:rPr>
          <w:rFonts w:ascii="Times New Roman" w:eastAsia="Calibri" w:hAnsi="Times New Roman" w:cs="Times New Roman"/>
          <w:sz w:val="24"/>
          <w:szCs w:val="24"/>
        </w:rPr>
        <w:t xml:space="preserve">  </w:t>
      </w:r>
      <w:r w:rsidRPr="002D0F55">
        <w:rPr>
          <w:rFonts w:ascii="Times New Roman" w:eastAsia="Calibri" w:hAnsi="Times New Roman" w:cs="Times New Roman"/>
          <w:sz w:val="24"/>
          <w:szCs w:val="24"/>
        </w:rPr>
        <w:t xml:space="preserve">Therefore, these donors can encourage the government to adopt certain policies and laws under the threat of </w:t>
      </w:r>
      <w:r w:rsidRPr="005B3C4B">
        <w:rPr>
          <w:rFonts w:ascii="Times New Roman" w:eastAsia="Calibri" w:hAnsi="Times New Roman" w:cs="Times New Roman"/>
          <w:sz w:val="24"/>
          <w:szCs w:val="24"/>
        </w:rPr>
        <w:t xml:space="preserve">the withdrawal of funds. Moreover, an economic crisis and international pressure compelled the Moi regime to re-introduce multipartyism. Consequently, due to the need for aid, and the fact that the introduction of multiparty politics was a condition for economic aid, the government of the time sensed that the benefits of embracing democratic institutions to a greater extent outweighed the costs of maintaining authoritarianism. </w:t>
      </w:r>
    </w:p>
    <w:p w14:paraId="3BFCDCA9" w14:textId="6D89259B" w:rsidR="005B3C4B" w:rsidRPr="005B3C4B" w:rsidRDefault="005B3C4B" w:rsidP="005B3C4B">
      <w:pPr>
        <w:keepNext/>
        <w:keepLines/>
        <w:spacing w:before="40" w:after="0" w:line="360" w:lineRule="auto"/>
        <w:ind w:left="360"/>
        <w:jc w:val="both"/>
        <w:outlineLvl w:val="1"/>
        <w:rPr>
          <w:rFonts w:ascii="Times New Roman" w:eastAsia="Times New Roman" w:hAnsi="Times New Roman" w:cs="Times New Roman"/>
          <w:b/>
          <w:bCs/>
          <w:color w:val="2F5496" w:themeColor="accent1" w:themeShade="BF"/>
          <w:sz w:val="26"/>
          <w:szCs w:val="26"/>
        </w:rPr>
      </w:pPr>
      <w:bookmarkStart w:id="27" w:name="_Toc65490078"/>
      <w:r w:rsidRPr="005B3C4B">
        <w:rPr>
          <w:rFonts w:ascii="Times New Roman" w:eastAsia="Times New Roman" w:hAnsi="Times New Roman" w:cs="Times New Roman"/>
          <w:b/>
          <w:bCs/>
          <w:color w:val="2F5496" w:themeColor="accent1" w:themeShade="BF"/>
          <w:sz w:val="26"/>
          <w:szCs w:val="26"/>
        </w:rPr>
        <w:t>2.</w:t>
      </w:r>
      <w:r w:rsidR="00FA6E79">
        <w:rPr>
          <w:rFonts w:ascii="Times New Roman" w:eastAsia="Times New Roman" w:hAnsi="Times New Roman" w:cs="Times New Roman"/>
          <w:b/>
          <w:bCs/>
          <w:color w:val="2F5496" w:themeColor="accent1" w:themeShade="BF"/>
          <w:sz w:val="26"/>
          <w:szCs w:val="26"/>
        </w:rPr>
        <w:t>5</w:t>
      </w:r>
      <w:r w:rsidRPr="005B3C4B">
        <w:rPr>
          <w:rFonts w:ascii="Times New Roman" w:eastAsia="Times New Roman" w:hAnsi="Times New Roman" w:cs="Times New Roman"/>
          <w:b/>
          <w:bCs/>
          <w:color w:val="2F5496" w:themeColor="accent1" w:themeShade="BF"/>
          <w:sz w:val="26"/>
          <w:szCs w:val="26"/>
        </w:rPr>
        <w:t xml:space="preserve"> THE EGALITARIAN THEORY</w:t>
      </w:r>
      <w:bookmarkEnd w:id="27"/>
    </w:p>
    <w:p w14:paraId="6EAA0B4B" w14:textId="5C1DC648"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egalitarian theory acknowledges that there is an inequality of resources and that this has an impact on political processes. Therefore, egalitarians seek an equalization of chances for participation in the electoral process. This equalization can be achieved through election campaign financing. Egalitarians believe that the rights of individuals should not solely be looked at through the paradigm that they exist in a vacuum. Rather, they are concerned with the rights of individuals relative to the rights of others. Furthermore, they believe that equalization in the political process can be achieved through campaign financing regulation. For instance, contribution caps and expenditure limits would prevent candidates with greater wealth to overshadow candidates with less financial resources.</w:t>
      </w:r>
    </w:p>
    <w:p w14:paraId="0C803C87" w14:textId="010D6CD5"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According to Rawls, justice is a social contract between people when they set aside their differences and identities. In addition, he suggests that each person should enjoy, to the extent possible, equal rights to others. Also, Rawls suggests that social and economic inequalities have to be adjusted to guarantee that the least advantaged receives a minimum in terms of fairness and equality. Naturally, Rawls's disposition is that all political offices and positions should be open to everyone in the spirit of fairness and equality of opportunity. Furthermore, he cautions that the use of wealth by the wealthy to influence public debate negates the liberties of others. In other words, the wealthy have a greater influence than the hoi polloi on the outcome of the legislative process when they fund political campaigns. Mechanisms that can address this phenomenon lie in political financing regulation. For instance, public funding of political parties would even the playing field such that there is a minimum amount even the least funded political party would be entitled to. </w:t>
      </w:r>
    </w:p>
    <w:p w14:paraId="2E9EB952" w14:textId="6AE2E0CE"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Egalitarians focus on two things concerning the struggle for equality. First is the equality of arms, second is the equality of political influence and third is the equality to access to the marketplace of ideas. The first, equality of arms, is meant to arrive at the result where a candidate or a party has an equal chance to spend funds and convince the voters and win elections</w:t>
      </w:r>
      <w:r w:rsidR="00363D31">
        <w:rPr>
          <w:rFonts w:ascii="Times New Roman" w:eastAsia="Calibri" w:hAnsi="Times New Roman" w:cs="Times New Roman"/>
          <w:sz w:val="24"/>
          <w:szCs w:val="24"/>
        </w:rPr>
        <w:t>.</w:t>
      </w:r>
      <w:r w:rsidRPr="005B3C4B">
        <w:rPr>
          <w:rFonts w:ascii="Times New Roman" w:eastAsia="Calibri" w:hAnsi="Times New Roman" w:cs="Times New Roman"/>
          <w:sz w:val="24"/>
          <w:szCs w:val="24"/>
        </w:rPr>
        <w:t xml:space="preserve"> This is achieved through caps on expenditure and providing public funding for poor candidates. Furthermore, equality of influence, on the other hand, is directed toward the citizen who makes contributions. Moreover, it ensures that each citizen has an equal opportunity to every other citizen to influence leaders. This is achieved through contribution limits.</w:t>
      </w:r>
    </w:p>
    <w:p w14:paraId="1A38540F" w14:textId="1CD72C29" w:rsid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Equality of access focuses on third party expenditure. Further, under this principle, limitation on third party expenditure in campaign advertising protects a citizen’s right to openly participate in the political arena as a speaker or a listener. The egalitarian theory, in effect, is meant to create an atmosphere where wealth does not grant some individuals more control than others over the political process. This is relevant in the Kenyan context because it would limit the amount of money connected to the corruption that would find its way into the politics of the country.</w:t>
      </w:r>
    </w:p>
    <w:p w14:paraId="3DA7F76E" w14:textId="05C5D4F9" w:rsidR="00363D31" w:rsidRPr="002D0F55" w:rsidRDefault="00E23054" w:rsidP="005B3C4B">
      <w:pPr>
        <w:spacing w:line="360" w:lineRule="auto"/>
        <w:jc w:val="both"/>
        <w:rPr>
          <w:rFonts w:ascii="Times New Roman" w:eastAsia="Calibri" w:hAnsi="Times New Roman" w:cs="Times New Roman"/>
          <w:sz w:val="24"/>
          <w:szCs w:val="24"/>
        </w:rPr>
      </w:pPr>
      <w:r w:rsidRPr="002D0F55">
        <w:rPr>
          <w:rFonts w:ascii="Times New Roman" w:eastAsia="Calibri" w:hAnsi="Times New Roman" w:cs="Times New Roman"/>
          <w:sz w:val="24"/>
          <w:szCs w:val="24"/>
        </w:rPr>
        <w:t xml:space="preserve">A weakness of the egalitarian theory is found in its </w:t>
      </w:r>
      <w:r w:rsidR="000319D8" w:rsidRPr="002D0F55">
        <w:rPr>
          <w:rFonts w:ascii="Times New Roman" w:eastAsia="Calibri" w:hAnsi="Times New Roman" w:cs="Times New Roman"/>
          <w:sz w:val="24"/>
          <w:szCs w:val="24"/>
        </w:rPr>
        <w:t xml:space="preserve">poor </w:t>
      </w:r>
      <w:r w:rsidRPr="002D0F55">
        <w:rPr>
          <w:rFonts w:ascii="Times New Roman" w:eastAsia="Calibri" w:hAnsi="Times New Roman" w:cs="Times New Roman"/>
          <w:sz w:val="24"/>
          <w:szCs w:val="24"/>
        </w:rPr>
        <w:t>application</w:t>
      </w:r>
      <w:r w:rsidR="00910667" w:rsidRPr="002D0F55">
        <w:rPr>
          <w:rFonts w:ascii="Times New Roman" w:eastAsia="Calibri" w:hAnsi="Times New Roman" w:cs="Times New Roman"/>
          <w:sz w:val="24"/>
          <w:szCs w:val="24"/>
        </w:rPr>
        <w:t>.</w:t>
      </w:r>
      <w:r w:rsidR="006C18E9" w:rsidRPr="002D0F55">
        <w:rPr>
          <w:rFonts w:ascii="Times New Roman" w:eastAsia="Calibri" w:hAnsi="Times New Roman" w:cs="Times New Roman"/>
          <w:sz w:val="24"/>
          <w:szCs w:val="24"/>
        </w:rPr>
        <w:t xml:space="preserve"> In the Kenyan context, for instance, consider that opposition parties are sometimes denied funding. This defeats the egalitarian ends </w:t>
      </w:r>
      <w:r w:rsidR="00091FC4" w:rsidRPr="002D0F55">
        <w:rPr>
          <w:rFonts w:ascii="Times New Roman" w:eastAsia="Calibri" w:hAnsi="Times New Roman" w:cs="Times New Roman"/>
          <w:sz w:val="24"/>
          <w:szCs w:val="24"/>
        </w:rPr>
        <w:t xml:space="preserve">of levelling the playing field </w:t>
      </w:r>
      <w:r w:rsidR="006C18E9" w:rsidRPr="002D0F55">
        <w:rPr>
          <w:rFonts w:ascii="Times New Roman" w:eastAsia="Calibri" w:hAnsi="Times New Roman" w:cs="Times New Roman"/>
          <w:sz w:val="24"/>
          <w:szCs w:val="24"/>
        </w:rPr>
        <w:t xml:space="preserve">that are to be achieved through public funding. Consider that in the </w:t>
      </w:r>
      <w:r w:rsidR="004F7805" w:rsidRPr="002D0F55">
        <w:rPr>
          <w:rFonts w:ascii="Times New Roman" w:eastAsia="Calibri" w:hAnsi="Times New Roman" w:cs="Times New Roman"/>
          <w:sz w:val="24"/>
          <w:szCs w:val="24"/>
        </w:rPr>
        <w:t>period of 2012 to 2016 the Orange Demo</w:t>
      </w:r>
      <w:r w:rsidR="00E50D71" w:rsidRPr="002D0F55">
        <w:rPr>
          <w:rFonts w:ascii="Times New Roman" w:eastAsia="Calibri" w:hAnsi="Times New Roman" w:cs="Times New Roman"/>
          <w:sz w:val="24"/>
          <w:szCs w:val="24"/>
        </w:rPr>
        <w:t>c</w:t>
      </w:r>
      <w:r w:rsidR="004F7805" w:rsidRPr="002D0F55">
        <w:rPr>
          <w:rFonts w:ascii="Times New Roman" w:eastAsia="Calibri" w:hAnsi="Times New Roman" w:cs="Times New Roman"/>
          <w:sz w:val="24"/>
          <w:szCs w:val="24"/>
        </w:rPr>
        <w:t xml:space="preserve">ratic Movement, an opposition </w:t>
      </w:r>
      <w:r w:rsidR="00F10877" w:rsidRPr="002D0F55">
        <w:rPr>
          <w:rFonts w:ascii="Times New Roman" w:eastAsia="Calibri" w:hAnsi="Times New Roman" w:cs="Times New Roman"/>
          <w:sz w:val="24"/>
          <w:szCs w:val="24"/>
        </w:rPr>
        <w:t>p</w:t>
      </w:r>
      <w:r w:rsidR="004F7805" w:rsidRPr="002D0F55">
        <w:rPr>
          <w:rFonts w:ascii="Times New Roman" w:eastAsia="Calibri" w:hAnsi="Times New Roman" w:cs="Times New Roman"/>
          <w:sz w:val="24"/>
          <w:szCs w:val="24"/>
        </w:rPr>
        <w:t>arty</w:t>
      </w:r>
      <w:r w:rsidR="00E50D71" w:rsidRPr="002D0F55">
        <w:rPr>
          <w:rFonts w:ascii="Times New Roman" w:eastAsia="Calibri" w:hAnsi="Times New Roman" w:cs="Times New Roman"/>
          <w:sz w:val="24"/>
          <w:szCs w:val="24"/>
        </w:rPr>
        <w:t xml:space="preserve"> was denied funding amounting to 4.1 billion shillings.</w:t>
      </w:r>
      <w:r w:rsidR="00F10877" w:rsidRPr="002D0F55">
        <w:rPr>
          <w:rFonts w:ascii="Times New Roman" w:eastAsia="Calibri" w:hAnsi="Times New Roman" w:cs="Times New Roman"/>
          <w:sz w:val="24"/>
          <w:szCs w:val="24"/>
        </w:rPr>
        <w:t xml:space="preserve"> These funds were yet to be disburs</w:t>
      </w:r>
      <w:r w:rsidR="00991681" w:rsidRPr="002D0F55">
        <w:rPr>
          <w:rFonts w:ascii="Times New Roman" w:eastAsia="Calibri" w:hAnsi="Times New Roman" w:cs="Times New Roman"/>
          <w:sz w:val="24"/>
          <w:szCs w:val="24"/>
        </w:rPr>
        <w:t>ed</w:t>
      </w:r>
      <w:r w:rsidR="00F10877" w:rsidRPr="002D0F55">
        <w:rPr>
          <w:rFonts w:ascii="Times New Roman" w:eastAsia="Calibri" w:hAnsi="Times New Roman" w:cs="Times New Roman"/>
          <w:sz w:val="24"/>
          <w:szCs w:val="24"/>
        </w:rPr>
        <w:t xml:space="preserve"> to the</w:t>
      </w:r>
      <w:r w:rsidR="0034639F" w:rsidRPr="002D0F55">
        <w:rPr>
          <w:rFonts w:ascii="Times New Roman" w:eastAsia="Calibri" w:hAnsi="Times New Roman" w:cs="Times New Roman"/>
          <w:sz w:val="24"/>
          <w:szCs w:val="24"/>
        </w:rPr>
        <w:t>m even after the 2017 general election. Therefore, this party participated in the 2017 general election with financial disadvantage</w:t>
      </w:r>
      <w:r w:rsidR="001D3067" w:rsidRPr="002D0F55">
        <w:rPr>
          <w:rFonts w:ascii="Times New Roman" w:eastAsia="Calibri" w:hAnsi="Times New Roman" w:cs="Times New Roman"/>
          <w:sz w:val="24"/>
          <w:szCs w:val="24"/>
        </w:rPr>
        <w:t>s</w:t>
      </w:r>
      <w:r w:rsidR="0034639F" w:rsidRPr="002D0F55">
        <w:rPr>
          <w:rFonts w:ascii="Times New Roman" w:eastAsia="Calibri" w:hAnsi="Times New Roman" w:cs="Times New Roman"/>
          <w:sz w:val="24"/>
          <w:szCs w:val="24"/>
        </w:rPr>
        <w:t>.</w:t>
      </w:r>
      <w:r w:rsidR="00363D31" w:rsidRPr="002D0F55">
        <w:rPr>
          <w:rFonts w:ascii="Times New Roman" w:eastAsia="Calibri" w:hAnsi="Times New Roman" w:cs="Times New Roman"/>
          <w:sz w:val="24"/>
          <w:szCs w:val="24"/>
        </w:rPr>
        <w:t xml:space="preserve"> </w:t>
      </w:r>
    </w:p>
    <w:p w14:paraId="7DFD920C" w14:textId="2E9ED14C" w:rsidR="005B3C4B" w:rsidRPr="005B3C4B" w:rsidRDefault="005B3C4B" w:rsidP="005B3C4B">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28" w:name="_Toc65490079"/>
      <w:r w:rsidRPr="005B3C4B">
        <w:rPr>
          <w:rFonts w:ascii="Times New Roman" w:eastAsia="Times New Roman" w:hAnsi="Times New Roman" w:cs="Times New Roman"/>
          <w:b/>
          <w:bCs/>
          <w:color w:val="2F5496" w:themeColor="accent1" w:themeShade="BF"/>
          <w:sz w:val="26"/>
          <w:szCs w:val="26"/>
        </w:rPr>
        <w:t>2.</w:t>
      </w:r>
      <w:r w:rsidR="00FA6E79">
        <w:rPr>
          <w:rFonts w:ascii="Times New Roman" w:eastAsia="Times New Roman" w:hAnsi="Times New Roman" w:cs="Times New Roman"/>
          <w:b/>
          <w:bCs/>
          <w:color w:val="2F5496" w:themeColor="accent1" w:themeShade="BF"/>
          <w:sz w:val="26"/>
          <w:szCs w:val="26"/>
        </w:rPr>
        <w:t>6</w:t>
      </w:r>
      <w:r w:rsidRPr="005B3C4B">
        <w:rPr>
          <w:rFonts w:ascii="Times New Roman" w:eastAsia="Times New Roman" w:hAnsi="Times New Roman" w:cs="Times New Roman"/>
          <w:b/>
          <w:bCs/>
          <w:color w:val="2F5496" w:themeColor="accent1" w:themeShade="BF"/>
          <w:sz w:val="26"/>
          <w:szCs w:val="26"/>
        </w:rPr>
        <w:t xml:space="preserve"> CONCLUSION</w:t>
      </w:r>
      <w:bookmarkEnd w:id="28"/>
    </w:p>
    <w:p w14:paraId="28E6DBC7" w14:textId="4CBB9117" w:rsidR="008C1AD9"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 xml:space="preserve">From this chapter, three theories have been suggested to explain the phenomenon that is campaign financing regulation. </w:t>
      </w:r>
      <w:r w:rsidR="0039249F">
        <w:rPr>
          <w:rFonts w:ascii="Times New Roman" w:eastAsia="Calibri" w:hAnsi="Times New Roman" w:cs="Times New Roman"/>
          <w:sz w:val="24"/>
          <w:szCs w:val="24"/>
        </w:rPr>
        <w:t>The first theory discussed i</w:t>
      </w:r>
      <w:r w:rsidR="008C1AD9">
        <w:rPr>
          <w:rFonts w:ascii="Times New Roman" w:eastAsia="Calibri" w:hAnsi="Times New Roman" w:cs="Times New Roman"/>
          <w:sz w:val="24"/>
          <w:szCs w:val="24"/>
        </w:rPr>
        <w:t>s</w:t>
      </w:r>
      <w:r w:rsidR="0039249F">
        <w:rPr>
          <w:rFonts w:ascii="Times New Roman" w:eastAsia="Calibri" w:hAnsi="Times New Roman" w:cs="Times New Roman"/>
          <w:sz w:val="24"/>
          <w:szCs w:val="24"/>
        </w:rPr>
        <w:t xml:space="preserve"> the liberal democracy theory</w:t>
      </w:r>
      <w:r w:rsidR="008C1AD9">
        <w:rPr>
          <w:rFonts w:ascii="Times New Roman" w:eastAsia="Calibri" w:hAnsi="Times New Roman" w:cs="Times New Roman"/>
          <w:sz w:val="24"/>
          <w:szCs w:val="24"/>
        </w:rPr>
        <w:t>.</w:t>
      </w:r>
      <w:r w:rsidR="000C4A6C">
        <w:rPr>
          <w:rFonts w:ascii="Times New Roman" w:eastAsia="Calibri" w:hAnsi="Times New Roman" w:cs="Times New Roman"/>
          <w:sz w:val="24"/>
          <w:szCs w:val="24"/>
        </w:rPr>
        <w:t xml:space="preserve"> </w:t>
      </w:r>
      <w:r w:rsidRPr="005B3C4B">
        <w:rPr>
          <w:rFonts w:ascii="Times New Roman" w:eastAsia="Calibri" w:hAnsi="Times New Roman" w:cs="Times New Roman"/>
          <w:sz w:val="24"/>
          <w:szCs w:val="24"/>
        </w:rPr>
        <w:t xml:space="preserve">The </w:t>
      </w:r>
      <w:r w:rsidR="00461D29">
        <w:rPr>
          <w:rFonts w:ascii="Times New Roman" w:eastAsia="Calibri" w:hAnsi="Times New Roman" w:cs="Times New Roman"/>
          <w:sz w:val="24"/>
          <w:szCs w:val="24"/>
        </w:rPr>
        <w:t>second theory discussed</w:t>
      </w:r>
      <w:r w:rsidRPr="005B3C4B">
        <w:rPr>
          <w:rFonts w:ascii="Times New Roman" w:eastAsia="Calibri" w:hAnsi="Times New Roman" w:cs="Times New Roman"/>
          <w:sz w:val="24"/>
          <w:szCs w:val="24"/>
        </w:rPr>
        <w:t xml:space="preserve"> is the public interest theory of government regulation. The </w:t>
      </w:r>
      <w:r w:rsidR="0038210D">
        <w:rPr>
          <w:rFonts w:ascii="Times New Roman" w:eastAsia="Calibri" w:hAnsi="Times New Roman" w:cs="Times New Roman"/>
          <w:sz w:val="24"/>
          <w:szCs w:val="24"/>
        </w:rPr>
        <w:t>third</w:t>
      </w:r>
      <w:r w:rsidRPr="005B3C4B">
        <w:rPr>
          <w:rFonts w:ascii="Times New Roman" w:eastAsia="Calibri" w:hAnsi="Times New Roman" w:cs="Times New Roman"/>
          <w:sz w:val="24"/>
          <w:szCs w:val="24"/>
        </w:rPr>
        <w:t xml:space="preserve">, on the other hand, is the private interest theory of government regulation and the </w:t>
      </w:r>
      <w:r w:rsidR="0039249F">
        <w:rPr>
          <w:rFonts w:ascii="Times New Roman" w:eastAsia="Calibri" w:hAnsi="Times New Roman" w:cs="Times New Roman"/>
          <w:sz w:val="24"/>
          <w:szCs w:val="24"/>
        </w:rPr>
        <w:t>fourth</w:t>
      </w:r>
      <w:r w:rsidRPr="005B3C4B">
        <w:rPr>
          <w:rFonts w:ascii="Times New Roman" w:eastAsia="Calibri" w:hAnsi="Times New Roman" w:cs="Times New Roman"/>
          <w:sz w:val="24"/>
          <w:szCs w:val="24"/>
        </w:rPr>
        <w:t xml:space="preserve"> is the egalitarian theory. </w:t>
      </w:r>
    </w:p>
    <w:p w14:paraId="7C77BB4A" w14:textId="1858FCCC" w:rsidR="008C1AD9" w:rsidRDefault="008C1AD9" w:rsidP="005B3C4B">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liberal democracy theory entails the premise that people participate over their own affairs. Naturally, for the participation of citizens over their own affairs, transparency is essential in political financing regulation. This is because the citizenry requires information to enable them to make informed decisions. </w:t>
      </w:r>
    </w:p>
    <w:p w14:paraId="03D8C4F5" w14:textId="3369CA04"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public interest theory of government regulation works on the assumption that the government in question has noble intentions and proceeds to regulate campaign financing against this backdrop. Therefore, the goal is to correct inefficiencies such as corruption and the misuse of public resources to finance campaigns. The caveat to this theory is that it makes the strong assumption that a government is benevolent.</w:t>
      </w:r>
    </w:p>
    <w:p w14:paraId="2E08A261" w14:textId="77777777"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In contrast, the private theory of government regulation puts focus on the role of various interest groups, both internal and external, in campaign financing regulation. Under this theory, the policies on governmental regulation are products of the forces, both internal and external, that influence the legislative process. It follows that the outcome of political financing regulation under this theory, the result may be to the detriment of some actors.</w:t>
      </w:r>
    </w:p>
    <w:p w14:paraId="1C4A1FA2" w14:textId="77777777" w:rsidR="005B3C4B" w:rsidRPr="005B3C4B" w:rsidRDefault="005B3C4B" w:rsidP="005B3C4B">
      <w:pPr>
        <w:spacing w:line="360" w:lineRule="auto"/>
        <w:jc w:val="both"/>
        <w:rPr>
          <w:rFonts w:ascii="Times New Roman" w:eastAsia="Calibri" w:hAnsi="Times New Roman" w:cs="Times New Roman"/>
          <w:sz w:val="24"/>
          <w:szCs w:val="24"/>
        </w:rPr>
      </w:pPr>
      <w:r w:rsidRPr="005B3C4B">
        <w:rPr>
          <w:rFonts w:ascii="Times New Roman" w:eastAsia="Calibri" w:hAnsi="Times New Roman" w:cs="Times New Roman"/>
          <w:sz w:val="24"/>
          <w:szCs w:val="24"/>
        </w:rPr>
        <w:t>The egalitarian theory attempts to stymie the disproportionate influence the wealthy have over the political process vis a vis the hoi polloi. Through expenditure caps and donation caps, the field will be levelled such that limitations will bar the rich from drowning out the voices of the poor. It is significant because it limits the chances of large amounts of proceeds from corruption making their way into the political process.</w:t>
      </w:r>
    </w:p>
    <w:p w14:paraId="0709B68D" w14:textId="6A5D4CBF" w:rsidR="005B3C4B" w:rsidRPr="00EA5686" w:rsidRDefault="005B3C4B" w:rsidP="00EA5686">
      <w:pPr>
        <w:spacing w:line="254" w:lineRule="auto"/>
        <w:rPr>
          <w:rFonts w:ascii="Times New Roman" w:eastAsia="Calibri" w:hAnsi="Times New Roman" w:cs="Times New Roman"/>
          <w:sz w:val="24"/>
          <w:szCs w:val="24"/>
        </w:rPr>
      </w:pPr>
      <w:r w:rsidRPr="005B3C4B">
        <w:rPr>
          <w:rFonts w:ascii="Times New Roman" w:eastAsia="Calibri" w:hAnsi="Times New Roman" w:cs="Times New Roman"/>
          <w:sz w:val="24"/>
          <w:szCs w:val="24"/>
        </w:rPr>
        <w:br w:type="page"/>
      </w:r>
    </w:p>
    <w:p w14:paraId="5DD109EC" w14:textId="77777777" w:rsidR="00176351" w:rsidRPr="00176351" w:rsidRDefault="00176351" w:rsidP="00176351">
      <w:pPr>
        <w:keepNext/>
        <w:keepLines/>
        <w:spacing w:before="240" w:after="0" w:line="360" w:lineRule="auto"/>
        <w:jc w:val="both"/>
        <w:outlineLvl w:val="0"/>
        <w:rPr>
          <w:rFonts w:ascii="Times New Roman" w:eastAsia="Times New Roman" w:hAnsi="Times New Roman" w:cs="Times New Roman"/>
          <w:b/>
          <w:bCs/>
          <w:color w:val="2F5496" w:themeColor="accent1" w:themeShade="BF"/>
          <w:sz w:val="32"/>
          <w:szCs w:val="32"/>
        </w:rPr>
      </w:pPr>
      <w:bookmarkStart w:id="29" w:name="_Toc65490080"/>
      <w:r w:rsidRPr="00176351">
        <w:rPr>
          <w:rFonts w:ascii="Times New Roman" w:eastAsia="Times New Roman" w:hAnsi="Times New Roman" w:cs="Times New Roman"/>
          <w:b/>
          <w:bCs/>
          <w:color w:val="2F5496" w:themeColor="accent1" w:themeShade="BF"/>
          <w:sz w:val="32"/>
          <w:szCs w:val="32"/>
        </w:rPr>
        <w:t>CHAPTER 3: CORRUPTION AND POLITICAL FINANCING IN KENYA</w:t>
      </w:r>
      <w:bookmarkEnd w:id="29"/>
      <w:r w:rsidRPr="00176351">
        <w:rPr>
          <w:rFonts w:ascii="Times New Roman" w:eastAsia="Times New Roman" w:hAnsi="Times New Roman" w:cs="Times New Roman"/>
          <w:b/>
          <w:bCs/>
          <w:color w:val="2F5496" w:themeColor="accent1" w:themeShade="BF"/>
          <w:sz w:val="32"/>
          <w:szCs w:val="32"/>
        </w:rPr>
        <w:t xml:space="preserve"> </w:t>
      </w:r>
    </w:p>
    <w:p w14:paraId="37769659" w14:textId="64B9D003" w:rsid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0" w:name="_Toc65490081"/>
      <w:r w:rsidRPr="00176351">
        <w:rPr>
          <w:rFonts w:ascii="Times New Roman" w:eastAsia="Times New Roman" w:hAnsi="Times New Roman" w:cs="Times New Roman"/>
          <w:b/>
          <w:bCs/>
          <w:color w:val="2F5496" w:themeColor="accent1" w:themeShade="BF"/>
          <w:sz w:val="26"/>
          <w:szCs w:val="26"/>
        </w:rPr>
        <w:t>3.1 INTRODUCTION</w:t>
      </w:r>
      <w:bookmarkEnd w:id="30"/>
    </w:p>
    <w:p w14:paraId="476DF0EF" w14:textId="5D5C0F74" w:rsidR="00BF1951" w:rsidRPr="007E5DB6" w:rsidRDefault="00BF1951" w:rsidP="007E5DB6">
      <w:pPr>
        <w:spacing w:line="360" w:lineRule="auto"/>
        <w:jc w:val="both"/>
        <w:rPr>
          <w:rFonts w:ascii="Times New Roman" w:hAnsi="Times New Roman" w:cs="Times New Roman"/>
          <w:sz w:val="24"/>
          <w:szCs w:val="24"/>
        </w:rPr>
      </w:pPr>
      <w:r w:rsidRPr="007E5DB6">
        <w:rPr>
          <w:rFonts w:ascii="Times New Roman" w:hAnsi="Times New Roman" w:cs="Times New Roman"/>
          <w:sz w:val="24"/>
          <w:szCs w:val="24"/>
        </w:rPr>
        <w:t xml:space="preserve">This </w:t>
      </w:r>
      <w:r>
        <w:rPr>
          <w:rFonts w:ascii="Times New Roman" w:hAnsi="Times New Roman" w:cs="Times New Roman"/>
          <w:sz w:val="24"/>
          <w:szCs w:val="24"/>
        </w:rPr>
        <w:t xml:space="preserve">chapter begins by defining corruption for the purposes of this study. Thereafter, it proceeds to outline the Goldenberg Corruption Scandal in relation to political campaign financing. Additionally, this chapter </w:t>
      </w:r>
      <w:r w:rsidR="005E644D">
        <w:rPr>
          <w:rFonts w:ascii="Times New Roman" w:hAnsi="Times New Roman" w:cs="Times New Roman"/>
          <w:sz w:val="24"/>
          <w:szCs w:val="24"/>
        </w:rPr>
        <w:t xml:space="preserve">then delves into the international, </w:t>
      </w:r>
      <w:proofErr w:type="gramStart"/>
      <w:r w:rsidR="005E644D">
        <w:rPr>
          <w:rFonts w:ascii="Times New Roman" w:hAnsi="Times New Roman" w:cs="Times New Roman"/>
          <w:sz w:val="24"/>
          <w:szCs w:val="24"/>
        </w:rPr>
        <w:t>regional</w:t>
      </w:r>
      <w:proofErr w:type="gramEnd"/>
      <w:r w:rsidR="005E644D">
        <w:rPr>
          <w:rFonts w:ascii="Times New Roman" w:hAnsi="Times New Roman" w:cs="Times New Roman"/>
          <w:sz w:val="24"/>
          <w:szCs w:val="24"/>
        </w:rPr>
        <w:t xml:space="preserve"> and national legal framework surrounding political campaign financing</w:t>
      </w:r>
      <w:r w:rsidR="00EF1C8B">
        <w:rPr>
          <w:rFonts w:ascii="Times New Roman" w:hAnsi="Times New Roman" w:cs="Times New Roman"/>
          <w:sz w:val="24"/>
          <w:szCs w:val="24"/>
        </w:rPr>
        <w:t xml:space="preserve"> and assesses some of the challenges faced in this area. The chapter proceeds to outline the challenges concerning political financing regulation in Kenya before concluding.</w:t>
      </w:r>
    </w:p>
    <w:p w14:paraId="5B72B896" w14:textId="77777777" w:rsidR="00176351" w:rsidRPr="00176351" w:rsidRDefault="00176351" w:rsidP="00176351">
      <w:pPr>
        <w:keepNext/>
        <w:keepLines/>
        <w:spacing w:before="40" w:after="0" w:line="360" w:lineRule="auto"/>
        <w:jc w:val="both"/>
        <w:outlineLvl w:val="1"/>
        <w:rPr>
          <w:rFonts w:ascii="Times New Roman" w:eastAsia="Calibri" w:hAnsi="Times New Roman" w:cs="Times New Roman"/>
          <w:b/>
          <w:bCs/>
        </w:rPr>
      </w:pPr>
      <w:bookmarkStart w:id="31" w:name="_Toc65490082"/>
      <w:r w:rsidRPr="00176351">
        <w:rPr>
          <w:rFonts w:ascii="Times New Roman" w:eastAsia="Times New Roman" w:hAnsi="Times New Roman" w:cs="Times New Roman"/>
          <w:b/>
          <w:bCs/>
          <w:color w:val="2F5496" w:themeColor="accent1" w:themeShade="BF"/>
          <w:sz w:val="26"/>
          <w:szCs w:val="26"/>
        </w:rPr>
        <w:t>3.1.2 DEFINITION OF CORRUPTION</w:t>
      </w:r>
      <w:bookmarkEnd w:id="31"/>
    </w:p>
    <w:p w14:paraId="5B202DAE" w14:textId="5AB2F6C2" w:rsidR="00176351" w:rsidRPr="00176351" w:rsidRDefault="00176351" w:rsidP="00176351">
      <w:pPr>
        <w:spacing w:line="360" w:lineRule="auto"/>
        <w:jc w:val="both"/>
        <w:rPr>
          <w:rFonts w:ascii="Times New Roman" w:eastAsia="Calibri" w:hAnsi="Times New Roman" w:cs="Times New Roman"/>
        </w:rPr>
      </w:pPr>
      <w:r w:rsidRPr="00176351">
        <w:rPr>
          <w:rFonts w:ascii="Times New Roman" w:eastAsia="Calibri" w:hAnsi="Times New Roman" w:cs="Times New Roman"/>
        </w:rPr>
        <w:t xml:space="preserve">Guided by the </w:t>
      </w:r>
      <w:bookmarkStart w:id="32" w:name="_Hlk64635750"/>
      <w:r w:rsidRPr="00176351">
        <w:rPr>
          <w:rFonts w:ascii="Times New Roman" w:eastAsia="Calibri" w:hAnsi="Times New Roman" w:cs="Times New Roman"/>
        </w:rPr>
        <w:t>Anti-Corruption and Economic Crimes Act</w:t>
      </w:r>
      <w:bookmarkEnd w:id="32"/>
      <w:r w:rsidRPr="00176351">
        <w:rPr>
          <w:rFonts w:ascii="Times New Roman" w:eastAsia="Calibri" w:hAnsi="Times New Roman" w:cs="Times New Roman"/>
        </w:rPr>
        <w:t>, fraud and the embezzlement or misappropriation of public funds fall within the scope of corruption. Therefore, the Goldenberg Corruption Scandal whereby fictitious exports of gold and diamond jewellery were used to acquire</w:t>
      </w:r>
      <w:r w:rsidR="00DB4D9B">
        <w:rPr>
          <w:rFonts w:ascii="Times New Roman" w:eastAsia="Calibri" w:hAnsi="Times New Roman" w:cs="Times New Roman"/>
        </w:rPr>
        <w:t xml:space="preserve"> monetary</w:t>
      </w:r>
      <w:r w:rsidR="006A0056">
        <w:rPr>
          <w:rFonts w:ascii="Times New Roman" w:eastAsia="Calibri" w:hAnsi="Times New Roman" w:cs="Times New Roman"/>
        </w:rPr>
        <w:t xml:space="preserve"> compensation</w:t>
      </w:r>
      <w:r w:rsidRPr="00176351">
        <w:rPr>
          <w:rFonts w:ascii="Times New Roman" w:eastAsia="Calibri" w:hAnsi="Times New Roman" w:cs="Times New Roman"/>
        </w:rPr>
        <w:t xml:space="preserve"> from the government falls within this </w:t>
      </w:r>
      <w:proofErr w:type="gramStart"/>
      <w:r w:rsidRPr="00176351">
        <w:rPr>
          <w:rFonts w:ascii="Times New Roman" w:eastAsia="Calibri" w:hAnsi="Times New Roman" w:cs="Times New Roman"/>
        </w:rPr>
        <w:t>definition.</w:t>
      </w:r>
      <w:r w:rsidR="00991880">
        <w:rPr>
          <w:rFonts w:ascii="Times New Roman" w:eastAsia="Calibri" w:hAnsi="Times New Roman" w:cs="Times New Roman"/>
        </w:rPr>
        <w:t>Acco</w:t>
      </w:r>
      <w:r w:rsidR="00C45B77">
        <w:rPr>
          <w:rFonts w:ascii="Times New Roman" w:eastAsia="Calibri" w:hAnsi="Times New Roman" w:cs="Times New Roman"/>
        </w:rPr>
        <w:t>rding</w:t>
      </w:r>
      <w:proofErr w:type="gramEnd"/>
      <w:r w:rsidR="00991880">
        <w:rPr>
          <w:rFonts w:ascii="Times New Roman" w:eastAsia="Calibri" w:hAnsi="Times New Roman" w:cs="Times New Roman"/>
        </w:rPr>
        <w:t xml:space="preserve"> </w:t>
      </w:r>
      <w:r w:rsidR="00C45B77">
        <w:rPr>
          <w:rFonts w:ascii="Times New Roman" w:eastAsia="Calibri" w:hAnsi="Times New Roman" w:cs="Times New Roman"/>
        </w:rPr>
        <w:t>to</w:t>
      </w:r>
      <w:r w:rsidR="00991880">
        <w:rPr>
          <w:rFonts w:ascii="Times New Roman" w:eastAsia="Calibri" w:hAnsi="Times New Roman" w:cs="Times New Roman"/>
        </w:rPr>
        <w:t xml:space="preserve"> Odhiambo, this money which was acquired through fraudulent means</w:t>
      </w:r>
      <w:r w:rsidR="000744A1">
        <w:rPr>
          <w:rFonts w:ascii="Times New Roman" w:eastAsia="Calibri" w:hAnsi="Times New Roman" w:cs="Times New Roman"/>
        </w:rPr>
        <w:t xml:space="preserve">, </w:t>
      </w:r>
      <w:r w:rsidR="00724BE0">
        <w:rPr>
          <w:rFonts w:ascii="Times New Roman" w:eastAsia="Calibri" w:hAnsi="Times New Roman" w:cs="Times New Roman"/>
        </w:rPr>
        <w:t xml:space="preserve">was then used in </w:t>
      </w:r>
      <w:r w:rsidR="00C45B77">
        <w:rPr>
          <w:rFonts w:ascii="Times New Roman" w:eastAsia="Calibri" w:hAnsi="Times New Roman" w:cs="Times New Roman"/>
        </w:rPr>
        <w:t xml:space="preserve"> funding political campaigns in </w:t>
      </w:r>
      <w:r w:rsidR="00724BE0">
        <w:rPr>
          <w:rFonts w:ascii="Times New Roman" w:eastAsia="Calibri" w:hAnsi="Times New Roman" w:cs="Times New Roman"/>
        </w:rPr>
        <w:t xml:space="preserve">the 1992 general elections. </w:t>
      </w:r>
      <w:r w:rsidRPr="00176351">
        <w:rPr>
          <w:rFonts w:ascii="Times New Roman" w:eastAsia="Calibri" w:hAnsi="Times New Roman" w:cs="Times New Roman"/>
        </w:rPr>
        <w:t xml:space="preserve">Additionally, </w:t>
      </w:r>
      <w:r w:rsidR="00BD54E0">
        <w:rPr>
          <w:rFonts w:ascii="Times New Roman" w:eastAsia="Calibri" w:hAnsi="Times New Roman" w:cs="Times New Roman"/>
        </w:rPr>
        <w:t xml:space="preserve">the </w:t>
      </w:r>
      <w:r w:rsidR="00BD54E0" w:rsidRPr="00176351">
        <w:rPr>
          <w:rFonts w:ascii="Times New Roman" w:eastAsia="Calibri" w:hAnsi="Times New Roman" w:cs="Times New Roman"/>
        </w:rPr>
        <w:t>Anti-Corruption and Economic Crimes Act</w:t>
      </w:r>
      <w:r w:rsidR="00BD54E0">
        <w:rPr>
          <w:rFonts w:ascii="Times New Roman" w:eastAsia="Calibri" w:hAnsi="Times New Roman" w:cs="Times New Roman"/>
        </w:rPr>
        <w:t xml:space="preserve">, under </w:t>
      </w:r>
      <w:r w:rsidR="00BD54E0" w:rsidRPr="00F900F6">
        <w:rPr>
          <w:rFonts w:ascii="Times New Roman" w:eastAsia="Calibri" w:hAnsi="Times New Roman" w:cs="Times New Roman"/>
          <w:i/>
          <w:iCs/>
        </w:rPr>
        <w:t>Section 2</w:t>
      </w:r>
      <w:r w:rsidR="00BD54E0">
        <w:rPr>
          <w:rFonts w:ascii="Times New Roman" w:eastAsia="Calibri" w:hAnsi="Times New Roman" w:cs="Times New Roman"/>
        </w:rPr>
        <w:t>,</w:t>
      </w:r>
      <w:r w:rsidR="00141C9D">
        <w:rPr>
          <w:rFonts w:ascii="Times New Roman" w:eastAsia="Calibri" w:hAnsi="Times New Roman" w:cs="Times New Roman"/>
        </w:rPr>
        <w:t xml:space="preserve"> classifies </w:t>
      </w:r>
      <w:r w:rsidRPr="00176351">
        <w:rPr>
          <w:rFonts w:ascii="Times New Roman" w:eastAsia="Calibri" w:hAnsi="Times New Roman" w:cs="Times New Roman"/>
        </w:rPr>
        <w:t xml:space="preserve">bribery </w:t>
      </w:r>
      <w:r w:rsidR="00141C9D">
        <w:rPr>
          <w:rFonts w:ascii="Times New Roman" w:eastAsia="Calibri" w:hAnsi="Times New Roman" w:cs="Times New Roman"/>
        </w:rPr>
        <w:t>a</w:t>
      </w:r>
      <w:r w:rsidRPr="00176351">
        <w:rPr>
          <w:rFonts w:ascii="Times New Roman" w:eastAsia="Calibri" w:hAnsi="Times New Roman" w:cs="Times New Roman"/>
        </w:rPr>
        <w:t>s a form of corruption. Furthermore, the abuse of office to confer benefits to oneself or anyone else is a form of corruption.</w:t>
      </w:r>
    </w:p>
    <w:p w14:paraId="7C854838"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3" w:name="_Toc65490083"/>
      <w:r w:rsidRPr="00176351">
        <w:rPr>
          <w:rFonts w:ascii="Times New Roman" w:eastAsia="Times New Roman" w:hAnsi="Times New Roman" w:cs="Times New Roman"/>
          <w:b/>
          <w:bCs/>
          <w:color w:val="2F5496" w:themeColor="accent1" w:themeShade="BF"/>
          <w:sz w:val="26"/>
          <w:szCs w:val="26"/>
        </w:rPr>
        <w:t>3.2 THE GOLDENBERG CORRUPTION SCANDAL AND POLITICAL FINANCING</w:t>
      </w:r>
      <w:bookmarkEnd w:id="33"/>
      <w:r w:rsidRPr="00176351">
        <w:rPr>
          <w:rFonts w:ascii="Times New Roman" w:eastAsia="Times New Roman" w:hAnsi="Times New Roman" w:cs="Times New Roman"/>
          <w:b/>
          <w:bCs/>
          <w:color w:val="2F5496" w:themeColor="accent1" w:themeShade="BF"/>
          <w:sz w:val="26"/>
          <w:szCs w:val="26"/>
        </w:rPr>
        <w:t xml:space="preserve"> </w:t>
      </w:r>
    </w:p>
    <w:p w14:paraId="20308EA5" w14:textId="3E605ADA"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Arguably, the Goldenberg Corruption Scandal is one of the most infamous corruption scandals in Kenya. This scandal involved fictitious exports of gold and diamonds f</w:t>
      </w:r>
      <w:r w:rsidR="006A0056">
        <w:rPr>
          <w:rFonts w:ascii="Times New Roman" w:eastAsia="Calibri" w:hAnsi="Times New Roman" w:cs="Times New Roman"/>
          <w:sz w:val="24"/>
          <w:szCs w:val="24"/>
        </w:rPr>
        <w:t>ro</w:t>
      </w:r>
      <w:r w:rsidRPr="00176351">
        <w:rPr>
          <w:rFonts w:ascii="Times New Roman" w:eastAsia="Calibri" w:hAnsi="Times New Roman" w:cs="Times New Roman"/>
          <w:sz w:val="24"/>
          <w:szCs w:val="24"/>
        </w:rPr>
        <w:t xml:space="preserve">m Kenya and resulted in the loss of huge sums of money from the public purse. Contracts involving large amounts of money were entered into and the government subsequently paid out money under these contracts.  According to Odhiambo, the money that was lost in this scheme was later used in funding political campaigns in Kenya in the 1992 general election. A company called Goldenberg International Limited was incorporated in August 1990 by Kamlesh Pattni and James Kanyotu, Kenya’s then Director of Intelligence. At the time, there was a foreign exchange crisis precipitated by threats of aid cuts from foreign aid donors due to the failure by the government to adhere to calls for economic and political reform and a decline in the export sector. </w:t>
      </w:r>
    </w:p>
    <w:p w14:paraId="01DD24FD" w14:textId="32A0AB80"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Goldenberg International was meant to import and export all types of minerals in Kenya to all PTA countries, Europe, </w:t>
      </w:r>
      <w:proofErr w:type="gramStart"/>
      <w:r w:rsidRPr="00176351">
        <w:rPr>
          <w:rFonts w:ascii="Times New Roman" w:eastAsia="Calibri" w:hAnsi="Times New Roman" w:cs="Times New Roman"/>
          <w:sz w:val="24"/>
          <w:szCs w:val="24"/>
        </w:rPr>
        <w:t>India</w:t>
      </w:r>
      <w:proofErr w:type="gramEnd"/>
      <w:r w:rsidRPr="00176351">
        <w:rPr>
          <w:rFonts w:ascii="Times New Roman" w:eastAsia="Calibri" w:hAnsi="Times New Roman" w:cs="Times New Roman"/>
          <w:sz w:val="24"/>
          <w:szCs w:val="24"/>
        </w:rPr>
        <w:t xml:space="preserve"> and other parts of the world. Moreover, this was intended to be a source of foreign exchange to alleviate the foreign exchange crisis. Two months after its incorporation, Goldenberg International applied to the Minister for Finance for sole rights to export diamonds and gold for five years subject to a renewal for a further five years. Also, the company was granted 35% export compensation for such exports to enable it to compete with smugglers of these commodities. Notably, this rate was 15% above the 20% that was permitted by the Export Compensation Act. The Commission of Inquiry into the Goldenberg Affair found that in granting these requests, the Minister’s handling of the application was opportunistic and calculated. Furthermore, it was suspicious that the application was granted swiftly, taking priority over other applications made before it such as that of Aurum Ltd which was at the time a significant player in the industry.</w:t>
      </w:r>
    </w:p>
    <w:p w14:paraId="1BE0B79C" w14:textId="1867E740"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Goldenberg International sought a license to operate a finance company named Goldenberg Finance Ltd. Subsequently, it was generated the exclusive right to export gold and diamond jewellery. However, because Goldenberg International was denied a forex dealership license, it opted to open an account with First American Bank. Notably, Goldenberg International produced nine declaration forms to First American Bank to prove that it received foreign exchange and to submit the returns and the funds that were allegedly remitted by Goldenberg International's overseas customers to the Central Bank of Kenya. Despite being in breach of foreign exchange regulations, the company was permitted to trade in the future and to be compensated for the same. By early 1992, Goldenberg International owned a license to open a commercial bank. Further, the company chose to open a bank by the name Exchange Bank which is used to carry out its transactions. </w:t>
      </w:r>
      <w:r w:rsidR="00C66A9F">
        <w:rPr>
          <w:rFonts w:ascii="Times New Roman" w:eastAsia="Calibri" w:hAnsi="Times New Roman" w:cs="Times New Roman"/>
          <w:sz w:val="24"/>
          <w:szCs w:val="24"/>
        </w:rPr>
        <w:t xml:space="preserve">Wachira Maina argues the claim </w:t>
      </w:r>
      <w:proofErr w:type="gramStart"/>
      <w:r w:rsidR="00C66A9F">
        <w:rPr>
          <w:rFonts w:ascii="Times New Roman" w:eastAsia="Calibri" w:hAnsi="Times New Roman" w:cs="Times New Roman"/>
          <w:sz w:val="24"/>
          <w:szCs w:val="24"/>
        </w:rPr>
        <w:t xml:space="preserve">that </w:t>
      </w:r>
      <w:r w:rsidRPr="00176351">
        <w:rPr>
          <w:rFonts w:ascii="Times New Roman" w:eastAsia="Calibri" w:hAnsi="Times New Roman" w:cs="Times New Roman"/>
          <w:sz w:val="24"/>
          <w:szCs w:val="24"/>
        </w:rPr>
        <w:t xml:space="preserve"> </w:t>
      </w:r>
      <w:r w:rsidRPr="00EC40F0">
        <w:rPr>
          <w:rFonts w:ascii="Times New Roman" w:eastAsia="Calibri" w:hAnsi="Times New Roman" w:cs="Times New Roman"/>
          <w:sz w:val="24"/>
          <w:szCs w:val="24"/>
        </w:rPr>
        <w:t>about</w:t>
      </w:r>
      <w:proofErr w:type="gramEnd"/>
      <w:r w:rsidRPr="00EC40F0">
        <w:rPr>
          <w:rFonts w:ascii="Times New Roman" w:eastAsia="Calibri" w:hAnsi="Times New Roman" w:cs="Times New Roman"/>
          <w:sz w:val="24"/>
          <w:szCs w:val="24"/>
        </w:rPr>
        <w:t xml:space="preserve"> 10% of Kenya’s Gross Domestic Product was lost in 1993 </w:t>
      </w:r>
      <w:r w:rsidRPr="00176351">
        <w:rPr>
          <w:rFonts w:ascii="Times New Roman" w:eastAsia="Calibri" w:hAnsi="Times New Roman" w:cs="Times New Roman"/>
          <w:sz w:val="24"/>
          <w:szCs w:val="24"/>
        </w:rPr>
        <w:t xml:space="preserve">due to the Goldenberg Corruption Scandal. </w:t>
      </w:r>
    </w:p>
    <w:p w14:paraId="16F089E8"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4" w:name="_Toc65490084"/>
      <w:r w:rsidRPr="00176351">
        <w:rPr>
          <w:rFonts w:ascii="Times New Roman" w:eastAsia="Times New Roman" w:hAnsi="Times New Roman" w:cs="Times New Roman"/>
          <w:b/>
          <w:bCs/>
          <w:color w:val="2F5496" w:themeColor="accent1" w:themeShade="BF"/>
          <w:sz w:val="26"/>
          <w:szCs w:val="26"/>
        </w:rPr>
        <w:t>3.3 KENYA’S POLITICAL FINANCING LAWS</w:t>
      </w:r>
      <w:bookmarkEnd w:id="34"/>
    </w:p>
    <w:p w14:paraId="24E75689" w14:textId="77777777" w:rsidR="00176351" w:rsidRPr="00176351" w:rsidRDefault="00176351" w:rsidP="00176351">
      <w:pPr>
        <w:keepNext/>
        <w:keepLines/>
        <w:spacing w:before="40" w:after="0" w:line="360" w:lineRule="auto"/>
        <w:outlineLvl w:val="1"/>
        <w:rPr>
          <w:rFonts w:ascii="Times New Roman" w:eastAsia="Times New Roman" w:hAnsi="Times New Roman" w:cs="Times New Roman"/>
          <w:b/>
          <w:bCs/>
          <w:color w:val="2F5496" w:themeColor="accent1" w:themeShade="BF"/>
          <w:sz w:val="26"/>
          <w:szCs w:val="26"/>
        </w:rPr>
      </w:pPr>
      <w:bookmarkStart w:id="35" w:name="_Toc65490085"/>
      <w:r w:rsidRPr="00176351">
        <w:rPr>
          <w:rFonts w:ascii="Times New Roman" w:eastAsia="Times New Roman" w:hAnsi="Times New Roman" w:cs="Times New Roman"/>
          <w:b/>
          <w:bCs/>
          <w:color w:val="2F5496" w:themeColor="accent1" w:themeShade="BF"/>
          <w:sz w:val="26"/>
          <w:szCs w:val="26"/>
        </w:rPr>
        <w:t>3.3.1 INTERNATIONAL LAW</w:t>
      </w:r>
      <w:bookmarkEnd w:id="35"/>
    </w:p>
    <w:p w14:paraId="59EF83A9" w14:textId="2DF1505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Constitution of Kenya under Articles 2(5) and 2(6) provides for international law to form part of the body of law to which the state is bound. Therefore, international law forms part of the Kenyan legal system. Firstly, binding international law constitutes treaties to which Kenya is a signatory under Article 2(6) of the Constitution. Secondly, under Article 2(5) of the Constitution, customary international law is also binding on the state. According to Franceschi, the Constitution creates a monist legal system whereby treaties are directly applicable without legislative approval, except for agreements relating to natural resources under Article 71 of the Constitution relating to non-self-executing treaties. This view has notable support such as from the 13</w:t>
      </w:r>
      <w:r w:rsidRPr="00176351">
        <w:rPr>
          <w:rFonts w:ascii="Times New Roman" w:eastAsia="Calibri" w:hAnsi="Times New Roman" w:cs="Times New Roman"/>
          <w:sz w:val="24"/>
          <w:szCs w:val="24"/>
          <w:vertAlign w:val="superscript"/>
        </w:rPr>
        <w:t>th</w:t>
      </w:r>
      <w:r w:rsidRPr="00176351">
        <w:rPr>
          <w:rFonts w:ascii="Times New Roman" w:eastAsia="Calibri" w:hAnsi="Times New Roman" w:cs="Times New Roman"/>
          <w:sz w:val="24"/>
          <w:szCs w:val="24"/>
        </w:rPr>
        <w:t xml:space="preserve"> Chief Justice and President of the Supreme Court, Willy Mutunga. This view, however, was expressed outside the courtroom. </w:t>
      </w:r>
    </w:p>
    <w:p w14:paraId="549AC595" w14:textId="2B4266E1"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Ambani posits that a major limitation to a dualist approach to international law is that there is little if any possibility of giving the internal effect a treaty unless there is legislation to enable it. Therefore, Ambani clarifies that this would be detrimental from a human rights perspective because international law has a progressive human rights regime. Furthermore, Ambani suggests that the most appropriate way to have a relationship between international and municipal law in the Kenyan context is through the lens of the theory of harmonisation. The theory of harmonisation holds that international law is part of the municipal legal system and therefore, it is permissible for a municipal judge to apply international law in the event it has not been domesticated through legislation. Under the theory of harmonisation, a judge has the liberty to exercise their discretion and apply international law notwithstanding that it has not been incorporated into municipal law. </w:t>
      </w:r>
    </w:p>
    <w:p w14:paraId="60ECC90F" w14:textId="771B6F71" w:rsidR="000E5D7A"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In </w:t>
      </w:r>
      <w:r w:rsidRPr="00176351">
        <w:rPr>
          <w:rFonts w:ascii="Times New Roman" w:eastAsia="Calibri" w:hAnsi="Times New Roman" w:cs="Times New Roman"/>
          <w:i/>
          <w:iCs/>
          <w:sz w:val="24"/>
          <w:szCs w:val="24"/>
        </w:rPr>
        <w:t xml:space="preserve">Re the Matter of Zipporah Wambui </w:t>
      </w:r>
      <w:proofErr w:type="gramStart"/>
      <w:r w:rsidRPr="00176351">
        <w:rPr>
          <w:rFonts w:ascii="Times New Roman" w:eastAsia="Calibri" w:hAnsi="Times New Roman" w:cs="Times New Roman"/>
          <w:i/>
          <w:iCs/>
          <w:sz w:val="24"/>
          <w:szCs w:val="24"/>
        </w:rPr>
        <w:t>Mathara</w:t>
      </w:r>
      <w:r w:rsidRPr="00176351">
        <w:rPr>
          <w:rFonts w:ascii="Times New Roman" w:eastAsia="Calibri" w:hAnsi="Times New Roman" w:cs="Times New Roman"/>
          <w:sz w:val="24"/>
          <w:szCs w:val="24"/>
        </w:rPr>
        <w:t>,</w:t>
      </w:r>
      <w:r w:rsidR="00FA622B">
        <w:rPr>
          <w:rFonts w:ascii="Times New Roman" w:eastAsia="Calibri" w:hAnsi="Times New Roman" w:cs="Times New Roman"/>
          <w:sz w:val="24"/>
          <w:szCs w:val="24"/>
        </w:rPr>
        <w:t>a</w:t>
      </w:r>
      <w:proofErr w:type="gramEnd"/>
      <w:r w:rsidR="00FA622B">
        <w:rPr>
          <w:rFonts w:ascii="Times New Roman" w:eastAsia="Calibri" w:hAnsi="Times New Roman" w:cs="Times New Roman"/>
          <w:sz w:val="24"/>
          <w:szCs w:val="24"/>
        </w:rPr>
        <w:t xml:space="preserve"> </w:t>
      </w:r>
      <w:r w:rsidR="005E229B">
        <w:rPr>
          <w:rFonts w:ascii="Times New Roman" w:eastAsia="Calibri" w:hAnsi="Times New Roman" w:cs="Times New Roman"/>
          <w:sz w:val="24"/>
          <w:szCs w:val="24"/>
        </w:rPr>
        <w:t xml:space="preserve">Zipporah Wambui Mathara was committed to civil jail </w:t>
      </w:r>
      <w:r w:rsidR="007F5AD6">
        <w:rPr>
          <w:rFonts w:ascii="Times New Roman" w:eastAsia="Calibri" w:hAnsi="Times New Roman" w:cs="Times New Roman"/>
          <w:sz w:val="24"/>
          <w:szCs w:val="24"/>
        </w:rPr>
        <w:t xml:space="preserve">under the Civil Procedure Act </w:t>
      </w:r>
      <w:r w:rsidR="00670896">
        <w:rPr>
          <w:rFonts w:ascii="Times New Roman" w:eastAsia="Calibri" w:hAnsi="Times New Roman" w:cs="Times New Roman"/>
          <w:sz w:val="24"/>
          <w:szCs w:val="24"/>
        </w:rPr>
        <w:t xml:space="preserve">at the GK Murang’a prison </w:t>
      </w:r>
      <w:r w:rsidR="005E229B">
        <w:rPr>
          <w:rFonts w:ascii="Times New Roman" w:eastAsia="Calibri" w:hAnsi="Times New Roman" w:cs="Times New Roman"/>
          <w:sz w:val="24"/>
          <w:szCs w:val="24"/>
        </w:rPr>
        <w:t xml:space="preserve">on account of failing to </w:t>
      </w:r>
      <w:r w:rsidR="00261CFB">
        <w:rPr>
          <w:rFonts w:ascii="Times New Roman" w:eastAsia="Calibri" w:hAnsi="Times New Roman" w:cs="Times New Roman"/>
          <w:sz w:val="24"/>
          <w:szCs w:val="24"/>
        </w:rPr>
        <w:t>pay a debt.</w:t>
      </w:r>
      <w:r w:rsidR="005E229B">
        <w:rPr>
          <w:rFonts w:ascii="Times New Roman" w:eastAsia="Calibri" w:hAnsi="Times New Roman" w:cs="Times New Roman"/>
          <w:sz w:val="24"/>
          <w:szCs w:val="24"/>
        </w:rPr>
        <w:t xml:space="preserve"> </w:t>
      </w:r>
      <w:r w:rsidRPr="00176351">
        <w:rPr>
          <w:rFonts w:ascii="Times New Roman" w:eastAsia="Calibri" w:hAnsi="Times New Roman" w:cs="Times New Roman"/>
          <w:sz w:val="24"/>
          <w:szCs w:val="24"/>
        </w:rPr>
        <w:t xml:space="preserve"> the High Court held that the Civil Procedure Act and Rules provisions on civil jail were contrary to international law and consequently, inapplicable. The reasoning behind this approach was that the imprisonment on account of a person’s inability to fulfil a contractual obligation contravenes Article 11 of the International Covenant on Civil and Political Rights (ICCPR). In this case, Justice Koome elevated international law above municipal law. </w:t>
      </w:r>
    </w:p>
    <w:p w14:paraId="509AC124" w14:textId="116570C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In the latter case of </w:t>
      </w:r>
      <w:r w:rsidRPr="00176351">
        <w:rPr>
          <w:rFonts w:ascii="Times New Roman" w:eastAsia="Calibri" w:hAnsi="Times New Roman" w:cs="Times New Roman"/>
          <w:i/>
          <w:iCs/>
          <w:sz w:val="24"/>
          <w:szCs w:val="24"/>
        </w:rPr>
        <w:t>Kenya Airports Authority v Mitu-Bell Welfare Society &amp; 2 others</w:t>
      </w:r>
      <w:r w:rsidRPr="00176351">
        <w:rPr>
          <w:rFonts w:ascii="Times New Roman" w:eastAsia="Calibri" w:hAnsi="Times New Roman" w:cs="Times New Roman"/>
          <w:sz w:val="24"/>
          <w:szCs w:val="24"/>
        </w:rPr>
        <w:t xml:space="preserve">, </w:t>
      </w:r>
      <w:r w:rsidR="009874A3">
        <w:rPr>
          <w:rFonts w:ascii="Times New Roman" w:eastAsia="Calibri" w:hAnsi="Times New Roman" w:cs="Times New Roman"/>
          <w:sz w:val="24"/>
          <w:szCs w:val="24"/>
        </w:rPr>
        <w:t>residents of a slum</w:t>
      </w:r>
      <w:r w:rsidR="003E18D0">
        <w:rPr>
          <w:rFonts w:ascii="Times New Roman" w:eastAsia="Calibri" w:hAnsi="Times New Roman" w:cs="Times New Roman"/>
          <w:sz w:val="24"/>
          <w:szCs w:val="24"/>
        </w:rPr>
        <w:t xml:space="preserve"> dwelling known as Mitumba Village</w:t>
      </w:r>
      <w:r w:rsidR="008A5ADC">
        <w:rPr>
          <w:rFonts w:ascii="Times New Roman" w:eastAsia="Calibri" w:hAnsi="Times New Roman" w:cs="Times New Roman"/>
          <w:sz w:val="24"/>
          <w:szCs w:val="24"/>
        </w:rPr>
        <w:t xml:space="preserve"> were relocated by the government to land that belonged to the Kenya Airports Authority. Thereafter, </w:t>
      </w:r>
      <w:r w:rsidR="00CF5D0A">
        <w:rPr>
          <w:rFonts w:ascii="Times New Roman" w:eastAsia="Calibri" w:hAnsi="Times New Roman" w:cs="Times New Roman"/>
          <w:sz w:val="24"/>
          <w:szCs w:val="24"/>
        </w:rPr>
        <w:t xml:space="preserve">the </w:t>
      </w:r>
      <w:r w:rsidR="008A5ADC">
        <w:rPr>
          <w:rFonts w:ascii="Times New Roman" w:eastAsia="Calibri" w:hAnsi="Times New Roman" w:cs="Times New Roman"/>
          <w:sz w:val="24"/>
          <w:szCs w:val="24"/>
        </w:rPr>
        <w:t>Kenya Airports Authority sought to evict them from that land.</w:t>
      </w:r>
      <w:r w:rsidR="00297E10">
        <w:rPr>
          <w:rFonts w:ascii="Times New Roman" w:eastAsia="Calibri" w:hAnsi="Times New Roman" w:cs="Times New Roman"/>
          <w:sz w:val="24"/>
          <w:szCs w:val="24"/>
        </w:rPr>
        <w:t xml:space="preserve"> The </w:t>
      </w:r>
      <w:r w:rsidR="00B9356B">
        <w:rPr>
          <w:rFonts w:ascii="Times New Roman" w:eastAsia="Calibri" w:hAnsi="Times New Roman" w:cs="Times New Roman"/>
          <w:sz w:val="24"/>
          <w:szCs w:val="24"/>
        </w:rPr>
        <w:t>respondents made the clai</w:t>
      </w:r>
      <w:r w:rsidR="00225087">
        <w:rPr>
          <w:rFonts w:ascii="Times New Roman" w:eastAsia="Calibri" w:hAnsi="Times New Roman" w:cs="Times New Roman"/>
          <w:sz w:val="24"/>
          <w:szCs w:val="24"/>
        </w:rPr>
        <w:t>m that the United N</w:t>
      </w:r>
      <w:r w:rsidR="00D35C2F">
        <w:rPr>
          <w:rFonts w:ascii="Times New Roman" w:eastAsia="Calibri" w:hAnsi="Times New Roman" w:cs="Times New Roman"/>
          <w:sz w:val="24"/>
          <w:szCs w:val="24"/>
        </w:rPr>
        <w:t>ations</w:t>
      </w:r>
      <w:r w:rsidR="00225087">
        <w:rPr>
          <w:rFonts w:ascii="Times New Roman" w:eastAsia="Calibri" w:hAnsi="Times New Roman" w:cs="Times New Roman"/>
          <w:sz w:val="24"/>
          <w:szCs w:val="24"/>
        </w:rPr>
        <w:t xml:space="preserve"> Guidelines on Ev</w:t>
      </w:r>
      <w:r w:rsidR="00CF5D0A">
        <w:rPr>
          <w:rFonts w:ascii="Times New Roman" w:eastAsia="Calibri" w:hAnsi="Times New Roman" w:cs="Times New Roman"/>
          <w:sz w:val="24"/>
          <w:szCs w:val="24"/>
        </w:rPr>
        <w:t>i</w:t>
      </w:r>
      <w:r w:rsidR="00225087">
        <w:rPr>
          <w:rFonts w:ascii="Times New Roman" w:eastAsia="Calibri" w:hAnsi="Times New Roman" w:cs="Times New Roman"/>
          <w:sz w:val="24"/>
          <w:szCs w:val="24"/>
        </w:rPr>
        <w:t>ctions</w:t>
      </w:r>
      <w:r w:rsidR="00CF5D0A">
        <w:rPr>
          <w:rFonts w:ascii="Times New Roman" w:eastAsia="Calibri" w:hAnsi="Times New Roman" w:cs="Times New Roman"/>
          <w:sz w:val="24"/>
          <w:szCs w:val="24"/>
        </w:rPr>
        <w:t xml:space="preserve"> were violated in the eviction process. </w:t>
      </w:r>
      <w:r w:rsidR="0006019D">
        <w:rPr>
          <w:rFonts w:ascii="Times New Roman" w:eastAsia="Calibri" w:hAnsi="Times New Roman" w:cs="Times New Roman"/>
          <w:sz w:val="24"/>
          <w:szCs w:val="24"/>
        </w:rPr>
        <w:t>T</w:t>
      </w:r>
      <w:r w:rsidRPr="00176351">
        <w:rPr>
          <w:rFonts w:ascii="Times New Roman" w:eastAsia="Calibri" w:hAnsi="Times New Roman" w:cs="Times New Roman"/>
          <w:sz w:val="24"/>
          <w:szCs w:val="24"/>
        </w:rPr>
        <w:t>he Court of Appeal clarified that the only the general principles of international law form part of Kenya’s laws. Moreover, the Court stated that not all rules of international law, treaties and conventions ratified by Kenya form part of Kenya’s laws.</w:t>
      </w:r>
      <w:r w:rsidR="00E2577B">
        <w:rPr>
          <w:rFonts w:ascii="Times New Roman" w:eastAsia="Calibri" w:hAnsi="Times New Roman" w:cs="Times New Roman"/>
          <w:sz w:val="24"/>
          <w:szCs w:val="24"/>
        </w:rPr>
        <w:t xml:space="preserve"> Therefore, the C</w:t>
      </w:r>
      <w:r w:rsidR="000E6982">
        <w:rPr>
          <w:rFonts w:ascii="Times New Roman" w:eastAsia="Calibri" w:hAnsi="Times New Roman" w:cs="Times New Roman"/>
          <w:sz w:val="24"/>
          <w:szCs w:val="24"/>
        </w:rPr>
        <w:t>ourt stated that the United Nations and</w:t>
      </w:r>
      <w:r w:rsidR="00EB1800">
        <w:rPr>
          <w:rFonts w:ascii="Times New Roman" w:eastAsia="Calibri" w:hAnsi="Times New Roman" w:cs="Times New Roman"/>
          <w:sz w:val="24"/>
          <w:szCs w:val="24"/>
        </w:rPr>
        <w:t xml:space="preserve"> other international and multilateral organizations were not supplementary nor complementary legislatures for Kenya </w:t>
      </w:r>
      <w:r w:rsidR="009355F5">
        <w:rPr>
          <w:rFonts w:ascii="Times New Roman" w:eastAsia="Calibri" w:hAnsi="Times New Roman" w:cs="Times New Roman"/>
          <w:sz w:val="24"/>
          <w:szCs w:val="24"/>
        </w:rPr>
        <w:t xml:space="preserve">and therefore, the trial Court had erred in </w:t>
      </w:r>
      <w:r w:rsidR="009B7076">
        <w:rPr>
          <w:rFonts w:ascii="Times New Roman" w:eastAsia="Calibri" w:hAnsi="Times New Roman" w:cs="Times New Roman"/>
          <w:sz w:val="24"/>
          <w:szCs w:val="24"/>
        </w:rPr>
        <w:t xml:space="preserve">applying the </w:t>
      </w:r>
      <w:r w:rsidR="00EA2498">
        <w:rPr>
          <w:rFonts w:ascii="Times New Roman" w:eastAsia="Calibri" w:hAnsi="Times New Roman" w:cs="Times New Roman"/>
          <w:sz w:val="24"/>
          <w:szCs w:val="24"/>
        </w:rPr>
        <w:t>United Nations Guidelines</w:t>
      </w:r>
      <w:r w:rsidR="00C36AC7">
        <w:rPr>
          <w:rFonts w:ascii="Times New Roman" w:eastAsia="Calibri" w:hAnsi="Times New Roman" w:cs="Times New Roman"/>
          <w:sz w:val="24"/>
          <w:szCs w:val="24"/>
        </w:rPr>
        <w:t xml:space="preserve"> on Evictions</w:t>
      </w:r>
      <w:r w:rsidR="00EA2498">
        <w:rPr>
          <w:rFonts w:ascii="Times New Roman" w:eastAsia="Calibri" w:hAnsi="Times New Roman" w:cs="Times New Roman"/>
          <w:sz w:val="24"/>
          <w:szCs w:val="24"/>
        </w:rPr>
        <w:t xml:space="preserve"> in a manner to suggest they formed a part of the laws of K</w:t>
      </w:r>
      <w:r w:rsidR="00C36AC7">
        <w:rPr>
          <w:rFonts w:ascii="Times New Roman" w:eastAsia="Calibri" w:hAnsi="Times New Roman" w:cs="Times New Roman"/>
          <w:sz w:val="24"/>
          <w:szCs w:val="24"/>
        </w:rPr>
        <w:t>enya.</w:t>
      </w:r>
      <w:r w:rsidR="00C36AC7" w:rsidRPr="00C36AC7">
        <w:rPr>
          <w:rFonts w:ascii="Times New Roman" w:eastAsia="Calibri" w:hAnsi="Times New Roman" w:cs="Times New Roman"/>
          <w:vertAlign w:val="superscript"/>
        </w:rPr>
        <w:t xml:space="preserve"> </w:t>
      </w:r>
      <w:r w:rsidR="00C36AC7">
        <w:rPr>
          <w:rFonts w:ascii="Times New Roman" w:eastAsia="Calibri" w:hAnsi="Times New Roman" w:cs="Times New Roman"/>
          <w:sz w:val="24"/>
          <w:szCs w:val="24"/>
        </w:rPr>
        <w:t xml:space="preserve"> </w:t>
      </w:r>
      <w:r w:rsidRPr="00176351">
        <w:rPr>
          <w:rFonts w:ascii="Times New Roman" w:eastAsia="Calibri" w:hAnsi="Times New Roman" w:cs="Times New Roman"/>
          <w:sz w:val="24"/>
          <w:szCs w:val="24"/>
        </w:rPr>
        <w:t xml:space="preserve"> The Court went further to state, in contrast to the </w:t>
      </w:r>
      <w:r w:rsidRPr="007E5DB6">
        <w:rPr>
          <w:rFonts w:ascii="Times New Roman" w:eastAsia="Calibri" w:hAnsi="Times New Roman" w:cs="Times New Roman"/>
          <w:i/>
          <w:iCs/>
          <w:sz w:val="24"/>
          <w:szCs w:val="24"/>
        </w:rPr>
        <w:t>Wambui Mathara</w:t>
      </w:r>
      <w:r w:rsidRPr="00176351">
        <w:rPr>
          <w:rFonts w:ascii="Times New Roman" w:eastAsia="Calibri" w:hAnsi="Times New Roman" w:cs="Times New Roman"/>
          <w:sz w:val="24"/>
          <w:szCs w:val="24"/>
        </w:rPr>
        <w:t xml:space="preserve"> case, that treaties and conventions are subservient to the Constitution and would be adhered to only to the extent that they did not contradict the Constitution. Besides, the Court was clear that the Government of Kenya could not seek refuge for their failure to honour a treaty provision, using its contradiction to the Constitution as justification. This sentiment was affirmed by the East African Court of Justice in </w:t>
      </w:r>
      <w:r w:rsidRPr="00176351">
        <w:rPr>
          <w:rFonts w:ascii="Times New Roman" w:eastAsia="Calibri" w:hAnsi="Times New Roman" w:cs="Times New Roman"/>
          <w:i/>
          <w:iCs/>
          <w:sz w:val="24"/>
          <w:szCs w:val="24"/>
        </w:rPr>
        <w:t>Peter Anyang Nyongo v The Attorney General of the Republic of Kenya</w:t>
      </w:r>
      <w:r w:rsidRPr="00176351">
        <w:rPr>
          <w:rFonts w:ascii="Times New Roman" w:eastAsia="Calibri" w:hAnsi="Times New Roman" w:cs="Times New Roman"/>
          <w:sz w:val="24"/>
          <w:szCs w:val="24"/>
        </w:rPr>
        <w:t>. In this case, the Court held that a State which has ratified a treaty must comply with its obligations notwithstanding its laws might prohibit it.</w:t>
      </w:r>
    </w:p>
    <w:p w14:paraId="5BF05E04" w14:textId="49D9FF9B"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right to vote is recognised in treaties to which Kenya is a signatory. For instance, it is recognised under Article 21 of the Universal Declaration of Human (UDHR) and Article 25 of the International Covenant on Civil and Political Rights (ICCPR). Furthermore, the United Nations Human Rights Committee clarified that Article 25 of the ICCPR protects and recognizes the right of every citizen to the right to vote, to participate in the conduct of public affairs, the right to stand for election and the right to public service.  To strengthen this right, the Committee was bold in its clarification that the exercise of these rights may not be suspended or excluded unless this is done on grounds established in law, which are reasonable and objective. In essence, although a state may enact reasonable limitations on the right on campaign expenditure The Committee stated that the free choice of voters may not be undermined. Moreover, the Committee opined that the disproportionate expenditure on a candidate or party would distort the democratic process and is not permissible.</w:t>
      </w:r>
    </w:p>
    <w:p w14:paraId="2F53946C" w14:textId="4B2FBD24"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Committee further opined on the matter of corruption. It stated that measures to eliminate all forms of corruption should be undertaken by state parties. Also, the United Nations Convention Against Corruption (UNCAC), under Articles 7(3) and 7(4), mandates state parties to enhance transparency in political campaign financing and to adopt, maintain and strengthen systems that promote transparency and also prevent conflicts of interest. There is, however, a caveat to the convention. The convention is vacuous on thorough provisions on campaign financing regulation. It grants States autonomy, in essence, to make their legal criteria on campaign financing regulation. </w:t>
      </w:r>
    </w:p>
    <w:p w14:paraId="3471CC53"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6" w:name="_Toc65490086"/>
      <w:r w:rsidRPr="00176351">
        <w:rPr>
          <w:rFonts w:ascii="Times New Roman" w:eastAsia="Times New Roman" w:hAnsi="Times New Roman" w:cs="Times New Roman"/>
          <w:b/>
          <w:bCs/>
          <w:color w:val="2F5496" w:themeColor="accent1" w:themeShade="BF"/>
          <w:sz w:val="26"/>
          <w:szCs w:val="26"/>
        </w:rPr>
        <w:t>3.3.2 REGIONAL LEGAL FRAMEWORK</w:t>
      </w:r>
      <w:bookmarkEnd w:id="36"/>
      <w:r w:rsidRPr="00176351">
        <w:rPr>
          <w:rFonts w:ascii="Times New Roman" w:eastAsia="Times New Roman" w:hAnsi="Times New Roman" w:cs="Times New Roman"/>
          <w:b/>
          <w:bCs/>
          <w:color w:val="2F5496" w:themeColor="accent1" w:themeShade="BF"/>
          <w:sz w:val="26"/>
          <w:szCs w:val="26"/>
        </w:rPr>
        <w:t xml:space="preserve"> </w:t>
      </w:r>
    </w:p>
    <w:p w14:paraId="0CB864DF" w14:textId="71DD7EF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African Charter on Human and Peoples' Rights (ACHPR) protects the right to vote and the right to participate in the governance of one's country. Notably, under Article 10 of the African Convention on the Prevention of Corruption, state parties are required to adopt legislative measures and other measures to prevent the use of illegally acquired funds and funds derived through corrupt means from being used to finance political parties and candidates.</w:t>
      </w:r>
    </w:p>
    <w:p w14:paraId="190274E3" w14:textId="595C8F90"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That these instruments protect the right to vote is welcome. That said, they do not succinctly enter the realm of campaign financing regulation. For instance, the African Charter on Democracy and Governance does not contain concrete proposals on the regulation of financing of candidates and parties. The closest it gets to campaign financing regulation is to protect the equality of access to state-owned media during the campaign period. Also, it does provide for the funding of political parties but does not provide for the funding of candidates in elections.</w:t>
      </w:r>
    </w:p>
    <w:p w14:paraId="0E4AF2F2" w14:textId="03E08A7B"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African Treaties and Conventions are a </w:t>
      </w:r>
      <w:r w:rsidRPr="00B052B4">
        <w:rPr>
          <w:rFonts w:ascii="Times New Roman" w:eastAsia="Calibri" w:hAnsi="Times New Roman" w:cs="Times New Roman"/>
          <w:sz w:val="24"/>
          <w:szCs w:val="24"/>
        </w:rPr>
        <w:t xml:space="preserve">far cry </w:t>
      </w:r>
      <w:r w:rsidRPr="00176351">
        <w:rPr>
          <w:rFonts w:ascii="Times New Roman" w:eastAsia="Calibri" w:hAnsi="Times New Roman" w:cs="Times New Roman"/>
          <w:sz w:val="24"/>
          <w:szCs w:val="24"/>
        </w:rPr>
        <w:t xml:space="preserve">from the more comprehensive European instruments. For instance, the Recommendation on Common Rules against Corruption in the Funding of Political Parties and Electoral Campaigns is detailed on political financing regulation. For example, it provides rules on expenditure and reporting. Moreover, it provides independent monitoring of political party funding. Further, it necessitates that states should eliminate conflicts of interests in donations to enhance transparency. In addition, it mandates states to avoid secret donations and has public disclosure requirements once a donation is more than a pre-determined ceiling. Also, it features caps on donations. </w:t>
      </w:r>
    </w:p>
    <w:p w14:paraId="6C56F684" w14:textId="3125E3B4" w:rsid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Recommendation on Common Rules against Corruption in the Funding of Political Parties and Electoral Campaigns seeks to stop one entity or person from having an excessive advantage over another, in line with the egalitarian theory. Therefore, expenditure caps are featured in the document. Furthermore, transparency is promoted since the state parties are urged to require parties and candidates to keep records of direct and indirect donations and expenditure. Furthermore, it requires the electoral management bodies to monitor compliance with campaign financing regulations. Also, they have the powers to enforce sanctions for non-compliance with the laws. It is noteworthy that the Recommendations urges the state parties to train specialists to fight illegal funding of political campaigns. These specialists are to be located in the judiciary and the police.</w:t>
      </w:r>
    </w:p>
    <w:p w14:paraId="5F3C2687"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It is manifest that the African Union has made strides that fall short of the European Union regarding campaign financing regulation. The African Union could similarly develop a framework of specific provisions on campaign financing regulation in the continent. However, there lies a difficulty in implementing guidelines given that some governments in the African Union are scornful of democratic values. </w:t>
      </w:r>
    </w:p>
    <w:p w14:paraId="219EFD8F"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7" w:name="_Toc65490087"/>
      <w:r w:rsidRPr="00176351">
        <w:rPr>
          <w:rFonts w:ascii="Times New Roman" w:eastAsia="Times New Roman" w:hAnsi="Times New Roman" w:cs="Times New Roman"/>
          <w:b/>
          <w:bCs/>
          <w:color w:val="2F5496" w:themeColor="accent1" w:themeShade="BF"/>
          <w:sz w:val="26"/>
          <w:szCs w:val="26"/>
        </w:rPr>
        <w:t>3.3.3 KENYAN DOMESTIC FRAMEWORK ON CAMPAIGN FINANCING REGULATION</w:t>
      </w:r>
      <w:bookmarkEnd w:id="37"/>
    </w:p>
    <w:p w14:paraId="6B721BBB"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38" w:name="_Toc65490088"/>
      <w:r w:rsidRPr="00176351">
        <w:rPr>
          <w:rFonts w:ascii="Times New Roman" w:eastAsia="Times New Roman" w:hAnsi="Times New Roman" w:cs="Times New Roman"/>
          <w:b/>
          <w:bCs/>
          <w:color w:val="2F5496" w:themeColor="accent1" w:themeShade="BF"/>
          <w:sz w:val="26"/>
          <w:szCs w:val="26"/>
        </w:rPr>
        <w:t>3.3.4 THE CONSTITUTION</w:t>
      </w:r>
      <w:bookmarkEnd w:id="38"/>
    </w:p>
    <w:p w14:paraId="0D4445C3" w14:textId="1F41244C" w:rsidR="003C0FE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In </w:t>
      </w:r>
      <w:r w:rsidRPr="00176351">
        <w:rPr>
          <w:rFonts w:ascii="Times New Roman" w:eastAsia="Calibri" w:hAnsi="Times New Roman" w:cs="Times New Roman"/>
          <w:i/>
          <w:iCs/>
          <w:sz w:val="24"/>
          <w:szCs w:val="24"/>
        </w:rPr>
        <w:t>Speaker of the Senate &amp; another v Attorney General &amp; 4 others</w:t>
      </w:r>
      <w:r w:rsidRPr="00176351">
        <w:rPr>
          <w:rFonts w:ascii="Times New Roman" w:eastAsia="Calibri" w:hAnsi="Times New Roman" w:cs="Times New Roman"/>
          <w:sz w:val="24"/>
          <w:szCs w:val="24"/>
        </w:rPr>
        <w:t xml:space="preserve">, the </w:t>
      </w:r>
      <w:r w:rsidR="000C11C1">
        <w:rPr>
          <w:rFonts w:ascii="Times New Roman" w:eastAsia="Calibri" w:hAnsi="Times New Roman" w:cs="Times New Roman"/>
          <w:sz w:val="24"/>
          <w:szCs w:val="24"/>
        </w:rPr>
        <w:t xml:space="preserve">Speaker of the National Assembly </w:t>
      </w:r>
      <w:r w:rsidR="00A4190B">
        <w:rPr>
          <w:rFonts w:ascii="Times New Roman" w:eastAsia="Calibri" w:hAnsi="Times New Roman" w:cs="Times New Roman"/>
          <w:sz w:val="24"/>
          <w:szCs w:val="24"/>
        </w:rPr>
        <w:t xml:space="preserve">reversed his action of referring a legislative matter to the Senate and </w:t>
      </w:r>
      <w:r w:rsidR="006F0C00">
        <w:rPr>
          <w:rFonts w:ascii="Times New Roman" w:eastAsia="Calibri" w:hAnsi="Times New Roman" w:cs="Times New Roman"/>
          <w:sz w:val="24"/>
          <w:szCs w:val="24"/>
        </w:rPr>
        <w:t>had the National Assembly conclude deliberation</w:t>
      </w:r>
      <w:r w:rsidR="00297E73">
        <w:rPr>
          <w:rFonts w:ascii="Times New Roman" w:eastAsia="Calibri" w:hAnsi="Times New Roman" w:cs="Times New Roman"/>
          <w:sz w:val="24"/>
          <w:szCs w:val="24"/>
        </w:rPr>
        <w:t>s</w:t>
      </w:r>
      <w:r w:rsidR="006F0C00">
        <w:rPr>
          <w:rFonts w:ascii="Times New Roman" w:eastAsia="Calibri" w:hAnsi="Times New Roman" w:cs="Times New Roman"/>
          <w:sz w:val="24"/>
          <w:szCs w:val="24"/>
        </w:rPr>
        <w:t xml:space="preserve"> on the </w:t>
      </w:r>
      <w:r w:rsidR="00516A2F">
        <w:rPr>
          <w:rFonts w:ascii="Times New Roman" w:eastAsia="Calibri" w:hAnsi="Times New Roman" w:cs="Times New Roman"/>
          <w:sz w:val="24"/>
          <w:szCs w:val="24"/>
        </w:rPr>
        <w:t>Division of Revenue B</w:t>
      </w:r>
      <w:r w:rsidR="006F0C00">
        <w:rPr>
          <w:rFonts w:ascii="Times New Roman" w:eastAsia="Calibri" w:hAnsi="Times New Roman" w:cs="Times New Roman"/>
          <w:sz w:val="24"/>
          <w:szCs w:val="24"/>
        </w:rPr>
        <w:t xml:space="preserve">ill without input form the Senate, before, transmitting the </w:t>
      </w:r>
      <w:r w:rsidR="00516A2F">
        <w:rPr>
          <w:rFonts w:ascii="Times New Roman" w:eastAsia="Calibri" w:hAnsi="Times New Roman" w:cs="Times New Roman"/>
          <w:sz w:val="24"/>
          <w:szCs w:val="24"/>
        </w:rPr>
        <w:t xml:space="preserve">bill to the president for assent. </w:t>
      </w:r>
      <w:r w:rsidR="00A431BB">
        <w:rPr>
          <w:rFonts w:ascii="Times New Roman" w:eastAsia="Calibri" w:hAnsi="Times New Roman" w:cs="Times New Roman"/>
          <w:sz w:val="24"/>
          <w:szCs w:val="24"/>
        </w:rPr>
        <w:t xml:space="preserve"> The Supreme Court held that the </w:t>
      </w:r>
      <w:r w:rsidR="00CF671F">
        <w:rPr>
          <w:rFonts w:ascii="Times New Roman" w:eastAsia="Calibri" w:hAnsi="Times New Roman" w:cs="Times New Roman"/>
          <w:sz w:val="24"/>
          <w:szCs w:val="24"/>
        </w:rPr>
        <w:t>Division of Revenue Bill was essential to the due operations of</w:t>
      </w:r>
      <w:r w:rsidR="00D76C5C">
        <w:rPr>
          <w:rFonts w:ascii="Times New Roman" w:eastAsia="Calibri" w:hAnsi="Times New Roman" w:cs="Times New Roman"/>
          <w:sz w:val="24"/>
          <w:szCs w:val="24"/>
        </w:rPr>
        <w:t xml:space="preserve"> county govern</w:t>
      </w:r>
      <w:r w:rsidR="00B07A13">
        <w:rPr>
          <w:rFonts w:ascii="Times New Roman" w:eastAsia="Calibri" w:hAnsi="Times New Roman" w:cs="Times New Roman"/>
          <w:sz w:val="24"/>
          <w:szCs w:val="24"/>
        </w:rPr>
        <w:t>ments</w:t>
      </w:r>
      <w:r w:rsidR="00D76C5C">
        <w:rPr>
          <w:rFonts w:ascii="Times New Roman" w:eastAsia="Calibri" w:hAnsi="Times New Roman" w:cs="Times New Roman"/>
          <w:sz w:val="24"/>
          <w:szCs w:val="24"/>
        </w:rPr>
        <w:t xml:space="preserve"> and therefore, the Speaker of the</w:t>
      </w:r>
      <w:r w:rsidR="00B07A13">
        <w:rPr>
          <w:rFonts w:ascii="Times New Roman" w:eastAsia="Calibri" w:hAnsi="Times New Roman" w:cs="Times New Roman"/>
          <w:sz w:val="24"/>
          <w:szCs w:val="24"/>
        </w:rPr>
        <w:t xml:space="preserve"> National As</w:t>
      </w:r>
      <w:r w:rsidR="00666985">
        <w:rPr>
          <w:rFonts w:ascii="Times New Roman" w:eastAsia="Calibri" w:hAnsi="Times New Roman" w:cs="Times New Roman"/>
          <w:sz w:val="24"/>
          <w:szCs w:val="24"/>
        </w:rPr>
        <w:t>s</w:t>
      </w:r>
      <w:r w:rsidR="00B07A13">
        <w:rPr>
          <w:rFonts w:ascii="Times New Roman" w:eastAsia="Calibri" w:hAnsi="Times New Roman" w:cs="Times New Roman"/>
          <w:sz w:val="24"/>
          <w:szCs w:val="24"/>
        </w:rPr>
        <w:t>embly</w:t>
      </w:r>
      <w:r w:rsidR="00666985">
        <w:rPr>
          <w:rFonts w:ascii="Times New Roman" w:eastAsia="Calibri" w:hAnsi="Times New Roman" w:cs="Times New Roman"/>
          <w:sz w:val="24"/>
          <w:szCs w:val="24"/>
        </w:rPr>
        <w:t xml:space="preserve"> and </w:t>
      </w:r>
      <w:r w:rsidR="00064035">
        <w:rPr>
          <w:rFonts w:ascii="Times New Roman" w:eastAsia="Calibri" w:hAnsi="Times New Roman" w:cs="Times New Roman"/>
          <w:sz w:val="24"/>
          <w:szCs w:val="24"/>
        </w:rPr>
        <w:t>therefore the speakers of the two houses were under</w:t>
      </w:r>
      <w:r w:rsidR="00F32440">
        <w:rPr>
          <w:rFonts w:ascii="Times New Roman" w:eastAsia="Calibri" w:hAnsi="Times New Roman" w:cs="Times New Roman"/>
          <w:sz w:val="24"/>
          <w:szCs w:val="24"/>
        </w:rPr>
        <w:t xml:space="preserve"> </w:t>
      </w:r>
      <w:r w:rsidR="00064035">
        <w:rPr>
          <w:rFonts w:ascii="Times New Roman" w:eastAsia="Calibri" w:hAnsi="Times New Roman" w:cs="Times New Roman"/>
          <w:sz w:val="24"/>
          <w:szCs w:val="24"/>
        </w:rPr>
        <w:t>a duty to cooperate</w:t>
      </w:r>
      <w:r w:rsidR="00F32440">
        <w:rPr>
          <w:rFonts w:ascii="Times New Roman" w:eastAsia="Calibri" w:hAnsi="Times New Roman" w:cs="Times New Roman"/>
          <w:sz w:val="24"/>
          <w:szCs w:val="24"/>
        </w:rPr>
        <w:t xml:space="preserve"> for the resolution of the disagreement.</w:t>
      </w:r>
      <w:r w:rsidR="00F32440" w:rsidRPr="00F32440">
        <w:rPr>
          <w:rFonts w:ascii="Times New Roman" w:eastAsia="Calibri" w:hAnsi="Times New Roman" w:cs="Times New Roman"/>
          <w:vertAlign w:val="superscript"/>
        </w:rPr>
        <w:t xml:space="preserve"> </w:t>
      </w:r>
      <w:r w:rsidR="00F32440" w:rsidRPr="00176351">
        <w:rPr>
          <w:rFonts w:ascii="Times New Roman" w:eastAsia="Calibri" w:hAnsi="Times New Roman" w:cs="Times New Roman"/>
          <w:sz w:val="24"/>
          <w:szCs w:val="24"/>
        </w:rPr>
        <w:t xml:space="preserve"> </w:t>
      </w:r>
      <w:r w:rsidR="00B07A13">
        <w:rPr>
          <w:rFonts w:ascii="Times New Roman" w:eastAsia="Calibri" w:hAnsi="Times New Roman" w:cs="Times New Roman"/>
          <w:sz w:val="24"/>
          <w:szCs w:val="24"/>
        </w:rPr>
        <w:t xml:space="preserve"> </w:t>
      </w:r>
      <w:r w:rsidR="00D76C5C">
        <w:rPr>
          <w:rFonts w:ascii="Times New Roman" w:eastAsia="Calibri" w:hAnsi="Times New Roman" w:cs="Times New Roman"/>
          <w:sz w:val="24"/>
          <w:szCs w:val="24"/>
        </w:rPr>
        <w:t xml:space="preserve"> </w:t>
      </w:r>
      <w:r w:rsidR="003E3AB3">
        <w:rPr>
          <w:rFonts w:ascii="Times New Roman" w:eastAsia="Calibri" w:hAnsi="Times New Roman" w:cs="Times New Roman"/>
          <w:sz w:val="24"/>
          <w:szCs w:val="24"/>
        </w:rPr>
        <w:t xml:space="preserve"> Furthermore, the </w:t>
      </w:r>
      <w:r w:rsidRPr="00176351">
        <w:rPr>
          <w:rFonts w:ascii="Times New Roman" w:eastAsia="Calibri" w:hAnsi="Times New Roman" w:cs="Times New Roman"/>
          <w:sz w:val="24"/>
          <w:szCs w:val="24"/>
        </w:rPr>
        <w:t xml:space="preserve">Kenyan Supreme Court held that the Constitution is a transformative charter designed to create social change and inculcate social justice, equality, rule of law, </w:t>
      </w:r>
      <w:proofErr w:type="gramStart"/>
      <w:r w:rsidRPr="00176351">
        <w:rPr>
          <w:rFonts w:ascii="Times New Roman" w:eastAsia="Calibri" w:hAnsi="Times New Roman" w:cs="Times New Roman"/>
          <w:sz w:val="24"/>
          <w:szCs w:val="24"/>
        </w:rPr>
        <w:t>freedom</w:t>
      </w:r>
      <w:proofErr w:type="gramEnd"/>
      <w:r w:rsidRPr="00176351">
        <w:rPr>
          <w:rFonts w:ascii="Times New Roman" w:eastAsia="Calibri" w:hAnsi="Times New Roman" w:cs="Times New Roman"/>
          <w:sz w:val="24"/>
          <w:szCs w:val="24"/>
        </w:rPr>
        <w:t xml:space="preserve"> and democracy. </w:t>
      </w:r>
      <w:r w:rsidR="003C0FE1">
        <w:rPr>
          <w:rFonts w:ascii="Times New Roman" w:eastAsia="Calibri" w:hAnsi="Times New Roman" w:cs="Times New Roman"/>
          <w:sz w:val="24"/>
          <w:szCs w:val="24"/>
        </w:rPr>
        <w:t xml:space="preserve">Additionally, </w:t>
      </w:r>
      <w:r w:rsidR="00A21E2E">
        <w:rPr>
          <w:rFonts w:ascii="Times New Roman" w:eastAsia="Calibri" w:hAnsi="Times New Roman" w:cs="Times New Roman"/>
          <w:sz w:val="24"/>
          <w:szCs w:val="24"/>
        </w:rPr>
        <w:t xml:space="preserve">theory of liberal democracy </w:t>
      </w:r>
      <w:r w:rsidR="004F2913">
        <w:rPr>
          <w:rFonts w:ascii="Times New Roman" w:eastAsia="Calibri" w:hAnsi="Times New Roman" w:cs="Times New Roman"/>
          <w:sz w:val="24"/>
          <w:szCs w:val="24"/>
        </w:rPr>
        <w:t xml:space="preserve">encompasses the participation of citizens and this participation is enhanced through information </w:t>
      </w:r>
      <w:r w:rsidR="003C0FE1">
        <w:rPr>
          <w:rFonts w:ascii="Times New Roman" w:eastAsia="Calibri" w:hAnsi="Times New Roman" w:cs="Times New Roman"/>
          <w:sz w:val="24"/>
          <w:szCs w:val="24"/>
        </w:rPr>
        <w:t xml:space="preserve">provided by political financing regulation regimes. </w:t>
      </w:r>
    </w:p>
    <w:p w14:paraId="139ECB66" w14:textId="6FCC62A5"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Constitution of Kenya, under Article 88(4)(i), explicitly provides that political financing regulation is a function of the Independent Electoral and Boundaries Commission (IEBC). Furthermore, Article 10 of the Constitution has significance in the realm of campaign financing regulation because it contains the values and principles of democracy and participation of the people, human dignity, equity, social justice, inclusiveness equality, human rights, non-discrimination and protection of the marginalised, good governance, integrity, </w:t>
      </w:r>
      <w:proofErr w:type="gramStart"/>
      <w:r w:rsidRPr="00176351">
        <w:rPr>
          <w:rFonts w:ascii="Times New Roman" w:eastAsia="Calibri" w:hAnsi="Times New Roman" w:cs="Times New Roman"/>
          <w:sz w:val="24"/>
          <w:szCs w:val="24"/>
        </w:rPr>
        <w:t>transparency</w:t>
      </w:r>
      <w:proofErr w:type="gramEnd"/>
      <w:r w:rsidRPr="00176351">
        <w:rPr>
          <w:rFonts w:ascii="Times New Roman" w:eastAsia="Calibri" w:hAnsi="Times New Roman" w:cs="Times New Roman"/>
          <w:sz w:val="24"/>
          <w:szCs w:val="24"/>
        </w:rPr>
        <w:t xml:space="preserve"> and accountability. In addition, the right to free and fair elections is guaranteed under Article 81 of the Constitution. These provisions are reinforced by Chapter Six on leadership and integrity. This chapter includes financial probity as essential in the conduct of state officers. Also, the chapter includes lack of favouritism, improper motives or corrupt practices, selfless service based solely on the public interest, accountability to the public and discipline and commitment in service to the people as essential to state officers.</w:t>
      </w:r>
    </w:p>
    <w:p w14:paraId="4DEDC246" w14:textId="0EF13C8B"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These provisions are important against the backdrop of the Kriegler Report. In it, the conclusion that was made after analysing Kenya’s electoral laws is that the repealed Constitution did not provide for the right to vote and that there were too many pieces of legislation governing elections and that the enforcement of election laws was cumbersome. Under Article 88(4)(i) of the Constitution, parliament enacted the Political Parties Act and the Election Campaign Financing Act to realise the implementation of campaign financing regulation in Kenya. These Acts are analysed below.</w:t>
      </w:r>
    </w:p>
    <w:p w14:paraId="3AEF6DB7" w14:textId="2147241F" w:rsidR="00C21699" w:rsidRDefault="00176351" w:rsidP="00C21699">
      <w:pPr>
        <w:keepNext/>
        <w:keepLines/>
        <w:spacing w:before="40" w:after="0" w:line="254" w:lineRule="auto"/>
        <w:jc w:val="both"/>
        <w:outlineLvl w:val="1"/>
        <w:rPr>
          <w:rFonts w:ascii="Times New Roman" w:eastAsia="Times New Roman" w:hAnsi="Times New Roman" w:cs="Times New Roman"/>
          <w:b/>
          <w:bCs/>
          <w:color w:val="2F5496" w:themeColor="accent1" w:themeShade="BF"/>
          <w:sz w:val="26"/>
          <w:szCs w:val="26"/>
        </w:rPr>
      </w:pPr>
      <w:bookmarkStart w:id="39" w:name="_Toc65490089"/>
      <w:r w:rsidRPr="00176351">
        <w:rPr>
          <w:rFonts w:ascii="Times New Roman" w:eastAsia="Times New Roman" w:hAnsi="Times New Roman" w:cs="Times New Roman"/>
          <w:b/>
          <w:bCs/>
          <w:color w:val="2F5496" w:themeColor="accent1" w:themeShade="BF"/>
          <w:sz w:val="26"/>
          <w:szCs w:val="26"/>
        </w:rPr>
        <w:t>3.3.5 THE POLITICAL PARTIES ACT</w:t>
      </w:r>
      <w:bookmarkEnd w:id="39"/>
    </w:p>
    <w:p w14:paraId="41417C06" w14:textId="12782114" w:rsidR="007D1396" w:rsidRPr="007D1396" w:rsidRDefault="007D1396" w:rsidP="007D1396">
      <w:pPr>
        <w:spacing w:line="360" w:lineRule="auto"/>
        <w:jc w:val="both"/>
        <w:rPr>
          <w:rFonts w:ascii="Times New Roman" w:hAnsi="Times New Roman" w:cs="Times New Roman"/>
          <w:sz w:val="24"/>
          <w:szCs w:val="24"/>
        </w:rPr>
      </w:pPr>
      <w:r w:rsidRPr="007D1396">
        <w:rPr>
          <w:rFonts w:ascii="Times New Roman" w:hAnsi="Times New Roman" w:cs="Times New Roman"/>
          <w:sz w:val="24"/>
          <w:szCs w:val="24"/>
        </w:rPr>
        <w:t xml:space="preserve">The Political Parties Act takes cognisance of the private interest theory of government regulation by seeking to temper any undue influence private donors may have on the political landscape. Also, it takes note of the egalitarian theory by seeking to level the playing field between wealthier and less moneyed political parties by providing public funding for political parties. In addition, in Political Parties Forum Coalition &amp; 3 others v Registrar of Political Parties &amp; 8 </w:t>
      </w:r>
      <w:proofErr w:type="gramStart"/>
      <w:r w:rsidRPr="007D1396">
        <w:rPr>
          <w:rFonts w:ascii="Times New Roman" w:hAnsi="Times New Roman" w:cs="Times New Roman"/>
          <w:sz w:val="24"/>
          <w:szCs w:val="24"/>
        </w:rPr>
        <w:t>others,  the</w:t>
      </w:r>
      <w:proofErr w:type="gramEnd"/>
      <w:r w:rsidRPr="007D1396">
        <w:rPr>
          <w:rFonts w:ascii="Times New Roman" w:hAnsi="Times New Roman" w:cs="Times New Roman"/>
          <w:sz w:val="24"/>
          <w:szCs w:val="24"/>
        </w:rPr>
        <w:t xml:space="preserve"> Court of Appeal opined that the Act seeks to enhance multi-partyism and stimulate competitive politics in Kenya.  This Act is essential in this regard because the mushrooming of political parties in the era of multi-partyism has brought with it the challenge of funding the activities of the multiple parties.</w:t>
      </w:r>
      <w:r>
        <w:rPr>
          <w:rFonts w:ascii="Times New Roman" w:hAnsi="Times New Roman" w:cs="Times New Roman"/>
          <w:sz w:val="24"/>
          <w:szCs w:val="24"/>
        </w:rPr>
        <w:t xml:space="preserve"> </w:t>
      </w:r>
      <w:r w:rsidRPr="007D1396">
        <w:rPr>
          <w:rFonts w:ascii="Times New Roman" w:hAnsi="Times New Roman" w:cs="Times New Roman"/>
          <w:sz w:val="24"/>
          <w:szCs w:val="24"/>
        </w:rPr>
        <w:t xml:space="preserve">Thus, this state of affairs has created the potential to rely on money acquired through corrupt means. The provisions on political finance in the Act can be divided into the following </w:t>
      </w:r>
      <w:proofErr w:type="gramStart"/>
      <w:r w:rsidRPr="007D1396">
        <w:rPr>
          <w:rFonts w:ascii="Times New Roman" w:hAnsi="Times New Roman" w:cs="Times New Roman"/>
          <w:sz w:val="24"/>
          <w:szCs w:val="24"/>
        </w:rPr>
        <w:t>categories;</w:t>
      </w:r>
      <w:proofErr w:type="gramEnd"/>
      <w:r w:rsidRPr="007D1396">
        <w:rPr>
          <w:rFonts w:ascii="Times New Roman" w:hAnsi="Times New Roman" w:cs="Times New Roman"/>
          <w:sz w:val="24"/>
          <w:szCs w:val="24"/>
        </w:rPr>
        <w:t xml:space="preserve"> rules on sources of funding, expenditure regulations, record-keeping and reporting requirements, disclosure requirements and oversight mechanisms and sanctions.  Furthermore, these provisions will be interrogated in turn.</w:t>
      </w:r>
    </w:p>
    <w:p w14:paraId="30405782"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0" w:name="_Toc65490090"/>
      <w:r w:rsidRPr="00176351">
        <w:rPr>
          <w:rFonts w:ascii="Times New Roman" w:eastAsia="Times New Roman" w:hAnsi="Times New Roman" w:cs="Times New Roman"/>
          <w:b/>
          <w:bCs/>
          <w:color w:val="1F3763" w:themeColor="accent1" w:themeShade="7F"/>
          <w:sz w:val="24"/>
          <w:szCs w:val="24"/>
        </w:rPr>
        <w:t>SOURCES OF FUNDING</w:t>
      </w:r>
      <w:bookmarkEnd w:id="40"/>
    </w:p>
    <w:p w14:paraId="2F69D7F1" w14:textId="32391874"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One source of funding identified in the Act is public funding through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under </w:t>
      </w:r>
      <w:r w:rsidRPr="006E35F3">
        <w:rPr>
          <w:rFonts w:ascii="Times New Roman" w:eastAsia="Calibri" w:hAnsi="Times New Roman" w:cs="Times New Roman"/>
          <w:i/>
          <w:iCs/>
          <w:sz w:val="24"/>
          <w:szCs w:val="24"/>
        </w:rPr>
        <w:t>Section 23</w:t>
      </w:r>
      <w:r w:rsidRPr="00176351">
        <w:rPr>
          <w:rFonts w:ascii="Times New Roman" w:eastAsia="Calibri" w:hAnsi="Times New Roman" w:cs="Times New Roman"/>
          <w:sz w:val="24"/>
          <w:szCs w:val="24"/>
        </w:rPr>
        <w:t xml:space="preserve"> of the Act. Furthermore, the Act provide that the political parties fund will be at least 0.3% of the revenue collected by the national government. This requirement, however, has not been complied with in the past. For instance, the Special Funds Account Committee in parliament found that the national treasury allocated a significantly smaller amount in the financial year of 2016-2017 than due under the Act. This is because they allocated the net balance of revenues after allocations were made to public debt, pensions, constitutional salaries, county governments, parliament, judiciary, constitutional </w:t>
      </w:r>
      <w:proofErr w:type="gramStart"/>
      <w:r w:rsidRPr="00176351">
        <w:rPr>
          <w:rFonts w:ascii="Times New Roman" w:eastAsia="Calibri" w:hAnsi="Times New Roman" w:cs="Times New Roman"/>
          <w:sz w:val="24"/>
          <w:szCs w:val="24"/>
        </w:rPr>
        <w:t>commissions</w:t>
      </w:r>
      <w:proofErr w:type="gramEnd"/>
      <w:r w:rsidRPr="00176351">
        <w:rPr>
          <w:rFonts w:ascii="Times New Roman" w:eastAsia="Calibri" w:hAnsi="Times New Roman" w:cs="Times New Roman"/>
          <w:sz w:val="24"/>
          <w:szCs w:val="24"/>
        </w:rPr>
        <w:t xml:space="preserve"> and the equalization fund.</w:t>
      </w:r>
    </w:p>
    <w:p w14:paraId="0A8DF77E" w14:textId="32267260"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In </w:t>
      </w:r>
      <w:r w:rsidRPr="00176351">
        <w:rPr>
          <w:rFonts w:ascii="Times New Roman" w:eastAsia="Calibri" w:hAnsi="Times New Roman" w:cs="Times New Roman"/>
          <w:i/>
          <w:iCs/>
          <w:sz w:val="24"/>
          <w:szCs w:val="24"/>
        </w:rPr>
        <w:t>Political Parties Forum Coalition &amp; 3 others v Registrar of Political Parties &amp; 8 others</w:t>
      </w:r>
      <w:r w:rsidRPr="00176351">
        <w:rPr>
          <w:rFonts w:ascii="Times New Roman" w:eastAsia="Calibri" w:hAnsi="Times New Roman" w:cs="Times New Roman"/>
          <w:sz w:val="24"/>
          <w:szCs w:val="24"/>
        </w:rPr>
        <w:t xml:space="preserve">, the Court of Appeal opined that public funding is a mechanism to stimulate diversity and enable different actors to participate in the political process. Furthermore, it strengthens democratic competition and prevents corruption and undue influence from private interests. The Court was quick to note that political parties in Africa have a limited income as the membership dues are extremely limited. Also, the political parties fund is to be distributed to the parties that receive at least 3% of the total votes cast in the previous general election. Furthermore, the Act provides that the bulk of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80% to be exact, is to be distributed to political parties proportionately by reference to the total number of votes secured by each political party in the previous general election. Also, the Act provides that a party that does not secure at least 3% of the total number of votes at the preceding general election, the party will not be entitled to access to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In addition, a party that has a single-gender occupying more than two-thirds of its registered office bearers will also not be entitled to receive funding from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Additionally, a party must have representation if special interest groups in its governing body. Also, a party must have at least twenty members of parliament or three elected senators or three governors or forty members of county assemblies to be eligible for public funding.</w:t>
      </w:r>
    </w:p>
    <w:p w14:paraId="035C666F" w14:textId="4DAADF09"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A bone of contention regarding public funding concerns who in particular is obliged to set aside and disburse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For instance, in </w:t>
      </w:r>
      <w:r w:rsidRPr="00176351">
        <w:rPr>
          <w:rFonts w:ascii="Times New Roman" w:eastAsia="Calibri" w:hAnsi="Times New Roman" w:cs="Times New Roman"/>
          <w:i/>
          <w:iCs/>
          <w:sz w:val="24"/>
          <w:szCs w:val="24"/>
        </w:rPr>
        <w:t>Orange Democratic Movement v National Treasury &amp; 5 others</w:t>
      </w:r>
      <w:r w:rsidRPr="00176351">
        <w:rPr>
          <w:rFonts w:ascii="Times New Roman" w:eastAsia="Calibri" w:hAnsi="Times New Roman" w:cs="Times New Roman"/>
          <w:sz w:val="24"/>
          <w:szCs w:val="24"/>
        </w:rPr>
        <w:t xml:space="preserve">, the Orange Democratic Party sought clarity on this issue. Furthermore, the party made prayers to be granted orders of mandamus to compel the Cabinet Secretary for the National Treasury, the Registrar of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and the National Assembly to allocate, appropriate and disburse to the Party an amount of Kshs 4,135,905,545 and other additional funds for the years 2012 and 2016. The High Court determined that the National Treasury is obligated to include an allocation to the fund in its estimates and to disburse the funds once they have been allocated and appropriated by Parliament. Further, the Court found that the function of the Registrar of Political Parties is only to administer the fund. </w:t>
      </w:r>
    </w:p>
    <w:p w14:paraId="0AD252A5" w14:textId="2F3B298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According to the latest data on the website of the Office of the Registrar of Political Parties, disbursements were made in the 2016/2017 financial year. Jubilee Party received Kshs 145, 911,499, the Orange Democratic Movement Received Kshs 37,349,196, the United Republican Party Received Kshs 11,782,939 and the Wiper Democratic Movement – Kenya received Kshs 25,702,301. It is noteworthy that data on the disbursements for the three subsequent financial years are yet to be availed.</w:t>
      </w:r>
    </w:p>
    <w:p w14:paraId="41B93EC3" w14:textId="2EF3373A"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Aside from public funding, the Political Parties Act provides for other sources of funds under </w:t>
      </w:r>
      <w:r w:rsidRPr="006E35F3">
        <w:rPr>
          <w:rFonts w:ascii="Times New Roman" w:eastAsia="Calibri" w:hAnsi="Times New Roman" w:cs="Times New Roman"/>
          <w:i/>
          <w:iCs/>
          <w:sz w:val="24"/>
          <w:szCs w:val="24"/>
        </w:rPr>
        <w:t>Section 27</w:t>
      </w:r>
      <w:r w:rsidRPr="00176351">
        <w:rPr>
          <w:rFonts w:ascii="Times New Roman" w:eastAsia="Calibri" w:hAnsi="Times New Roman" w:cs="Times New Roman"/>
          <w:sz w:val="24"/>
          <w:szCs w:val="24"/>
        </w:rPr>
        <w:t xml:space="preserve">. These include membership fees, voluntary contributions from a lawful source, donations, </w:t>
      </w:r>
      <w:proofErr w:type="gramStart"/>
      <w:r w:rsidRPr="00176351">
        <w:rPr>
          <w:rFonts w:ascii="Times New Roman" w:eastAsia="Calibri" w:hAnsi="Times New Roman" w:cs="Times New Roman"/>
          <w:sz w:val="24"/>
          <w:szCs w:val="24"/>
        </w:rPr>
        <w:t>bequests</w:t>
      </w:r>
      <w:proofErr w:type="gramEnd"/>
      <w:r w:rsidRPr="00176351">
        <w:rPr>
          <w:rFonts w:ascii="Times New Roman" w:eastAsia="Calibri" w:hAnsi="Times New Roman" w:cs="Times New Roman"/>
          <w:sz w:val="24"/>
          <w:szCs w:val="24"/>
        </w:rPr>
        <w:t xml:space="preserve"> and grants from any other lawful source excluding foreign governments and citizens, inter-governmental ad non-governmental organisations; and the proceeds of any investment undertaken by the political party. However, the Act permits technical assistance from a foreign political party which shares an ideology with a political party registered in Kenya.</w:t>
      </w:r>
    </w:p>
    <w:p w14:paraId="7AA988DE" w14:textId="77777777" w:rsidR="00176351" w:rsidRPr="00176351" w:rsidRDefault="00176351" w:rsidP="00176351">
      <w:pPr>
        <w:keepNext/>
        <w:keepLines/>
        <w:spacing w:before="40" w:after="0" w:line="360" w:lineRule="auto"/>
        <w:outlineLvl w:val="2"/>
        <w:rPr>
          <w:rFonts w:ascii="Times New Roman" w:eastAsia="Times New Roman" w:hAnsi="Times New Roman" w:cs="Times New Roman"/>
          <w:b/>
          <w:bCs/>
          <w:color w:val="1F3763" w:themeColor="accent1" w:themeShade="7F"/>
          <w:sz w:val="24"/>
          <w:szCs w:val="24"/>
        </w:rPr>
      </w:pPr>
      <w:bookmarkStart w:id="41" w:name="_Toc65490091"/>
      <w:r w:rsidRPr="00176351">
        <w:rPr>
          <w:rFonts w:ascii="Times New Roman" w:eastAsia="Times New Roman" w:hAnsi="Times New Roman" w:cs="Times New Roman"/>
          <w:b/>
          <w:bCs/>
          <w:color w:val="1F3763" w:themeColor="accent1" w:themeShade="7F"/>
          <w:sz w:val="24"/>
          <w:szCs w:val="24"/>
        </w:rPr>
        <w:t>EXPENDITURE REGULATIONS</w:t>
      </w:r>
      <w:bookmarkEnd w:id="41"/>
    </w:p>
    <w:p w14:paraId="54F4982B" w14:textId="439A8815"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Ideally, expenditure requirements spell out the kind of activities on which political funding can be expended. Also, they may spell out the </w:t>
      </w:r>
      <w:proofErr w:type="gramStart"/>
      <w:r w:rsidRPr="00176351">
        <w:rPr>
          <w:rFonts w:ascii="Times New Roman" w:eastAsia="Calibri" w:hAnsi="Times New Roman" w:cs="Times New Roman"/>
          <w:sz w:val="24"/>
          <w:szCs w:val="24"/>
        </w:rPr>
        <w:t>time-frame</w:t>
      </w:r>
      <w:proofErr w:type="gramEnd"/>
      <w:r w:rsidRPr="00176351">
        <w:rPr>
          <w:rFonts w:ascii="Times New Roman" w:eastAsia="Calibri" w:hAnsi="Times New Roman" w:cs="Times New Roman"/>
          <w:sz w:val="24"/>
          <w:szCs w:val="24"/>
        </w:rPr>
        <w:t xml:space="preserve"> in which political funding can be utilized. In the Political Parties Act, </w:t>
      </w:r>
      <w:r w:rsidRPr="006E35F3">
        <w:rPr>
          <w:rFonts w:ascii="Times New Roman" w:eastAsia="Calibri" w:hAnsi="Times New Roman" w:cs="Times New Roman"/>
          <w:i/>
          <w:iCs/>
          <w:sz w:val="24"/>
          <w:szCs w:val="24"/>
        </w:rPr>
        <w:t>Section 26</w:t>
      </w:r>
      <w:r w:rsidRPr="00176351">
        <w:rPr>
          <w:rFonts w:ascii="Times New Roman" w:eastAsia="Calibri" w:hAnsi="Times New Roman" w:cs="Times New Roman"/>
          <w:sz w:val="24"/>
          <w:szCs w:val="24"/>
        </w:rPr>
        <w:t xml:space="preserve"> provides the purposes to which the money from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can be spent. They include broadly speaking, for purposes compatible with democracy. The Act goes deeper to list some of the purposed such as promoting representation of women, youth, persons with disabilities, ethnic and other minorities and marginalised communities in parliament and the county assemblies. Also, the Act encourages the funds to be used to promote active participation by individual citizens in political life. Also, the money may be used to cover election expenses and to engage in civic education. Furthermore, the Act states that the administrative and staff expenses may not exceed thirty per cent of the money allocated to the political party. </w:t>
      </w:r>
    </w:p>
    <w:p w14:paraId="467E9CA3" w14:textId="1A636992"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Act goes further and stipulates the uses to which the money may not be expended, there is a prohibition against paying remuneration fees, rewards and allowances to members and supporters of a political party other than a member of staff. Moreover, there is a prohibition against financing or contributing to any matter, cause, </w:t>
      </w:r>
      <w:proofErr w:type="gramStart"/>
      <w:r w:rsidRPr="00176351">
        <w:rPr>
          <w:rFonts w:ascii="Times New Roman" w:eastAsia="Calibri" w:hAnsi="Times New Roman" w:cs="Times New Roman"/>
          <w:sz w:val="24"/>
          <w:szCs w:val="24"/>
        </w:rPr>
        <w:t>event</w:t>
      </w:r>
      <w:proofErr w:type="gramEnd"/>
      <w:r w:rsidRPr="00176351">
        <w:rPr>
          <w:rFonts w:ascii="Times New Roman" w:eastAsia="Calibri" w:hAnsi="Times New Roman" w:cs="Times New Roman"/>
          <w:sz w:val="24"/>
          <w:szCs w:val="24"/>
        </w:rPr>
        <w:t xml:space="preserve"> or occasion, directly or indirectly, in contravention of any code of ethics binding on public officers. Furthermore, there is a prohibition against money from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to acquire or maintain a right or interest in any business or immovable property. </w:t>
      </w:r>
    </w:p>
    <w:p w14:paraId="024BEC17"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2" w:name="_Toc65490092"/>
      <w:r w:rsidRPr="00176351">
        <w:rPr>
          <w:rFonts w:ascii="Times New Roman" w:eastAsia="Times New Roman" w:hAnsi="Times New Roman" w:cs="Times New Roman"/>
          <w:b/>
          <w:bCs/>
          <w:color w:val="1F3763" w:themeColor="accent1" w:themeShade="7F"/>
          <w:sz w:val="24"/>
          <w:szCs w:val="24"/>
        </w:rPr>
        <w:t>RECORD KEEPING AND REPORTING AND DISCLOSURE REQUIREMENTS</w:t>
      </w:r>
      <w:bookmarkEnd w:id="42"/>
    </w:p>
    <w:p w14:paraId="35ACDDC9" w14:textId="0B7FF709"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Under </w:t>
      </w:r>
      <w:r w:rsidRPr="00DF6C26">
        <w:rPr>
          <w:rFonts w:ascii="Times New Roman" w:eastAsia="Calibri" w:hAnsi="Times New Roman" w:cs="Times New Roman"/>
          <w:i/>
          <w:iCs/>
          <w:sz w:val="24"/>
          <w:szCs w:val="24"/>
        </w:rPr>
        <w:t>Section 29</w:t>
      </w:r>
      <w:r w:rsidRPr="00176351">
        <w:rPr>
          <w:rFonts w:ascii="Times New Roman" w:eastAsia="Calibri" w:hAnsi="Times New Roman" w:cs="Times New Roman"/>
          <w:sz w:val="24"/>
          <w:szCs w:val="24"/>
        </w:rPr>
        <w:t xml:space="preserve"> of the Political Parties Act, there are a series of requirements regarding the publishing of sources of funds. It states that within 90 days of the end of its financial year, a political party shall publish its sources of funds. They include the amount of money received from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the amount of money received from the parties’ members and supporters and the amount and the sources of the donations given to the party. Also, the income and the liabilities of the political party and the amount and sources of the donations given to the party must be disclosed. Moreover, a party must disclose its assets and liabilities. This must be done at least sixty days before a general election in the prescribed form. Furthermore, the statement of assets and liabilities must be submitted to the Registrar of Political Parties and include a register of the members of a political party. </w:t>
      </w:r>
    </w:p>
    <w:p w14:paraId="43C54109" w14:textId="5E82F77E"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Under </w:t>
      </w:r>
      <w:r w:rsidRPr="00DF6C26">
        <w:rPr>
          <w:rFonts w:ascii="Times New Roman" w:eastAsia="Calibri" w:hAnsi="Times New Roman" w:cs="Times New Roman"/>
          <w:i/>
          <w:iCs/>
          <w:sz w:val="24"/>
          <w:szCs w:val="24"/>
        </w:rPr>
        <w:t>Section 31</w:t>
      </w:r>
      <w:r w:rsidRPr="00176351">
        <w:rPr>
          <w:rFonts w:ascii="Times New Roman" w:eastAsia="Calibri" w:hAnsi="Times New Roman" w:cs="Times New Roman"/>
          <w:sz w:val="24"/>
          <w:szCs w:val="24"/>
        </w:rPr>
        <w:t xml:space="preserve"> of the Political Parties Act, a political party is required to keep proper books and records of account of the income, expenditure, </w:t>
      </w:r>
      <w:proofErr w:type="gramStart"/>
      <w:r w:rsidRPr="00176351">
        <w:rPr>
          <w:rFonts w:ascii="Times New Roman" w:eastAsia="Calibri" w:hAnsi="Times New Roman" w:cs="Times New Roman"/>
          <w:sz w:val="24"/>
          <w:szCs w:val="24"/>
        </w:rPr>
        <w:t>assets</w:t>
      </w:r>
      <w:proofErr w:type="gramEnd"/>
      <w:r w:rsidRPr="00176351">
        <w:rPr>
          <w:rFonts w:ascii="Times New Roman" w:eastAsia="Calibri" w:hAnsi="Times New Roman" w:cs="Times New Roman"/>
          <w:sz w:val="24"/>
          <w:szCs w:val="24"/>
        </w:rPr>
        <w:t xml:space="preserve"> and liabilities of the political party. Furthermore, the party shall submit to the Auditor-General the accounts of the political party in respect of that year. This is to be done within three months after the end of each financial year. The Auditor-General then tables the statements before the national assembly. For instance, the 2016-2017 financial reports are the latest to be audited. The Committee Report made several observations on the challenges faced in party financing. Firstly, the national treasury had not complied with the High Court Order in </w:t>
      </w:r>
      <w:r w:rsidRPr="00176351">
        <w:rPr>
          <w:rFonts w:ascii="Times New Roman" w:eastAsia="Calibri" w:hAnsi="Times New Roman" w:cs="Times New Roman"/>
          <w:i/>
          <w:iCs/>
          <w:sz w:val="24"/>
          <w:szCs w:val="24"/>
        </w:rPr>
        <w:t>Political Parties Forum Coalition &amp; 3 Others v Registrar of Political Parties &amp; 8 others</w:t>
      </w:r>
      <w:r w:rsidRPr="00176351">
        <w:rPr>
          <w:rFonts w:ascii="Times New Roman" w:eastAsia="Calibri" w:hAnsi="Times New Roman" w:cs="Times New Roman"/>
          <w:sz w:val="24"/>
          <w:szCs w:val="24"/>
        </w:rPr>
        <w:t xml:space="preserve"> to provide 0.3% of the annual budget for purposes of the political </w:t>
      </w:r>
      <w:proofErr w:type="gramStart"/>
      <w:r w:rsidRPr="00176351">
        <w:rPr>
          <w:rFonts w:ascii="Times New Roman" w:eastAsia="Calibri" w:hAnsi="Times New Roman" w:cs="Times New Roman"/>
          <w:sz w:val="24"/>
          <w:szCs w:val="24"/>
        </w:rPr>
        <w:t>parties</w:t>
      </w:r>
      <w:proofErr w:type="gramEnd"/>
      <w:r w:rsidRPr="00176351">
        <w:rPr>
          <w:rFonts w:ascii="Times New Roman" w:eastAsia="Calibri" w:hAnsi="Times New Roman" w:cs="Times New Roman"/>
          <w:sz w:val="24"/>
          <w:szCs w:val="24"/>
        </w:rPr>
        <w:t xml:space="preserve"> fund by parliament. This is essential as there is a disparity between parties' funding which public funding can mitigate. For instance, in the run-up to the 2017 general elections, Jubilee party candidate, Uhuru Kenyatta, had about Kshs 1 billion more than their strongest opponent, Orange Democratic Movement's Raila Odinga.  The Jubilee had about Kshs 1.4 billion in its bank accounts. Furthermore, it has Kshs 1.11 billion form members contributions, Kshs 621.8 million from nomination fees and Kshs 387 million from monthly party contributions and membership fees. However, the reports do not disclose the sources of financing for the political parties. </w:t>
      </w:r>
    </w:p>
    <w:p w14:paraId="015CDF06"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3" w:name="_Toc65490093"/>
      <w:r w:rsidRPr="00176351">
        <w:rPr>
          <w:rFonts w:ascii="Times New Roman" w:eastAsia="Times New Roman" w:hAnsi="Times New Roman" w:cs="Times New Roman"/>
          <w:b/>
          <w:bCs/>
          <w:color w:val="1F3763" w:themeColor="accent1" w:themeShade="7F"/>
          <w:sz w:val="24"/>
          <w:szCs w:val="24"/>
        </w:rPr>
        <w:t>OVERSIGHT MECHANISMS AND SANCTIONS</w:t>
      </w:r>
      <w:bookmarkEnd w:id="43"/>
    </w:p>
    <w:p w14:paraId="62E49A1B" w14:textId="1DEB0B85" w:rsidR="00176351" w:rsidRPr="00176351" w:rsidRDefault="00176351" w:rsidP="00176351">
      <w:pPr>
        <w:spacing w:line="360" w:lineRule="auto"/>
        <w:jc w:val="both"/>
        <w:rPr>
          <w:rFonts w:ascii="Times New Roman" w:eastAsia="Calibri" w:hAnsi="Times New Roman" w:cs="Times New Roman"/>
          <w:sz w:val="24"/>
          <w:szCs w:val="24"/>
        </w:rPr>
      </w:pPr>
      <w:r w:rsidRPr="00DF6C26">
        <w:rPr>
          <w:rFonts w:ascii="Times New Roman" w:eastAsia="Calibri" w:hAnsi="Times New Roman" w:cs="Times New Roman"/>
          <w:i/>
          <w:iCs/>
          <w:sz w:val="24"/>
          <w:szCs w:val="24"/>
        </w:rPr>
        <w:t>Section 31(4)</w:t>
      </w:r>
      <w:r w:rsidRPr="00176351">
        <w:rPr>
          <w:rFonts w:ascii="Times New Roman" w:eastAsia="Calibri" w:hAnsi="Times New Roman" w:cs="Times New Roman"/>
          <w:sz w:val="24"/>
          <w:szCs w:val="24"/>
        </w:rPr>
        <w:t xml:space="preserve"> and </w:t>
      </w:r>
      <w:r w:rsidRPr="00DF6C26">
        <w:rPr>
          <w:rFonts w:ascii="Times New Roman" w:eastAsia="Calibri" w:hAnsi="Times New Roman" w:cs="Times New Roman"/>
          <w:i/>
          <w:iCs/>
          <w:sz w:val="24"/>
          <w:szCs w:val="24"/>
        </w:rPr>
        <w:t>(5)</w:t>
      </w:r>
      <w:r w:rsidRPr="00176351">
        <w:rPr>
          <w:rFonts w:ascii="Times New Roman" w:eastAsia="Calibri" w:hAnsi="Times New Roman" w:cs="Times New Roman"/>
          <w:sz w:val="24"/>
          <w:szCs w:val="24"/>
        </w:rPr>
        <w:t xml:space="preserve"> of the Political Parties Act provides oversight mechanisms. The former provides that the Registrar of Political Parties may at any time request the Auditor-General to carry out an audit of the accounts of a political party.  Further, the latter provision provides that any person is entitled to inspect, and audit accounts filed by a political party and are issued with copies of the audited accounts upon payment of a fee to the Registrar of Political Parties. Moreover, under </w:t>
      </w:r>
      <w:r w:rsidRPr="00DF6C26">
        <w:rPr>
          <w:rFonts w:ascii="Times New Roman" w:eastAsia="Calibri" w:hAnsi="Times New Roman" w:cs="Times New Roman"/>
          <w:i/>
          <w:iCs/>
          <w:sz w:val="24"/>
          <w:szCs w:val="24"/>
        </w:rPr>
        <w:t>Section 34</w:t>
      </w:r>
      <w:r w:rsidRPr="00176351">
        <w:rPr>
          <w:rFonts w:ascii="Times New Roman" w:eastAsia="Calibri" w:hAnsi="Times New Roman" w:cs="Times New Roman"/>
          <w:sz w:val="24"/>
          <w:szCs w:val="24"/>
        </w:rPr>
        <w:t xml:space="preserve"> of the Act, the Registrar has some oversight functions such as regulating, </w:t>
      </w:r>
      <w:proofErr w:type="gramStart"/>
      <w:r w:rsidRPr="00176351">
        <w:rPr>
          <w:rFonts w:ascii="Times New Roman" w:eastAsia="Calibri" w:hAnsi="Times New Roman" w:cs="Times New Roman"/>
          <w:sz w:val="24"/>
          <w:szCs w:val="24"/>
        </w:rPr>
        <w:t>supervising</w:t>
      </w:r>
      <w:proofErr w:type="gramEnd"/>
      <w:r w:rsidRPr="00176351">
        <w:rPr>
          <w:rFonts w:ascii="Times New Roman" w:eastAsia="Calibri" w:hAnsi="Times New Roman" w:cs="Times New Roman"/>
          <w:sz w:val="24"/>
          <w:szCs w:val="24"/>
        </w:rPr>
        <w:t xml:space="preserve"> and monitoring political parties and ensuring the publication of audited annual accounts of political parties. In addition, they are tasked with verifying and making publicly available the list of all members of political parties. Besides, the Registrar is obliged to ensure and verify that no person is a member of more than one political party and notify the Commission of his findings. Also, the Registrar is tasked with investigating complaints received under the Act.</w:t>
      </w:r>
    </w:p>
    <w:p w14:paraId="76F8EF19" w14:textId="6742565C" w:rsidR="00176351" w:rsidRPr="00176351" w:rsidRDefault="00176351" w:rsidP="00176351">
      <w:pPr>
        <w:spacing w:line="360" w:lineRule="auto"/>
        <w:jc w:val="both"/>
        <w:rPr>
          <w:rFonts w:ascii="Times New Roman" w:eastAsia="Calibri" w:hAnsi="Times New Roman" w:cs="Times New Roman"/>
          <w:sz w:val="24"/>
          <w:szCs w:val="24"/>
        </w:rPr>
      </w:pPr>
      <w:r w:rsidRPr="00F95152">
        <w:rPr>
          <w:rFonts w:ascii="Times New Roman" w:eastAsia="Calibri" w:hAnsi="Times New Roman" w:cs="Times New Roman"/>
          <w:i/>
          <w:iCs/>
          <w:sz w:val="24"/>
          <w:szCs w:val="24"/>
        </w:rPr>
        <w:t>Section 28</w:t>
      </w:r>
      <w:r w:rsidRPr="00176351">
        <w:rPr>
          <w:rFonts w:ascii="Times New Roman" w:eastAsia="Calibri" w:hAnsi="Times New Roman" w:cs="Times New Roman"/>
          <w:sz w:val="24"/>
          <w:szCs w:val="24"/>
        </w:rPr>
        <w:t xml:space="preserve"> of the Political Parties Act provides for offences relate to sources of funds. One of the offences is for a party to receive funds from a non-citizen contrary to </w:t>
      </w:r>
      <w:r w:rsidRPr="00F95152">
        <w:rPr>
          <w:rFonts w:ascii="Times New Roman" w:eastAsia="Calibri" w:hAnsi="Times New Roman" w:cs="Times New Roman"/>
          <w:i/>
          <w:iCs/>
          <w:sz w:val="24"/>
          <w:szCs w:val="24"/>
        </w:rPr>
        <w:t>Section 27(1)(c)</w:t>
      </w:r>
      <w:r w:rsidRPr="00176351">
        <w:rPr>
          <w:rFonts w:ascii="Times New Roman" w:eastAsia="Calibri" w:hAnsi="Times New Roman" w:cs="Times New Roman"/>
          <w:sz w:val="24"/>
          <w:szCs w:val="24"/>
        </w:rPr>
        <w:t xml:space="preserve">. Also, it is an offence for a single person or organisation to contribute, whether in cash or kind, an amount exceeding five per cent of the total expenditure of the political party in a single year. The party in this case will be obligated to forfeit the amount to the state. There is an exception where the donation exceeding five per cent of the total expenditure is made by a founding member of the political party within its first year of existence. Moreover, it is an offence for a political party official, or any other person required to disclose to the registrar the funds or resources of the political party, to either fail to disclose that information or to give false information concerning the funds or resources of the political party. Further, the individual will be liable for a fine equal to the amount or the value of the resources not disclosed or concerning which they provided false information. Alternatively, the individual is liable to imprisonment for a maximum of two years. The Act stipulates that an individual may alternatively, be both fined and imprisoned for this offence. </w:t>
      </w:r>
    </w:p>
    <w:p w14:paraId="46F98FF6" w14:textId="2EF1DA18" w:rsidR="00176351" w:rsidRPr="00176351" w:rsidRDefault="00176351" w:rsidP="00176351">
      <w:pPr>
        <w:spacing w:line="360" w:lineRule="auto"/>
        <w:jc w:val="both"/>
        <w:rPr>
          <w:rFonts w:ascii="Times New Roman" w:eastAsia="Calibri" w:hAnsi="Times New Roman" w:cs="Times New Roman"/>
          <w:sz w:val="24"/>
          <w:szCs w:val="24"/>
        </w:rPr>
      </w:pPr>
      <w:r w:rsidRPr="00F95152">
        <w:rPr>
          <w:rFonts w:ascii="Times New Roman" w:eastAsia="Calibri" w:hAnsi="Times New Roman" w:cs="Times New Roman"/>
          <w:i/>
          <w:iCs/>
          <w:sz w:val="24"/>
          <w:szCs w:val="24"/>
        </w:rPr>
        <w:t>Section 45</w:t>
      </w:r>
      <w:r w:rsidRPr="00176351">
        <w:rPr>
          <w:rFonts w:ascii="Times New Roman" w:eastAsia="Calibri" w:hAnsi="Times New Roman" w:cs="Times New Roman"/>
          <w:sz w:val="24"/>
          <w:szCs w:val="24"/>
        </w:rPr>
        <w:t xml:space="preserve"> of the Act goes further in stipulating offences. For instance, a person who fails to furnish information as contemplated in the Act regarding a political party or knowingly or recklessly makes a false statement has committed an offence under the Act. Besides, where a political party commits an offence, every officeholder is deemed to have committed the same offence. Also, directors of corporate bodies can be held liable if their companies violate the Act.  Moreover, the Registrar is empowered to take punitive measures when an offence is committed contrary to the Act. They may issue warnings and require political parties to conform to the Act within a stipulated timeframe. Also, they have the power to suspend the registration of the political party for a maximum of twelve months. Also, they may withhold funds from a political party for a period not exceeding twelve months. Lastly, they may deregister a political party subject to </w:t>
      </w:r>
      <w:r w:rsidRPr="00AF3176">
        <w:rPr>
          <w:rFonts w:ascii="Times New Roman" w:eastAsia="Calibri" w:hAnsi="Times New Roman" w:cs="Times New Roman"/>
          <w:i/>
          <w:iCs/>
          <w:sz w:val="24"/>
          <w:szCs w:val="24"/>
        </w:rPr>
        <w:t>Section 21</w:t>
      </w:r>
      <w:r w:rsidRPr="00176351">
        <w:rPr>
          <w:rFonts w:ascii="Times New Roman" w:eastAsia="Calibri" w:hAnsi="Times New Roman" w:cs="Times New Roman"/>
          <w:sz w:val="24"/>
          <w:szCs w:val="24"/>
        </w:rPr>
        <w:t xml:space="preserve"> of the Act.</w:t>
      </w:r>
    </w:p>
    <w:p w14:paraId="6F14B033"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44" w:name="_Toc65490094"/>
      <w:r w:rsidRPr="00176351">
        <w:rPr>
          <w:rFonts w:ascii="Times New Roman" w:eastAsia="Times New Roman" w:hAnsi="Times New Roman" w:cs="Times New Roman"/>
          <w:b/>
          <w:bCs/>
          <w:color w:val="2F5496" w:themeColor="accent1" w:themeShade="BF"/>
          <w:sz w:val="26"/>
          <w:szCs w:val="26"/>
        </w:rPr>
        <w:t>3.3.6 THE ELECTION CAMPAIGN FINANCING ACT</w:t>
      </w:r>
      <w:bookmarkEnd w:id="44"/>
    </w:p>
    <w:p w14:paraId="07B87A95" w14:textId="0F489A39"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Election Campaign Financing Act is meant to regulate campaign contributions and expenditure. It also provides accountability for all income received and expenditures made in election campaign periods. It can be broken down into five major areas. They are sources of funding, expenditure regulations, record keeping, reporting and disclosure requirements and oversight mechanisms and sanctions.</w:t>
      </w:r>
    </w:p>
    <w:p w14:paraId="4B4368E4"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5" w:name="_Toc65490095"/>
      <w:r w:rsidRPr="00176351">
        <w:rPr>
          <w:rFonts w:ascii="Times New Roman" w:eastAsia="Times New Roman" w:hAnsi="Times New Roman" w:cs="Times New Roman"/>
          <w:b/>
          <w:bCs/>
          <w:color w:val="1F3763" w:themeColor="accent1" w:themeShade="7F"/>
          <w:sz w:val="24"/>
          <w:szCs w:val="24"/>
        </w:rPr>
        <w:t>SOURCES OF FUNDING</w:t>
      </w:r>
      <w:bookmarkEnd w:id="45"/>
    </w:p>
    <w:p w14:paraId="741BC698" w14:textId="6BCDAA5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Act, under </w:t>
      </w:r>
      <w:r w:rsidRPr="00AF3176">
        <w:rPr>
          <w:rFonts w:ascii="Times New Roman" w:eastAsia="Calibri" w:hAnsi="Times New Roman" w:cs="Times New Roman"/>
          <w:i/>
          <w:iCs/>
          <w:sz w:val="24"/>
          <w:szCs w:val="24"/>
        </w:rPr>
        <w:t>Section 11</w:t>
      </w:r>
      <w:r w:rsidRPr="00176351">
        <w:rPr>
          <w:rFonts w:ascii="Times New Roman" w:eastAsia="Calibri" w:hAnsi="Times New Roman" w:cs="Times New Roman"/>
          <w:sz w:val="24"/>
          <w:szCs w:val="24"/>
        </w:rPr>
        <w:t xml:space="preserve"> provides that a source of funding to finance party nomination, election or referendum campaigns are contributions from any person,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any other lawful sources.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Furthermore, the Act prohibits contributions from a foreign government and allows contributions from a harambees.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Moreover, the Act stipulates that the IEBC is obliged to prescribe by notice in the gazette the limits on the </w:t>
      </w:r>
      <w:proofErr w:type="gramStart"/>
      <w:r w:rsidRPr="00176351">
        <w:rPr>
          <w:rFonts w:ascii="Times New Roman" w:eastAsia="Calibri" w:hAnsi="Times New Roman" w:cs="Times New Roman"/>
          <w:sz w:val="24"/>
          <w:szCs w:val="24"/>
        </w:rPr>
        <w:t>following;</w:t>
      </w:r>
      <w:proofErr w:type="gramEnd"/>
      <w:r w:rsidRPr="00176351">
        <w:rPr>
          <w:rFonts w:ascii="Times New Roman" w:eastAsia="Calibri" w:hAnsi="Times New Roman" w:cs="Times New Roman"/>
          <w:sz w:val="24"/>
          <w:szCs w:val="24"/>
        </w:rPr>
        <w:t xml:space="preserve"> total contributions, contributions from a single source, paid-up media coverage and loans forming part of a contribution which a candidate, political party or referendum committee may receive during the expenditure period.</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Also, the Act stipulates that anonymous contributions for a candidate, political party or referendum committee are not permitted.</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Furthermore, in the event,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receives contributions from an anonymous or illegal source they are required to report that contributions within fourteen days of its receipt, and forfeit the contribution, to the IEBC.</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In addition, </w:t>
      </w:r>
      <w:r w:rsidRPr="00AF3176">
        <w:rPr>
          <w:rFonts w:ascii="Times New Roman" w:eastAsia="Calibri" w:hAnsi="Times New Roman" w:cs="Times New Roman"/>
          <w:i/>
          <w:iCs/>
          <w:sz w:val="24"/>
          <w:szCs w:val="24"/>
        </w:rPr>
        <w:t>Section 14(1)</w:t>
      </w:r>
      <w:r w:rsidRPr="00176351">
        <w:rPr>
          <w:rFonts w:ascii="Times New Roman" w:eastAsia="Calibri" w:hAnsi="Times New Roman" w:cs="Times New Roman"/>
          <w:sz w:val="24"/>
          <w:szCs w:val="24"/>
        </w:rPr>
        <w:t xml:space="preserve"> of the Act stipulates that a candidate, political party of referendum committee shall not receive any contribution or donation, in cash or in-kind from the state, a state institution or agency or any other public resource.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w:t>
      </w:r>
    </w:p>
    <w:p w14:paraId="689EB844"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6" w:name="_Toc65490096"/>
      <w:r w:rsidRPr="00176351">
        <w:rPr>
          <w:rFonts w:ascii="Times New Roman" w:eastAsia="Times New Roman" w:hAnsi="Times New Roman" w:cs="Times New Roman"/>
          <w:b/>
          <w:bCs/>
          <w:color w:val="1F3763" w:themeColor="accent1" w:themeShade="7F"/>
          <w:sz w:val="24"/>
          <w:szCs w:val="24"/>
        </w:rPr>
        <w:t>EXPENDITURE REGULATIONS</w:t>
      </w:r>
      <w:bookmarkEnd w:id="46"/>
    </w:p>
    <w:p w14:paraId="2C0FFD11" w14:textId="20E8420D"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Campaign Financing Act provides for spending limits concerning election campaigns. To begin with, </w:t>
      </w:r>
      <w:r w:rsidRPr="00AF3176">
        <w:rPr>
          <w:rFonts w:ascii="Times New Roman" w:eastAsia="Calibri" w:hAnsi="Times New Roman" w:cs="Times New Roman"/>
          <w:i/>
          <w:iCs/>
          <w:sz w:val="24"/>
          <w:szCs w:val="24"/>
        </w:rPr>
        <w:t>Section 18</w:t>
      </w:r>
      <w:r w:rsidRPr="00176351">
        <w:rPr>
          <w:rFonts w:ascii="Times New Roman" w:eastAsia="Calibri" w:hAnsi="Times New Roman" w:cs="Times New Roman"/>
          <w:sz w:val="24"/>
          <w:szCs w:val="24"/>
        </w:rPr>
        <w:t xml:space="preserve"> of the Act provides that the IEBC has the obligation, at least twelve months before an election, to prescribe the spending limits, including the total amount that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may spend during an expenditure period, including the limit for media coverage.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Furthermore, the IEBC is mandated to consider several criteria when determining spending limits. They include geographical features, the type of election, the population of the electoral area, the number of party members in an electoral area and the communication infrastructure in an electoral area.</w:t>
      </w:r>
      <w:r w:rsidRPr="00176351">
        <w:rPr>
          <w:rFonts w:ascii="Times New Roman" w:eastAsia="Calibri" w:hAnsi="Times New Roman" w:cs="Times New Roman"/>
          <w:vertAlign w:val="superscript"/>
        </w:rPr>
        <w:t xml:space="preserve"> </w:t>
      </w:r>
    </w:p>
    <w:p w14:paraId="7C6C5262" w14:textId="093AAD51"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Act under </w:t>
      </w:r>
      <w:r w:rsidRPr="00AF3176">
        <w:rPr>
          <w:rFonts w:ascii="Times New Roman" w:eastAsia="Calibri" w:hAnsi="Times New Roman" w:cs="Times New Roman"/>
          <w:i/>
          <w:iCs/>
          <w:sz w:val="24"/>
          <w:szCs w:val="24"/>
        </w:rPr>
        <w:t>Section 19</w:t>
      </w:r>
      <w:r w:rsidRPr="00176351">
        <w:rPr>
          <w:rFonts w:ascii="Times New Roman" w:eastAsia="Calibri" w:hAnsi="Times New Roman" w:cs="Times New Roman"/>
          <w:sz w:val="24"/>
          <w:szCs w:val="24"/>
        </w:rPr>
        <w:t xml:space="preserve"> provides that the IEBC shall at least twelve months before an election, prescribe the nature of authorised activities from which campaign expenses may be incurred. Also, these include the following, the venue where campaign activities may be undertaken, the publicity material for campaigns, the campaign personnel, the transportation in respect of campaign activities and any other justifiable expenses.</w:t>
      </w:r>
    </w:p>
    <w:p w14:paraId="62A1784E"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7" w:name="_Toc65490097"/>
      <w:r w:rsidRPr="00176351">
        <w:rPr>
          <w:rFonts w:ascii="Times New Roman" w:eastAsia="Times New Roman" w:hAnsi="Times New Roman" w:cs="Times New Roman"/>
          <w:b/>
          <w:bCs/>
          <w:color w:val="1F3763" w:themeColor="accent1" w:themeShade="7F"/>
          <w:sz w:val="24"/>
          <w:szCs w:val="24"/>
        </w:rPr>
        <w:t>RECORD KEEPING AND REPORTING AND DISCLOSURE REQUIREMENTS</w:t>
      </w:r>
      <w:bookmarkEnd w:id="47"/>
    </w:p>
    <w:p w14:paraId="6791282B" w14:textId="00AE081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Election Campaign Financing Act provides various stipulations on disclosure. For instance, </w:t>
      </w:r>
      <w:r w:rsidRPr="00AF3176">
        <w:rPr>
          <w:rFonts w:ascii="Times New Roman" w:eastAsia="Calibri" w:hAnsi="Times New Roman" w:cs="Times New Roman"/>
          <w:i/>
          <w:iCs/>
          <w:sz w:val="24"/>
          <w:szCs w:val="24"/>
        </w:rPr>
        <w:t>Section 16(1)</w:t>
      </w:r>
      <w:r w:rsidRPr="00176351">
        <w:rPr>
          <w:rFonts w:ascii="Times New Roman" w:eastAsia="Calibri" w:hAnsi="Times New Roman" w:cs="Times New Roman"/>
          <w:sz w:val="24"/>
          <w:szCs w:val="24"/>
        </w:rPr>
        <w:t xml:space="preserve"> provides for the disclosure of funds by a candidate, political party or referendum committee which receives contributions under the Act. Furthermore, this only applies when a contribution exceeds twenty thousand shillings.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In addition, concerning harambees, details on the venue date, </w:t>
      </w:r>
      <w:proofErr w:type="gramStart"/>
      <w:r w:rsidRPr="00176351">
        <w:rPr>
          <w:rFonts w:ascii="Times New Roman" w:eastAsia="Calibri" w:hAnsi="Times New Roman" w:cs="Times New Roman"/>
          <w:sz w:val="24"/>
          <w:szCs w:val="24"/>
        </w:rPr>
        <w:t>organizer</w:t>
      </w:r>
      <w:proofErr w:type="gramEnd"/>
      <w:r w:rsidRPr="00176351">
        <w:rPr>
          <w:rFonts w:ascii="Times New Roman" w:eastAsia="Calibri" w:hAnsi="Times New Roman" w:cs="Times New Roman"/>
          <w:sz w:val="24"/>
          <w:szCs w:val="24"/>
        </w:rPr>
        <w:t xml:space="preserve"> and total contributions of the harambee must be disclosed.   Further, the Act states that the disclosure of funds is confidential and will not be divulged except in the event it is required for an investigation or it is subject to a complaint or subject of proceedings in court.</w:t>
      </w:r>
      <w:r w:rsidRPr="00176351">
        <w:rPr>
          <w:rFonts w:ascii="Times New Roman" w:eastAsia="Calibri" w:hAnsi="Times New Roman" w:cs="Times New Roman"/>
          <w:vertAlign w:val="superscript"/>
        </w:rPr>
        <w:t xml:space="preserve"> </w:t>
      </w:r>
    </w:p>
    <w:p w14:paraId="46BEDFAC" w14:textId="491F803E" w:rsidR="00176351" w:rsidRPr="00176351" w:rsidRDefault="00176351" w:rsidP="00176351">
      <w:pPr>
        <w:spacing w:line="360" w:lineRule="auto"/>
        <w:jc w:val="both"/>
        <w:rPr>
          <w:rFonts w:ascii="Times New Roman" w:eastAsia="Calibri" w:hAnsi="Times New Roman" w:cs="Times New Roman"/>
          <w:sz w:val="24"/>
          <w:szCs w:val="24"/>
        </w:rPr>
      </w:pPr>
      <w:r w:rsidRPr="00AF3176">
        <w:rPr>
          <w:rFonts w:ascii="Times New Roman" w:eastAsia="Calibri" w:hAnsi="Times New Roman" w:cs="Times New Roman"/>
          <w:i/>
          <w:iCs/>
          <w:sz w:val="24"/>
          <w:szCs w:val="24"/>
        </w:rPr>
        <w:t>Section 26</w:t>
      </w:r>
      <w:r w:rsidRPr="00176351">
        <w:rPr>
          <w:rFonts w:ascii="Times New Roman" w:eastAsia="Calibri" w:hAnsi="Times New Roman" w:cs="Times New Roman"/>
          <w:sz w:val="24"/>
          <w:szCs w:val="24"/>
        </w:rPr>
        <w:t xml:space="preserve"> of the Election Campaign Financing Act details provisions on accountability. For instance, it mandates that a candidate, a political party, a referendum </w:t>
      </w:r>
      <w:proofErr w:type="gramStart"/>
      <w:r w:rsidRPr="00176351">
        <w:rPr>
          <w:rFonts w:ascii="Times New Roman" w:eastAsia="Calibri" w:hAnsi="Times New Roman" w:cs="Times New Roman"/>
          <w:sz w:val="24"/>
          <w:szCs w:val="24"/>
        </w:rPr>
        <w:t>committee</w:t>
      </w:r>
      <w:proofErr w:type="gramEnd"/>
      <w:r w:rsidRPr="00176351">
        <w:rPr>
          <w:rFonts w:ascii="Times New Roman" w:eastAsia="Calibri" w:hAnsi="Times New Roman" w:cs="Times New Roman"/>
          <w:sz w:val="24"/>
          <w:szCs w:val="24"/>
        </w:rPr>
        <w:t xml:space="preserve"> or an organization registered to campaign in support of a candidate must keep certain records. Also, these records include funds received for campaign expenses and these records should include the amount and the nature of the funds receives. Also, the names, postal, </w:t>
      </w:r>
      <w:proofErr w:type="gramStart"/>
      <w:r w:rsidRPr="00176351">
        <w:rPr>
          <w:rFonts w:ascii="Times New Roman" w:eastAsia="Calibri" w:hAnsi="Times New Roman" w:cs="Times New Roman"/>
          <w:sz w:val="24"/>
          <w:szCs w:val="24"/>
        </w:rPr>
        <w:t>physical</w:t>
      </w:r>
      <w:proofErr w:type="gramEnd"/>
      <w:r w:rsidRPr="00176351">
        <w:rPr>
          <w:rFonts w:ascii="Times New Roman" w:eastAsia="Calibri" w:hAnsi="Times New Roman" w:cs="Times New Roman"/>
          <w:sz w:val="24"/>
          <w:szCs w:val="24"/>
        </w:rPr>
        <w:t xml:space="preserve"> and electronic addresses of the contributors are required. Moreover, the Act requires records if funds spent on nomination expenditure and campaign expenditure. Further, in the scenario where an organization registers to campaign for a candidate, political party or referendum committee, the organization is required to disclose the name of the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Notably, the Act states that the IEBC shall comply with a request on information about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under the Act.</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In addition, the Act under </w:t>
      </w:r>
      <w:r w:rsidRPr="00AF3176">
        <w:rPr>
          <w:rFonts w:ascii="Times New Roman" w:eastAsia="Calibri" w:hAnsi="Times New Roman" w:cs="Times New Roman"/>
          <w:i/>
          <w:iCs/>
          <w:sz w:val="24"/>
          <w:szCs w:val="24"/>
        </w:rPr>
        <w:t>Section 12(3)</w:t>
      </w:r>
      <w:r w:rsidRPr="00176351">
        <w:rPr>
          <w:rFonts w:ascii="Times New Roman" w:eastAsia="Calibri" w:hAnsi="Times New Roman" w:cs="Times New Roman"/>
          <w:sz w:val="24"/>
          <w:szCs w:val="24"/>
        </w:rPr>
        <w:t xml:space="preserve"> provides a ceiling beyond which if contributions are made, the candidate, political party of referendum committee in receipt of such funds must disclose.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Furthermore, </w:t>
      </w:r>
      <w:r w:rsidRPr="00AF3176">
        <w:rPr>
          <w:rFonts w:ascii="Times New Roman" w:eastAsia="Calibri" w:hAnsi="Times New Roman" w:cs="Times New Roman"/>
          <w:i/>
          <w:iCs/>
          <w:sz w:val="24"/>
          <w:szCs w:val="24"/>
        </w:rPr>
        <w:t>Section 14(3)</w:t>
      </w:r>
      <w:r w:rsidRPr="00176351">
        <w:rPr>
          <w:rFonts w:ascii="Times New Roman" w:eastAsia="Calibri" w:hAnsi="Times New Roman" w:cs="Times New Roman"/>
          <w:sz w:val="24"/>
          <w:szCs w:val="24"/>
        </w:rPr>
        <w:t xml:space="preserve"> of the Act provide that a contribution from a State or State institution must be reported to the IEBC and submitted to the IEBC within forty-eight hours.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w:t>
      </w:r>
    </w:p>
    <w:p w14:paraId="2397B276" w14:textId="77777777" w:rsidR="00176351" w:rsidRPr="00176351" w:rsidRDefault="00176351" w:rsidP="00176351">
      <w:pPr>
        <w:keepNext/>
        <w:keepLines/>
        <w:spacing w:before="40" w:after="0" w:line="360" w:lineRule="auto"/>
        <w:jc w:val="both"/>
        <w:outlineLvl w:val="2"/>
        <w:rPr>
          <w:rFonts w:ascii="Times New Roman" w:eastAsia="Times New Roman" w:hAnsi="Times New Roman" w:cs="Times New Roman"/>
          <w:b/>
          <w:bCs/>
          <w:color w:val="1F3763" w:themeColor="accent1" w:themeShade="7F"/>
          <w:sz w:val="24"/>
          <w:szCs w:val="24"/>
        </w:rPr>
      </w:pPr>
      <w:bookmarkStart w:id="48" w:name="_Toc65490098"/>
      <w:r w:rsidRPr="00176351">
        <w:rPr>
          <w:rFonts w:ascii="Times New Roman" w:eastAsia="Times New Roman" w:hAnsi="Times New Roman" w:cs="Times New Roman"/>
          <w:b/>
          <w:bCs/>
          <w:color w:val="1F3763" w:themeColor="accent1" w:themeShade="7F"/>
          <w:sz w:val="24"/>
          <w:szCs w:val="24"/>
        </w:rPr>
        <w:t>OVERSIGHT MECHANISMS AND SANCTIONS</w:t>
      </w:r>
      <w:bookmarkEnd w:id="48"/>
    </w:p>
    <w:p w14:paraId="0DA61EB4" w14:textId="5887B16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Campaign Financing Act provides offences and sanctions accompanying violations of the Act. For instance, </w:t>
      </w:r>
      <w:r w:rsidRPr="00AF3176">
        <w:rPr>
          <w:rFonts w:ascii="Times New Roman" w:eastAsia="Calibri" w:hAnsi="Times New Roman" w:cs="Times New Roman"/>
          <w:i/>
          <w:iCs/>
          <w:sz w:val="24"/>
          <w:szCs w:val="24"/>
        </w:rPr>
        <w:t>Section 22</w:t>
      </w:r>
      <w:r w:rsidRPr="00176351">
        <w:rPr>
          <w:rFonts w:ascii="Times New Roman" w:eastAsia="Calibri" w:hAnsi="Times New Roman" w:cs="Times New Roman"/>
          <w:sz w:val="24"/>
          <w:szCs w:val="24"/>
        </w:rPr>
        <w:t xml:space="preserve"> states that a person who obstructs the IEBC in performing its functions under the Act has committed an offence.  Also, a person who refuses to provide reports and records when requested produces false reports and records, gives false information, or destroys books and records relating to the Act has committed an offence. The person is liable to either a maximum of a two million fine, a prison sentence not exceeding five years, or to both.</w:t>
      </w:r>
      <w:r w:rsidRPr="00176351">
        <w:rPr>
          <w:rFonts w:ascii="Times New Roman" w:eastAsia="Calibri" w:hAnsi="Times New Roman" w:cs="Times New Roman"/>
          <w:vertAlign w:val="superscript"/>
        </w:rPr>
        <w:t xml:space="preserve"> </w:t>
      </w:r>
    </w:p>
    <w:p w14:paraId="38F49DF5" w14:textId="795AE4D2"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Under </w:t>
      </w:r>
      <w:r w:rsidRPr="00AF3176">
        <w:rPr>
          <w:rFonts w:ascii="Times New Roman" w:eastAsia="Calibri" w:hAnsi="Times New Roman" w:cs="Times New Roman"/>
          <w:i/>
          <w:iCs/>
          <w:sz w:val="24"/>
          <w:szCs w:val="24"/>
        </w:rPr>
        <w:t>Section 23</w:t>
      </w:r>
      <w:r w:rsidRPr="00176351">
        <w:rPr>
          <w:rFonts w:ascii="Times New Roman" w:eastAsia="Calibri" w:hAnsi="Times New Roman" w:cs="Times New Roman"/>
          <w:sz w:val="24"/>
          <w:szCs w:val="24"/>
        </w:rPr>
        <w:t xml:space="preserve"> of the Act, a candidate, a political party which contravenes the campaign expenditure rules has committed an offence. In addition,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which knowingly gives false or incorrect information has committed an offence. Also, if they fail to submit party expenditure reports or exceed the spending limits, its an offence and are liable to a maximum fine of two million shillings, a conviction of five years or both.</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Besides, the Act stipulates that where a political party or referendum committee commits an offence under the Act, every member of the governing body of the political party or the referendum committee shall be liable for the offence.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Furthermore, a person convicted for an offence under the Act whereby no penalty will be provided, they are liable for a maximum fine of two million or a maximum prison sentence of five years or both.</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Furthermore, a candidate political party or referendum committee subject to a penalty under the Act is disqualified from contesting that election or referendum.</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Moreover, under </w:t>
      </w:r>
      <w:r w:rsidRPr="00AF3176">
        <w:rPr>
          <w:rFonts w:ascii="Times New Roman" w:eastAsia="Calibri" w:hAnsi="Times New Roman" w:cs="Times New Roman"/>
          <w:i/>
          <w:iCs/>
          <w:sz w:val="24"/>
          <w:szCs w:val="24"/>
        </w:rPr>
        <w:t>Section 14(4)</w:t>
      </w:r>
      <w:r w:rsidRPr="00176351">
        <w:rPr>
          <w:rFonts w:ascii="Times New Roman" w:eastAsia="Calibri" w:hAnsi="Times New Roman" w:cs="Times New Roman"/>
          <w:sz w:val="24"/>
          <w:szCs w:val="24"/>
        </w:rPr>
        <w:t xml:space="preserve"> of the Act,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which fails to disclose funds from the state</w:t>
      </w:r>
      <w:r w:rsidR="00190A91">
        <w:rPr>
          <w:rFonts w:ascii="Times New Roman" w:eastAsia="Calibri" w:hAnsi="Times New Roman" w:cs="Times New Roman"/>
          <w:sz w:val="24"/>
          <w:szCs w:val="24"/>
        </w:rPr>
        <w:t>,</w:t>
      </w:r>
      <w:r w:rsidRPr="00176351">
        <w:rPr>
          <w:rFonts w:ascii="Times New Roman" w:eastAsia="Calibri" w:hAnsi="Times New Roman" w:cs="Times New Roman"/>
          <w:sz w:val="24"/>
          <w:szCs w:val="24"/>
        </w:rPr>
        <w:t xml:space="preserve"> or a state institution shall be disqualified from the election or referendum.  </w:t>
      </w:r>
    </w:p>
    <w:p w14:paraId="1B5C8D2F" w14:textId="4A5B32B3"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It is notable that under </w:t>
      </w:r>
      <w:r w:rsidRPr="00AF3176">
        <w:rPr>
          <w:rFonts w:ascii="Times New Roman" w:eastAsia="Calibri" w:hAnsi="Times New Roman" w:cs="Times New Roman"/>
          <w:i/>
          <w:iCs/>
          <w:sz w:val="24"/>
          <w:szCs w:val="24"/>
        </w:rPr>
        <w:t>Section 16(6)</w:t>
      </w:r>
      <w:r w:rsidRPr="00176351">
        <w:rPr>
          <w:rFonts w:ascii="Times New Roman" w:eastAsia="Calibri" w:hAnsi="Times New Roman" w:cs="Times New Roman"/>
          <w:sz w:val="24"/>
          <w:szCs w:val="24"/>
        </w:rPr>
        <w:t xml:space="preserve"> of the Act, a candidate, political </w:t>
      </w:r>
      <w:proofErr w:type="gramStart"/>
      <w:r w:rsidRPr="00176351">
        <w:rPr>
          <w:rFonts w:ascii="Times New Roman" w:eastAsia="Calibri" w:hAnsi="Times New Roman" w:cs="Times New Roman"/>
          <w:sz w:val="24"/>
          <w:szCs w:val="24"/>
        </w:rPr>
        <w:t>party</w:t>
      </w:r>
      <w:proofErr w:type="gramEnd"/>
      <w:r w:rsidRPr="00176351">
        <w:rPr>
          <w:rFonts w:ascii="Times New Roman" w:eastAsia="Calibri" w:hAnsi="Times New Roman" w:cs="Times New Roman"/>
          <w:sz w:val="24"/>
          <w:szCs w:val="24"/>
        </w:rPr>
        <w:t xml:space="preserve"> or referendum committee which fails to disclose donations commits an offence.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Further, exceeding the limit on expenditure without filing a report detailing unforeseeable and extraneous circumstances, is an offence under </w:t>
      </w:r>
      <w:r w:rsidRPr="00AF3176">
        <w:rPr>
          <w:rFonts w:ascii="Times New Roman" w:eastAsia="Calibri" w:hAnsi="Times New Roman" w:cs="Times New Roman"/>
          <w:i/>
          <w:iCs/>
          <w:sz w:val="24"/>
          <w:szCs w:val="24"/>
        </w:rPr>
        <w:t>Section 18(6)</w:t>
      </w:r>
      <w:r w:rsidRPr="00176351">
        <w:rPr>
          <w:rFonts w:ascii="Times New Roman" w:eastAsia="Calibri" w:hAnsi="Times New Roman" w:cs="Times New Roman"/>
          <w:sz w:val="24"/>
          <w:szCs w:val="24"/>
        </w:rPr>
        <w:t xml:space="preserve"> of the Act.</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In addition, under </w:t>
      </w:r>
      <w:r w:rsidRPr="00AF3176">
        <w:rPr>
          <w:rFonts w:ascii="Times New Roman" w:eastAsia="Calibri" w:hAnsi="Times New Roman" w:cs="Times New Roman"/>
          <w:i/>
          <w:iCs/>
          <w:sz w:val="24"/>
          <w:szCs w:val="24"/>
        </w:rPr>
        <w:t>Section 18(7)</w:t>
      </w:r>
      <w:r w:rsidRPr="00176351">
        <w:rPr>
          <w:rFonts w:ascii="Times New Roman" w:eastAsia="Calibri" w:hAnsi="Times New Roman" w:cs="Times New Roman"/>
          <w:sz w:val="24"/>
          <w:szCs w:val="24"/>
        </w:rPr>
        <w:t>, exceeding the spending limits in itself is an offence.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Notably, </w:t>
      </w:r>
      <w:r w:rsidRPr="00AF3176">
        <w:rPr>
          <w:rFonts w:ascii="Times New Roman" w:eastAsia="Calibri" w:hAnsi="Times New Roman" w:cs="Times New Roman"/>
          <w:i/>
          <w:iCs/>
          <w:sz w:val="24"/>
          <w:szCs w:val="24"/>
        </w:rPr>
        <w:t>Section 27</w:t>
      </w:r>
      <w:r w:rsidRPr="00176351">
        <w:rPr>
          <w:rFonts w:ascii="Times New Roman" w:eastAsia="Calibri" w:hAnsi="Times New Roman" w:cs="Times New Roman"/>
          <w:sz w:val="24"/>
          <w:szCs w:val="24"/>
        </w:rPr>
        <w:t xml:space="preserve"> of the Act provides an oversight mechanism whereby the Auditor General is empowered to audit the accounts relating to a candidate’s, a political </w:t>
      </w:r>
      <w:proofErr w:type="gramStart"/>
      <w:r w:rsidRPr="00176351">
        <w:rPr>
          <w:rFonts w:ascii="Times New Roman" w:eastAsia="Calibri" w:hAnsi="Times New Roman" w:cs="Times New Roman"/>
          <w:sz w:val="24"/>
          <w:szCs w:val="24"/>
        </w:rPr>
        <w:t>party’s</w:t>
      </w:r>
      <w:proofErr w:type="gramEnd"/>
      <w:r w:rsidRPr="00176351">
        <w:rPr>
          <w:rFonts w:ascii="Times New Roman" w:eastAsia="Calibri" w:hAnsi="Times New Roman" w:cs="Times New Roman"/>
          <w:sz w:val="24"/>
          <w:szCs w:val="24"/>
        </w:rPr>
        <w:t xml:space="preserve"> or referendum committee’s expenses upon request from the IEBC.</w:t>
      </w:r>
      <w:r w:rsidRPr="00176351">
        <w:rPr>
          <w:rFonts w:ascii="Times New Roman" w:eastAsia="Calibri" w:hAnsi="Times New Roman" w:cs="Times New Roman"/>
          <w:vertAlign w:val="superscript"/>
        </w:rPr>
        <w:t xml:space="preserve"> </w:t>
      </w:r>
    </w:p>
    <w:p w14:paraId="48A0FAFF"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49" w:name="_Toc65490099"/>
      <w:r w:rsidRPr="00176351">
        <w:rPr>
          <w:rFonts w:ascii="Times New Roman" w:eastAsia="Times New Roman" w:hAnsi="Times New Roman" w:cs="Times New Roman"/>
          <w:b/>
          <w:bCs/>
          <w:color w:val="2F5496" w:themeColor="accent1" w:themeShade="BF"/>
          <w:sz w:val="26"/>
          <w:szCs w:val="26"/>
        </w:rPr>
        <w:t>3.3.7 CHALLENGES FACING DISCLOSURE REQUIREMENTS IN CAMPAIGN FINANCING REGULATION IN KENYA</w:t>
      </w:r>
      <w:bookmarkEnd w:id="49"/>
    </w:p>
    <w:p w14:paraId="62C9E7F2"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A review of the legal provisions concerning political campaign financing clarifies that Kenya has made progress in this area since the 2010 Constitution was promulgated. For instance, Parliament passed the Political Parties Act and the Election Campaign Financing Act. However, it is manifest that there are challenges that have emerged, stymying the efforts that have been expended to ensure accountability and to fight corruption in politics. These challenges, old and new are outlined below. </w:t>
      </w:r>
    </w:p>
    <w:p w14:paraId="76D40A8C"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First, the Election Campaign Financing Act was passed in 2013, after the general elections. Furthermore, it was due to be applied in the 2017 general elections. However, parliament postponed its commencement date to the 2022 general elections in 2017. Therefore, its provisions are yet to be applied in regulating political financing. Furthermore, this calls attention to the unwillingness of legislators to allow themselves to be regulated. Also, it underscores the opacity and the low level of integrity and accountability in the electoral process. </w:t>
      </w:r>
    </w:p>
    <w:p w14:paraId="3FA5A2AF"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Second, the capacity of the IEBC, the </w:t>
      </w:r>
      <w:proofErr w:type="gramStart"/>
      <w:r w:rsidRPr="00176351">
        <w:rPr>
          <w:rFonts w:ascii="Times New Roman" w:eastAsia="Calibri" w:hAnsi="Times New Roman" w:cs="Times New Roman"/>
          <w:sz w:val="24"/>
          <w:szCs w:val="24"/>
        </w:rPr>
        <w:t>candidates</w:t>
      </w:r>
      <w:proofErr w:type="gramEnd"/>
      <w:r w:rsidRPr="00176351">
        <w:rPr>
          <w:rFonts w:ascii="Times New Roman" w:eastAsia="Calibri" w:hAnsi="Times New Roman" w:cs="Times New Roman"/>
          <w:sz w:val="24"/>
          <w:szCs w:val="24"/>
        </w:rPr>
        <w:t xml:space="preserve"> and the political parties to adhere to the disclosure and reporting requirements is in question. For instance, the IEBC will be mandated to monitor candidates, political parties and any entities who are either contributors of campaign financing or spend funds for campaigning. This is a herculean task that requires resources and personnel. Also, the IEBC has been accused of corruption which casts doubt on its ability to ensure compliance with campaign financing regulation. </w:t>
      </w:r>
    </w:p>
    <w:p w14:paraId="505ED6EF"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Third, election costs have been increasing with each election cycle. Therefore, there is pressure on candidates to generate more funds to be politically competitive. Furthermore, processes such as party primaries are increasingly becoming </w:t>
      </w:r>
      <w:proofErr w:type="gramStart"/>
      <w:r w:rsidRPr="00176351">
        <w:rPr>
          <w:rFonts w:ascii="Times New Roman" w:eastAsia="Calibri" w:hAnsi="Times New Roman" w:cs="Times New Roman"/>
          <w:sz w:val="24"/>
          <w:szCs w:val="24"/>
        </w:rPr>
        <w:t>cost-intensive</w:t>
      </w:r>
      <w:proofErr w:type="gramEnd"/>
      <w:r w:rsidRPr="00176351">
        <w:rPr>
          <w:rFonts w:ascii="Times New Roman" w:eastAsia="Calibri" w:hAnsi="Times New Roman" w:cs="Times New Roman"/>
          <w:sz w:val="24"/>
          <w:szCs w:val="24"/>
        </w:rPr>
        <w:t>. This is because political parties are not self-sufficient and rely on party primaries to raise funds. Also, in many instances, these parties offer little financial assistance to the candidates who run under their banner. Therefore, there is intense pressure and temptation on political actors to seek funding which in many instances is sourced from corruption.</w:t>
      </w:r>
    </w:p>
    <w:p w14:paraId="616873FA"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Fourth, there is a risk that political parties keep parallel accounts to under-report their incomes and expenditures. For instance, it is estimated that 10 million shillings were expended every day by CORD, Amani, </w:t>
      </w:r>
      <w:proofErr w:type="gramStart"/>
      <w:r w:rsidRPr="00176351">
        <w:rPr>
          <w:rFonts w:ascii="Times New Roman" w:eastAsia="Calibri" w:hAnsi="Times New Roman" w:cs="Times New Roman"/>
          <w:sz w:val="24"/>
          <w:szCs w:val="24"/>
        </w:rPr>
        <w:t>Eagle</w:t>
      </w:r>
      <w:proofErr w:type="gramEnd"/>
      <w:r w:rsidRPr="00176351">
        <w:rPr>
          <w:rFonts w:ascii="Times New Roman" w:eastAsia="Calibri" w:hAnsi="Times New Roman" w:cs="Times New Roman"/>
          <w:sz w:val="24"/>
          <w:szCs w:val="24"/>
        </w:rPr>
        <w:t xml:space="preserve"> and Jubilee coalitions. Furthermore, the money was used to hire helicopters to be used in campaigning. Also, the Jubilee Alliance and CORD used over 10 billion shillings which were not disclosed in their reports to the Registrar of Political Parties.</w:t>
      </w:r>
    </w:p>
    <w:p w14:paraId="7F361FE6"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Fifth, the political party reports filed with the Registrar of Political Parties is not published and publicised as required by law. Furthermore, the confidentiality of expenditure and disclosure reports is an added layer of opacity. This impeded the ability of voters, civil </w:t>
      </w:r>
      <w:proofErr w:type="gramStart"/>
      <w:r w:rsidRPr="00176351">
        <w:rPr>
          <w:rFonts w:ascii="Times New Roman" w:eastAsia="Calibri" w:hAnsi="Times New Roman" w:cs="Times New Roman"/>
          <w:sz w:val="24"/>
          <w:szCs w:val="24"/>
        </w:rPr>
        <w:t>society</w:t>
      </w:r>
      <w:proofErr w:type="gramEnd"/>
      <w:r w:rsidRPr="00176351">
        <w:rPr>
          <w:rFonts w:ascii="Times New Roman" w:eastAsia="Calibri" w:hAnsi="Times New Roman" w:cs="Times New Roman"/>
          <w:sz w:val="24"/>
          <w:szCs w:val="24"/>
        </w:rPr>
        <w:t xml:space="preserve"> and human rights bodies to scrutinise this information. Also, it impeded the ability of these entities to play an oversight role and in so doing, discourage and uncover corruption and non-compliance with campaign financing regulation laws. </w:t>
      </w:r>
    </w:p>
    <w:p w14:paraId="5A72B1D7"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0" w:name="_Toc65490100"/>
      <w:r w:rsidRPr="00176351">
        <w:rPr>
          <w:rFonts w:ascii="Times New Roman" w:eastAsia="Times New Roman" w:hAnsi="Times New Roman" w:cs="Times New Roman"/>
          <w:b/>
          <w:bCs/>
          <w:color w:val="2F5496" w:themeColor="accent1" w:themeShade="BF"/>
          <w:sz w:val="26"/>
          <w:szCs w:val="26"/>
        </w:rPr>
        <w:t>3.3.8 CONCLUSION</w:t>
      </w:r>
      <w:bookmarkEnd w:id="50"/>
    </w:p>
    <w:p w14:paraId="6B4101ED" w14:textId="02ECCEFD" w:rsidR="00FD199D" w:rsidRPr="00B00EF1" w:rsidRDefault="00176351" w:rsidP="00B00EF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legal framework addressing political financing regulation in Kenya is categorised into international, </w:t>
      </w:r>
      <w:proofErr w:type="gramStart"/>
      <w:r w:rsidRPr="00176351">
        <w:rPr>
          <w:rFonts w:ascii="Times New Roman" w:eastAsia="Calibri" w:hAnsi="Times New Roman" w:cs="Times New Roman"/>
          <w:sz w:val="24"/>
          <w:szCs w:val="24"/>
        </w:rPr>
        <w:t>regional</w:t>
      </w:r>
      <w:proofErr w:type="gramEnd"/>
      <w:r w:rsidRPr="00176351">
        <w:rPr>
          <w:rFonts w:ascii="Times New Roman" w:eastAsia="Calibri" w:hAnsi="Times New Roman" w:cs="Times New Roman"/>
          <w:sz w:val="24"/>
          <w:szCs w:val="24"/>
        </w:rPr>
        <w:t xml:space="preserve"> and national laws. At the international level, various instruments address the right to vote and safeguard it. Furthermore, there is a framework to act as an anti-corruption mechanism and this prevents money acquired through corruption from accessing the political arena. At the regional level, the right to vote is also safeguarded. However, although there is an anti-corruption framework to combat corruption, the political financing regulation is not as rich in the African Region as in the European Region. This requires to be addressed. Also, in the national arena, the Constitution provides various provisions addressing election campaign financing. Also, the Political Parties Act and the Election Campaign Financing Act have provisions which can be broken down into four </w:t>
      </w:r>
      <w:proofErr w:type="gramStart"/>
      <w:r w:rsidRPr="00176351">
        <w:rPr>
          <w:rFonts w:ascii="Times New Roman" w:eastAsia="Calibri" w:hAnsi="Times New Roman" w:cs="Times New Roman"/>
          <w:sz w:val="24"/>
          <w:szCs w:val="24"/>
        </w:rPr>
        <w:t>categories;</w:t>
      </w:r>
      <w:proofErr w:type="gramEnd"/>
      <w:r w:rsidRPr="00176351">
        <w:rPr>
          <w:rFonts w:ascii="Times New Roman" w:eastAsia="Calibri" w:hAnsi="Times New Roman" w:cs="Times New Roman"/>
          <w:sz w:val="24"/>
          <w:szCs w:val="24"/>
        </w:rPr>
        <w:t xml:space="preserve"> sources of funding, expenditure regulations, record keeping, reporting and disclosure requirements and oversight mechanisms and sanctions. Also, it is notable that the Election Campaign Financing Act is yet to be applied owing to a parliamentary intervention. Furthermore, there are various challenges surrounding election campaign financing regulation which undeniably prevent corrupt finances from being accessed by political actors. </w:t>
      </w:r>
    </w:p>
    <w:p w14:paraId="792E5FDE" w14:textId="0969FF94" w:rsidR="004B4921" w:rsidRDefault="000D0CEB" w:rsidP="00EA5686">
      <w:pPr>
        <w:rPr>
          <w:rFonts w:ascii="Times New Roman" w:eastAsia="Times New Roman" w:hAnsi="Times New Roman" w:cs="Times New Roman"/>
          <w:b/>
          <w:bCs/>
          <w:color w:val="2F5496" w:themeColor="accent1" w:themeShade="BF"/>
          <w:sz w:val="32"/>
          <w:szCs w:val="32"/>
        </w:rPr>
      </w:pPr>
      <w:r>
        <w:rPr>
          <w:rFonts w:ascii="Times New Roman" w:eastAsia="Times New Roman" w:hAnsi="Times New Roman" w:cs="Times New Roman"/>
          <w:b/>
          <w:bCs/>
          <w:color w:val="2F5496" w:themeColor="accent1" w:themeShade="BF"/>
          <w:sz w:val="32"/>
          <w:szCs w:val="32"/>
        </w:rPr>
        <w:br w:type="page"/>
      </w:r>
    </w:p>
    <w:p w14:paraId="660F68A0" w14:textId="79D7C5C5" w:rsidR="00176351" w:rsidRPr="00176351" w:rsidRDefault="00176351" w:rsidP="0025459C">
      <w:pPr>
        <w:keepNext/>
        <w:keepLines/>
        <w:spacing w:before="60" w:after="0" w:line="360" w:lineRule="auto"/>
        <w:jc w:val="both"/>
        <w:outlineLvl w:val="0"/>
        <w:rPr>
          <w:rFonts w:ascii="Times New Roman" w:eastAsia="Times New Roman" w:hAnsi="Times New Roman" w:cs="Times New Roman"/>
          <w:b/>
          <w:bCs/>
          <w:color w:val="2F5496" w:themeColor="accent1" w:themeShade="BF"/>
          <w:sz w:val="32"/>
          <w:szCs w:val="32"/>
        </w:rPr>
      </w:pPr>
      <w:bookmarkStart w:id="51" w:name="_Toc65490101"/>
      <w:r w:rsidRPr="00176351">
        <w:rPr>
          <w:rFonts w:ascii="Times New Roman" w:eastAsia="Times New Roman" w:hAnsi="Times New Roman" w:cs="Times New Roman"/>
          <w:b/>
          <w:bCs/>
          <w:color w:val="2F5496" w:themeColor="accent1" w:themeShade="BF"/>
          <w:sz w:val="32"/>
          <w:szCs w:val="32"/>
        </w:rPr>
        <w:t>CHAPTER 4: A COMPARATIVE STUDY OF DISCLOSURE IN THE UNITED STATES; LESSONS FOR KENYA</w:t>
      </w:r>
      <w:bookmarkEnd w:id="51"/>
    </w:p>
    <w:p w14:paraId="782DB36A"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2" w:name="_Toc65490102"/>
      <w:r w:rsidRPr="00176351">
        <w:rPr>
          <w:rFonts w:ascii="Times New Roman" w:eastAsia="Times New Roman" w:hAnsi="Times New Roman" w:cs="Times New Roman"/>
          <w:b/>
          <w:bCs/>
          <w:color w:val="2F5496" w:themeColor="accent1" w:themeShade="BF"/>
          <w:sz w:val="26"/>
          <w:szCs w:val="26"/>
        </w:rPr>
        <w:t>4.1 INTRODUCTION</w:t>
      </w:r>
      <w:bookmarkEnd w:id="52"/>
    </w:p>
    <w:p w14:paraId="0C48DBED" w14:textId="77777777"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This chapter assesses whether the United States has enacted laws on political campaign financing disclosure. Also, it assesses the political campaign financing disclosure laws in the United States. Moreover, this chapter gauges the types of information disclosed in the United States. Furthermore, it interrogates the rationale that is provided to justify disclosures by the United States Supreme Court. Additionally, this chapter assesses the problems that stem from disclosures in the United States. Also, this chapter delves into how Kenya can draw from the United States in using campaign financing regulation, in particular, disclosure requirements to combat corruption in political financing. </w:t>
      </w:r>
    </w:p>
    <w:p w14:paraId="6229D4A8"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3" w:name="_Toc65490103"/>
      <w:r w:rsidRPr="00176351">
        <w:rPr>
          <w:rFonts w:ascii="Times New Roman" w:eastAsia="Times New Roman" w:hAnsi="Times New Roman" w:cs="Times New Roman"/>
          <w:b/>
          <w:bCs/>
          <w:color w:val="2F5496" w:themeColor="accent1" w:themeShade="BF"/>
          <w:sz w:val="26"/>
          <w:szCs w:val="26"/>
        </w:rPr>
        <w:t>4.2 FEDERAL DISCLOSURE LAWS</w:t>
      </w:r>
      <w:bookmarkEnd w:id="53"/>
    </w:p>
    <w:p w14:paraId="79D02EC2"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4" w:name="_Toc65490104"/>
      <w:r w:rsidRPr="00176351">
        <w:rPr>
          <w:rFonts w:ascii="Times New Roman" w:eastAsia="Times New Roman" w:hAnsi="Times New Roman" w:cs="Times New Roman"/>
          <w:b/>
          <w:bCs/>
          <w:color w:val="2F5496" w:themeColor="accent1" w:themeShade="BF"/>
          <w:sz w:val="26"/>
          <w:szCs w:val="26"/>
        </w:rPr>
        <w:t>4.2.1 FEDERAL ELECTION CAMPAIGN ACT</w:t>
      </w:r>
      <w:bookmarkEnd w:id="54"/>
    </w:p>
    <w:p w14:paraId="429EC0BD" w14:textId="66730A20"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Federal Election Campaign Act (FECA) was enacted in 1971. It has disclosure requirements that apply to candidates for federal office. Also, political committees and other actors are subject to the disclosure provisions in the Act. These entities and individuals are mandated to provide reports to the Federal Electoral Commission (FEC). These reports should disclose information including the full name, mailing address, occupation, place of business and size of contributions concerning political donors. Furthermore, disclosure requirements apply to 'express advocacy'.</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Express advocacy is communications whose purpose is to advocate for the election of a certain candidate or the defeat of a certain candidate, who is identified. Notably, all this information which is disclosed to the FEC proceeds to the public where it is freely available for all to scrutinise.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Therefore, the identities of powerful interests that seek to have sway over the policies of the government are known to the public. Moreover, should certain entities have questionable links to crime or corruption, it is easy for the public to hold these entities accountable through legal means and to hold their associates seeking public office accountable by voting against them and preventing proceeds of corruption form muddying the political waters. </w:t>
      </w:r>
    </w:p>
    <w:p w14:paraId="5F54DAAA" w14:textId="74969C89"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In </w:t>
      </w:r>
      <w:r w:rsidRPr="00176351">
        <w:rPr>
          <w:rFonts w:ascii="Times New Roman" w:eastAsia="Calibri" w:hAnsi="Times New Roman" w:cs="Times New Roman"/>
          <w:i/>
          <w:iCs/>
          <w:sz w:val="24"/>
          <w:szCs w:val="24"/>
        </w:rPr>
        <w:t>Buckley v Valeo</w:t>
      </w:r>
      <w:r w:rsidRPr="00176351">
        <w:rPr>
          <w:rFonts w:ascii="Times New Roman" w:eastAsia="Calibri" w:hAnsi="Times New Roman" w:cs="Times New Roman"/>
          <w:sz w:val="24"/>
          <w:szCs w:val="24"/>
        </w:rPr>
        <w:t>, the Supreme Court</w:t>
      </w:r>
      <w:r w:rsidR="00B10F61">
        <w:rPr>
          <w:rFonts w:ascii="Times New Roman" w:eastAsia="Calibri" w:hAnsi="Times New Roman" w:cs="Times New Roman"/>
          <w:sz w:val="24"/>
          <w:szCs w:val="24"/>
        </w:rPr>
        <w:t xml:space="preserve"> </w:t>
      </w:r>
      <w:r w:rsidR="00D30686">
        <w:rPr>
          <w:rFonts w:ascii="Times New Roman" w:eastAsia="Calibri" w:hAnsi="Times New Roman" w:cs="Times New Roman"/>
          <w:sz w:val="24"/>
          <w:szCs w:val="24"/>
        </w:rPr>
        <w:t>u</w:t>
      </w:r>
      <w:r w:rsidR="003651E1">
        <w:rPr>
          <w:rFonts w:ascii="Times New Roman" w:eastAsia="Calibri" w:hAnsi="Times New Roman" w:cs="Times New Roman"/>
          <w:sz w:val="24"/>
          <w:szCs w:val="24"/>
        </w:rPr>
        <w:t>pheld the Federal Election Campaign Act’s contribution limits</w:t>
      </w:r>
      <w:r w:rsidR="007B156C">
        <w:rPr>
          <w:rFonts w:ascii="Times New Roman" w:eastAsia="Calibri" w:hAnsi="Times New Roman" w:cs="Times New Roman"/>
          <w:sz w:val="24"/>
          <w:szCs w:val="24"/>
        </w:rPr>
        <w:t xml:space="preserve">, disclosure requirements and its optional funding concerning presidential candidates. However, the </w:t>
      </w:r>
      <w:r w:rsidR="00D30686">
        <w:rPr>
          <w:rFonts w:ascii="Times New Roman" w:eastAsia="Calibri" w:hAnsi="Times New Roman" w:cs="Times New Roman"/>
          <w:sz w:val="24"/>
          <w:szCs w:val="24"/>
        </w:rPr>
        <w:t>Court struck down the spending limits in the Act. The Court</w:t>
      </w:r>
      <w:r w:rsidR="00150BC1">
        <w:rPr>
          <w:rFonts w:ascii="Times New Roman" w:eastAsia="Calibri" w:hAnsi="Times New Roman" w:cs="Times New Roman"/>
          <w:sz w:val="24"/>
          <w:szCs w:val="24"/>
        </w:rPr>
        <w:t xml:space="preserve"> opined t</w:t>
      </w:r>
      <w:r w:rsidR="00F46A43">
        <w:rPr>
          <w:rFonts w:ascii="Times New Roman" w:eastAsia="Calibri" w:hAnsi="Times New Roman" w:cs="Times New Roman"/>
          <w:sz w:val="24"/>
          <w:szCs w:val="24"/>
        </w:rPr>
        <w:t>hat ‘v</w:t>
      </w:r>
      <w:r w:rsidR="00377AAF">
        <w:rPr>
          <w:rFonts w:ascii="Times New Roman" w:eastAsia="Calibri" w:hAnsi="Times New Roman" w:cs="Times New Roman"/>
          <w:sz w:val="24"/>
          <w:szCs w:val="24"/>
        </w:rPr>
        <w:t>i</w:t>
      </w:r>
      <w:r w:rsidR="00F46A43">
        <w:rPr>
          <w:rFonts w:ascii="Times New Roman" w:eastAsia="Calibri" w:hAnsi="Times New Roman" w:cs="Times New Roman"/>
          <w:sz w:val="24"/>
          <w:szCs w:val="24"/>
        </w:rPr>
        <w:t>rtually every means of communicating ideas in today’s mass socie</w:t>
      </w:r>
      <w:r w:rsidR="000C6F34">
        <w:rPr>
          <w:rFonts w:ascii="Times New Roman" w:eastAsia="Calibri" w:hAnsi="Times New Roman" w:cs="Times New Roman"/>
          <w:sz w:val="24"/>
          <w:szCs w:val="24"/>
        </w:rPr>
        <w:t>t</w:t>
      </w:r>
      <w:r w:rsidR="00F46A43">
        <w:rPr>
          <w:rFonts w:ascii="Times New Roman" w:eastAsia="Calibri" w:hAnsi="Times New Roman" w:cs="Times New Roman"/>
          <w:sz w:val="24"/>
          <w:szCs w:val="24"/>
        </w:rPr>
        <w:t xml:space="preserve">y requires the </w:t>
      </w:r>
      <w:r w:rsidR="00377AAF">
        <w:rPr>
          <w:rFonts w:ascii="Times New Roman" w:eastAsia="Calibri" w:hAnsi="Times New Roman" w:cs="Times New Roman"/>
          <w:sz w:val="24"/>
          <w:szCs w:val="24"/>
        </w:rPr>
        <w:t>expenditure of money’</w:t>
      </w:r>
      <w:r w:rsidR="00844A12">
        <w:rPr>
          <w:rFonts w:ascii="Times New Roman" w:eastAsia="Calibri" w:hAnsi="Times New Roman" w:cs="Times New Roman"/>
          <w:sz w:val="24"/>
          <w:szCs w:val="24"/>
        </w:rPr>
        <w:t>. Therefore,</w:t>
      </w:r>
      <w:r w:rsidR="00A54992">
        <w:rPr>
          <w:rFonts w:ascii="Times New Roman" w:eastAsia="Calibri" w:hAnsi="Times New Roman" w:cs="Times New Roman"/>
          <w:sz w:val="24"/>
          <w:szCs w:val="24"/>
        </w:rPr>
        <w:t xml:space="preserve"> </w:t>
      </w:r>
      <w:r w:rsidR="00F92034">
        <w:rPr>
          <w:rFonts w:ascii="Times New Roman" w:eastAsia="Calibri" w:hAnsi="Times New Roman" w:cs="Times New Roman"/>
          <w:sz w:val="24"/>
          <w:szCs w:val="24"/>
        </w:rPr>
        <w:t xml:space="preserve">the Court mad the claim that </w:t>
      </w:r>
      <w:r w:rsidR="00CA0CCF">
        <w:rPr>
          <w:rFonts w:ascii="Times New Roman" w:eastAsia="Calibri" w:hAnsi="Times New Roman" w:cs="Times New Roman"/>
          <w:sz w:val="24"/>
          <w:szCs w:val="24"/>
        </w:rPr>
        <w:t>spending limits</w:t>
      </w:r>
      <w:r w:rsidR="00CA0D96">
        <w:rPr>
          <w:rFonts w:ascii="Times New Roman" w:eastAsia="Calibri" w:hAnsi="Times New Roman" w:cs="Times New Roman"/>
          <w:sz w:val="24"/>
          <w:szCs w:val="24"/>
        </w:rPr>
        <w:t xml:space="preserve"> </w:t>
      </w:r>
      <w:r w:rsidR="00F92034">
        <w:rPr>
          <w:rFonts w:ascii="Times New Roman" w:eastAsia="Calibri" w:hAnsi="Times New Roman" w:cs="Times New Roman"/>
          <w:sz w:val="24"/>
          <w:szCs w:val="24"/>
        </w:rPr>
        <w:t>stifle</w:t>
      </w:r>
      <w:r w:rsidR="00011B8A">
        <w:rPr>
          <w:rFonts w:ascii="Times New Roman" w:eastAsia="Calibri" w:hAnsi="Times New Roman" w:cs="Times New Roman"/>
          <w:sz w:val="24"/>
          <w:szCs w:val="24"/>
        </w:rPr>
        <w:t xml:space="preserve"> free speech.</w:t>
      </w:r>
      <w:r w:rsidR="009A74FD">
        <w:rPr>
          <w:rFonts w:ascii="Times New Roman" w:eastAsia="Calibri" w:hAnsi="Times New Roman" w:cs="Times New Roman"/>
          <w:sz w:val="24"/>
          <w:szCs w:val="24"/>
        </w:rPr>
        <w:t xml:space="preserve"> The Court </w:t>
      </w:r>
      <w:r w:rsidR="00360E4F">
        <w:rPr>
          <w:rFonts w:ascii="Times New Roman" w:eastAsia="Calibri" w:hAnsi="Times New Roman" w:cs="Times New Roman"/>
          <w:sz w:val="24"/>
          <w:szCs w:val="24"/>
        </w:rPr>
        <w:t>applied</w:t>
      </w:r>
      <w:r w:rsidR="00E11F87">
        <w:rPr>
          <w:rFonts w:ascii="Times New Roman" w:eastAsia="Calibri" w:hAnsi="Times New Roman" w:cs="Times New Roman"/>
          <w:sz w:val="24"/>
          <w:szCs w:val="24"/>
        </w:rPr>
        <w:t xml:space="preserve"> this logic and </w:t>
      </w:r>
      <w:r w:rsidR="00F10820">
        <w:rPr>
          <w:rFonts w:ascii="Times New Roman" w:eastAsia="Calibri" w:hAnsi="Times New Roman" w:cs="Times New Roman"/>
          <w:sz w:val="24"/>
          <w:szCs w:val="24"/>
        </w:rPr>
        <w:t>made the argument</w:t>
      </w:r>
      <w:r w:rsidR="005D1DFA">
        <w:rPr>
          <w:rFonts w:ascii="Times New Roman" w:eastAsia="Calibri" w:hAnsi="Times New Roman" w:cs="Times New Roman"/>
          <w:sz w:val="24"/>
          <w:szCs w:val="24"/>
        </w:rPr>
        <w:t xml:space="preserve"> that spending money on behalf of a candidate or political party is a form of protected speech.</w:t>
      </w:r>
      <w:r w:rsidR="00FB4393">
        <w:rPr>
          <w:rFonts w:ascii="Times New Roman" w:eastAsia="Calibri" w:hAnsi="Times New Roman" w:cs="Times New Roman"/>
          <w:sz w:val="24"/>
          <w:szCs w:val="24"/>
        </w:rPr>
        <w:t xml:space="preserve"> </w:t>
      </w:r>
      <w:r w:rsidR="002F2083">
        <w:rPr>
          <w:rFonts w:ascii="Times New Roman" w:eastAsia="Calibri" w:hAnsi="Times New Roman" w:cs="Times New Roman"/>
          <w:sz w:val="24"/>
          <w:szCs w:val="24"/>
        </w:rPr>
        <w:t xml:space="preserve">Therefore, the Court </w:t>
      </w:r>
      <w:r w:rsidR="009E5086">
        <w:rPr>
          <w:rFonts w:ascii="Times New Roman" w:eastAsia="Calibri" w:hAnsi="Times New Roman" w:cs="Times New Roman"/>
          <w:sz w:val="24"/>
          <w:szCs w:val="24"/>
        </w:rPr>
        <w:t xml:space="preserve">proceeded to </w:t>
      </w:r>
      <w:r w:rsidR="002F2083">
        <w:rPr>
          <w:rFonts w:ascii="Times New Roman" w:eastAsia="Calibri" w:hAnsi="Times New Roman" w:cs="Times New Roman"/>
          <w:sz w:val="24"/>
          <w:szCs w:val="24"/>
        </w:rPr>
        <w:t>str</w:t>
      </w:r>
      <w:r w:rsidR="009E5086">
        <w:rPr>
          <w:rFonts w:ascii="Times New Roman" w:eastAsia="Calibri" w:hAnsi="Times New Roman" w:cs="Times New Roman"/>
          <w:sz w:val="24"/>
          <w:szCs w:val="24"/>
        </w:rPr>
        <w:t>ike</w:t>
      </w:r>
      <w:r w:rsidR="002F2083">
        <w:rPr>
          <w:rFonts w:ascii="Times New Roman" w:eastAsia="Calibri" w:hAnsi="Times New Roman" w:cs="Times New Roman"/>
          <w:sz w:val="24"/>
          <w:szCs w:val="24"/>
        </w:rPr>
        <w:t xml:space="preserve"> down the expenditure </w:t>
      </w:r>
      <w:r w:rsidR="00265B0F">
        <w:rPr>
          <w:rFonts w:ascii="Times New Roman" w:eastAsia="Calibri" w:hAnsi="Times New Roman" w:cs="Times New Roman"/>
          <w:sz w:val="24"/>
          <w:szCs w:val="24"/>
        </w:rPr>
        <w:t>limits in the Federal Election Campaign Act</w:t>
      </w:r>
      <w:r w:rsidR="000900ED">
        <w:rPr>
          <w:rFonts w:ascii="Times New Roman" w:eastAsia="Calibri" w:hAnsi="Times New Roman" w:cs="Times New Roman"/>
          <w:sz w:val="24"/>
          <w:szCs w:val="24"/>
        </w:rPr>
        <w:t xml:space="preserve">. </w:t>
      </w:r>
      <w:r w:rsidR="00E11F87">
        <w:rPr>
          <w:rFonts w:ascii="Times New Roman" w:eastAsia="Calibri" w:hAnsi="Times New Roman" w:cs="Times New Roman"/>
          <w:sz w:val="24"/>
          <w:szCs w:val="24"/>
        </w:rPr>
        <w:t xml:space="preserve">Furthemore, the Court interrogated whether </w:t>
      </w:r>
      <w:r w:rsidR="003725FD">
        <w:rPr>
          <w:rFonts w:ascii="Times New Roman" w:eastAsia="Calibri" w:hAnsi="Times New Roman" w:cs="Times New Roman"/>
          <w:sz w:val="24"/>
          <w:szCs w:val="24"/>
        </w:rPr>
        <w:t>compelled disclosure would limit free speech. In other words, the Court considered</w:t>
      </w:r>
      <w:r w:rsidRPr="00176351">
        <w:rPr>
          <w:rFonts w:ascii="Times New Roman" w:eastAsia="Calibri" w:hAnsi="Times New Roman" w:cs="Times New Roman"/>
          <w:sz w:val="24"/>
          <w:szCs w:val="24"/>
        </w:rPr>
        <w:t xml:space="preserve"> the chilling effect of compelled disclosure. </w:t>
      </w:r>
      <w:r w:rsidR="00EB4723">
        <w:rPr>
          <w:rFonts w:ascii="Times New Roman" w:eastAsia="Calibri" w:hAnsi="Times New Roman" w:cs="Times New Roman"/>
          <w:sz w:val="24"/>
          <w:szCs w:val="24"/>
        </w:rPr>
        <w:t xml:space="preserve">This effect is produced when </w:t>
      </w:r>
      <w:r w:rsidR="00265492">
        <w:rPr>
          <w:rFonts w:ascii="Times New Roman" w:eastAsia="Calibri" w:hAnsi="Times New Roman" w:cs="Times New Roman"/>
          <w:sz w:val="24"/>
          <w:szCs w:val="24"/>
        </w:rPr>
        <w:t>compelled disclosure</w:t>
      </w:r>
      <w:r w:rsidR="00E141B5">
        <w:rPr>
          <w:rFonts w:ascii="Times New Roman" w:eastAsia="Calibri" w:hAnsi="Times New Roman" w:cs="Times New Roman"/>
          <w:sz w:val="24"/>
          <w:szCs w:val="24"/>
        </w:rPr>
        <w:t xml:space="preserve"> stifles free speech by </w:t>
      </w:r>
      <w:r w:rsidR="00FE32F9">
        <w:rPr>
          <w:rFonts w:ascii="Times New Roman" w:eastAsia="Calibri" w:hAnsi="Times New Roman" w:cs="Times New Roman"/>
          <w:sz w:val="24"/>
          <w:szCs w:val="24"/>
        </w:rPr>
        <w:t>discouraging political contributions. For instance</w:t>
      </w:r>
      <w:r w:rsidRPr="00176351">
        <w:rPr>
          <w:rFonts w:ascii="Times New Roman" w:eastAsia="Calibri" w:hAnsi="Times New Roman" w:cs="Times New Roman"/>
          <w:sz w:val="24"/>
          <w:szCs w:val="24"/>
        </w:rPr>
        <w:t xml:space="preserve">, </w:t>
      </w:r>
      <w:r w:rsidR="00DC5712">
        <w:rPr>
          <w:rFonts w:ascii="Times New Roman" w:eastAsia="Calibri" w:hAnsi="Times New Roman" w:cs="Times New Roman"/>
          <w:sz w:val="24"/>
          <w:szCs w:val="24"/>
        </w:rPr>
        <w:t>disclosed information</w:t>
      </w:r>
      <w:r w:rsidRPr="00176351">
        <w:rPr>
          <w:rFonts w:ascii="Times New Roman" w:eastAsia="Calibri" w:hAnsi="Times New Roman" w:cs="Times New Roman"/>
          <w:sz w:val="24"/>
          <w:szCs w:val="24"/>
        </w:rPr>
        <w:t xml:space="preserve"> may lead to threats, embarrassment, professional harm, and other forms of retaliation</w:t>
      </w:r>
      <w:r w:rsidR="00F87F8C">
        <w:rPr>
          <w:rFonts w:ascii="Times New Roman" w:eastAsia="Calibri" w:hAnsi="Times New Roman" w:cs="Times New Roman"/>
          <w:sz w:val="24"/>
          <w:szCs w:val="24"/>
        </w:rPr>
        <w:t xml:space="preserve"> against contributors</w:t>
      </w:r>
      <w:r w:rsidR="00AD3457">
        <w:rPr>
          <w:rFonts w:ascii="Times New Roman" w:eastAsia="Calibri" w:hAnsi="Times New Roman" w:cs="Times New Roman"/>
          <w:sz w:val="24"/>
          <w:szCs w:val="24"/>
        </w:rPr>
        <w:t>,</w:t>
      </w:r>
      <w:r w:rsidRPr="00176351">
        <w:rPr>
          <w:rFonts w:ascii="Times New Roman" w:eastAsia="Calibri" w:hAnsi="Times New Roman" w:cs="Times New Roman"/>
          <w:sz w:val="24"/>
          <w:szCs w:val="24"/>
        </w:rPr>
        <w:t xml:space="preserve"> </w:t>
      </w:r>
      <w:r w:rsidR="00624C2A">
        <w:rPr>
          <w:rFonts w:ascii="Times New Roman" w:eastAsia="Calibri" w:hAnsi="Times New Roman" w:cs="Times New Roman"/>
          <w:sz w:val="24"/>
          <w:szCs w:val="24"/>
        </w:rPr>
        <w:t>by</w:t>
      </w:r>
      <w:r w:rsidRPr="00176351">
        <w:rPr>
          <w:rFonts w:ascii="Times New Roman" w:eastAsia="Calibri" w:hAnsi="Times New Roman" w:cs="Times New Roman"/>
          <w:sz w:val="24"/>
          <w:szCs w:val="24"/>
        </w:rPr>
        <w:t xml:space="preserve"> private individuals and actors or government. It follows that some people and entities would be disinclined to make contributions if they thought these risks were imminent. Therefore, the Court sought to balance these risks and the </w:t>
      </w:r>
      <w:r w:rsidR="005A4C3D">
        <w:rPr>
          <w:rFonts w:ascii="Times New Roman" w:eastAsia="Calibri" w:hAnsi="Times New Roman" w:cs="Times New Roman"/>
          <w:sz w:val="24"/>
          <w:szCs w:val="24"/>
        </w:rPr>
        <w:t>benefits of</w:t>
      </w:r>
      <w:r w:rsidRPr="00176351">
        <w:rPr>
          <w:rFonts w:ascii="Times New Roman" w:eastAsia="Calibri" w:hAnsi="Times New Roman" w:cs="Times New Roman"/>
          <w:sz w:val="24"/>
          <w:szCs w:val="24"/>
        </w:rPr>
        <w:t xml:space="preserve"> disclosure. Further, the Court state</w:t>
      </w:r>
      <w:r w:rsidR="00C838C1">
        <w:rPr>
          <w:rFonts w:ascii="Times New Roman" w:eastAsia="Calibri" w:hAnsi="Times New Roman" w:cs="Times New Roman"/>
          <w:sz w:val="24"/>
          <w:szCs w:val="24"/>
        </w:rPr>
        <w:t>d</w:t>
      </w:r>
      <w:r w:rsidRPr="00176351">
        <w:rPr>
          <w:rFonts w:ascii="Times New Roman" w:eastAsia="Calibri" w:hAnsi="Times New Roman" w:cs="Times New Roman"/>
          <w:sz w:val="24"/>
          <w:szCs w:val="24"/>
        </w:rPr>
        <w:t xml:space="preserve"> the government must demonstrate a 'substantial relation' between the information required to be disclosed and </w:t>
      </w:r>
      <w:r w:rsidR="0016099E">
        <w:rPr>
          <w:rFonts w:ascii="Times New Roman" w:eastAsia="Calibri" w:hAnsi="Times New Roman" w:cs="Times New Roman"/>
          <w:sz w:val="24"/>
          <w:szCs w:val="24"/>
        </w:rPr>
        <w:t xml:space="preserve">beneficial </w:t>
      </w:r>
      <w:r w:rsidRPr="00176351">
        <w:rPr>
          <w:rFonts w:ascii="Times New Roman" w:eastAsia="Calibri" w:hAnsi="Times New Roman" w:cs="Times New Roman"/>
          <w:sz w:val="24"/>
          <w:szCs w:val="24"/>
        </w:rPr>
        <w:t>interest</w:t>
      </w:r>
      <w:r w:rsidR="00C838C1">
        <w:rPr>
          <w:rFonts w:ascii="Times New Roman" w:eastAsia="Calibri" w:hAnsi="Times New Roman" w:cs="Times New Roman"/>
          <w:sz w:val="24"/>
          <w:szCs w:val="24"/>
        </w:rPr>
        <w:t>s</w:t>
      </w:r>
      <w:r w:rsidRPr="00176351">
        <w:rPr>
          <w:rFonts w:ascii="Times New Roman" w:eastAsia="Calibri" w:hAnsi="Times New Roman" w:cs="Times New Roman"/>
          <w:sz w:val="24"/>
          <w:szCs w:val="24"/>
        </w:rPr>
        <w:t xml:space="preserve"> which</w:t>
      </w:r>
      <w:r w:rsidR="00C838C1">
        <w:rPr>
          <w:rFonts w:ascii="Times New Roman" w:eastAsia="Calibri" w:hAnsi="Times New Roman" w:cs="Times New Roman"/>
          <w:sz w:val="24"/>
          <w:szCs w:val="24"/>
        </w:rPr>
        <w:t xml:space="preserve"> </w:t>
      </w:r>
      <w:r w:rsidR="0016099E">
        <w:rPr>
          <w:rFonts w:ascii="Times New Roman" w:eastAsia="Calibri" w:hAnsi="Times New Roman" w:cs="Times New Roman"/>
          <w:sz w:val="24"/>
          <w:szCs w:val="24"/>
        </w:rPr>
        <w:t>would be achieved</w:t>
      </w:r>
      <w:r w:rsidR="00F92C87">
        <w:rPr>
          <w:rFonts w:ascii="Times New Roman" w:eastAsia="Calibri" w:hAnsi="Times New Roman" w:cs="Times New Roman"/>
          <w:sz w:val="24"/>
          <w:szCs w:val="24"/>
        </w:rPr>
        <w:t xml:space="preserve"> through disclosure</w:t>
      </w:r>
      <w:r w:rsidR="00FF7BF0">
        <w:rPr>
          <w:rFonts w:ascii="Times New Roman" w:eastAsia="Calibri" w:hAnsi="Times New Roman" w:cs="Times New Roman"/>
          <w:sz w:val="24"/>
          <w:szCs w:val="24"/>
        </w:rPr>
        <w:t xml:space="preserve"> to justify disclosure requirements</w:t>
      </w:r>
      <w:r w:rsidR="004521BF">
        <w:rPr>
          <w:rFonts w:ascii="Times New Roman" w:eastAsia="Calibri" w:hAnsi="Times New Roman" w:cs="Times New Roman"/>
          <w:sz w:val="24"/>
          <w:szCs w:val="24"/>
        </w:rPr>
        <w:t>. Additionally, the Court stated</w:t>
      </w:r>
      <w:r w:rsidRPr="00176351">
        <w:rPr>
          <w:rFonts w:ascii="Times New Roman" w:eastAsia="Calibri" w:hAnsi="Times New Roman" w:cs="Times New Roman"/>
          <w:sz w:val="24"/>
          <w:szCs w:val="24"/>
        </w:rPr>
        <w:t xml:space="preserve"> three interests</w:t>
      </w:r>
      <w:r w:rsidR="007C7ADF">
        <w:rPr>
          <w:rFonts w:ascii="Times New Roman" w:eastAsia="Calibri" w:hAnsi="Times New Roman" w:cs="Times New Roman"/>
          <w:sz w:val="24"/>
          <w:szCs w:val="24"/>
        </w:rPr>
        <w:t xml:space="preserve"> that could justify disclosure</w:t>
      </w:r>
      <w:r w:rsidRPr="00176351">
        <w:rPr>
          <w:rFonts w:ascii="Times New Roman" w:eastAsia="Calibri" w:hAnsi="Times New Roman" w:cs="Times New Roman"/>
          <w:sz w:val="24"/>
          <w:szCs w:val="24"/>
        </w:rPr>
        <w:t xml:space="preserve">. Firstly, </w:t>
      </w:r>
      <w:r w:rsidR="00226586">
        <w:rPr>
          <w:rFonts w:ascii="Times New Roman" w:eastAsia="Calibri" w:hAnsi="Times New Roman" w:cs="Times New Roman"/>
          <w:sz w:val="24"/>
          <w:szCs w:val="24"/>
        </w:rPr>
        <w:t xml:space="preserve">disclosure would enable the </w:t>
      </w:r>
      <w:r w:rsidRPr="00176351">
        <w:rPr>
          <w:rFonts w:ascii="Times New Roman" w:eastAsia="Calibri" w:hAnsi="Times New Roman" w:cs="Times New Roman"/>
          <w:sz w:val="24"/>
          <w:szCs w:val="24"/>
        </w:rPr>
        <w:t>enforc</w:t>
      </w:r>
      <w:r w:rsidR="00226586">
        <w:rPr>
          <w:rFonts w:ascii="Times New Roman" w:eastAsia="Calibri" w:hAnsi="Times New Roman" w:cs="Times New Roman"/>
          <w:sz w:val="24"/>
          <w:szCs w:val="24"/>
        </w:rPr>
        <w:t>ement of</w:t>
      </w:r>
      <w:r w:rsidRPr="00176351">
        <w:rPr>
          <w:rFonts w:ascii="Times New Roman" w:eastAsia="Calibri" w:hAnsi="Times New Roman" w:cs="Times New Roman"/>
          <w:sz w:val="24"/>
          <w:szCs w:val="24"/>
        </w:rPr>
        <w:t xml:space="preserve"> contribution limits. Secondly, </w:t>
      </w:r>
      <w:r w:rsidR="00226586">
        <w:rPr>
          <w:rFonts w:ascii="Times New Roman" w:eastAsia="Calibri" w:hAnsi="Times New Roman" w:cs="Times New Roman"/>
          <w:sz w:val="24"/>
          <w:szCs w:val="24"/>
        </w:rPr>
        <w:t xml:space="preserve">disclosure </w:t>
      </w:r>
      <w:r w:rsidR="00EF6F85">
        <w:rPr>
          <w:rFonts w:ascii="Times New Roman" w:eastAsia="Calibri" w:hAnsi="Times New Roman" w:cs="Times New Roman"/>
          <w:sz w:val="24"/>
          <w:szCs w:val="24"/>
        </w:rPr>
        <w:t xml:space="preserve">is essenntial in </w:t>
      </w:r>
      <w:r w:rsidRPr="00176351">
        <w:rPr>
          <w:rFonts w:ascii="Times New Roman" w:eastAsia="Calibri" w:hAnsi="Times New Roman" w:cs="Times New Roman"/>
          <w:sz w:val="24"/>
          <w:szCs w:val="24"/>
        </w:rPr>
        <w:t>deterring corruption. Lastly,</w:t>
      </w:r>
      <w:r w:rsidR="00C93B0F">
        <w:rPr>
          <w:rFonts w:ascii="Times New Roman" w:eastAsia="Calibri" w:hAnsi="Times New Roman" w:cs="Times New Roman"/>
          <w:sz w:val="24"/>
          <w:szCs w:val="24"/>
        </w:rPr>
        <w:t xml:space="preserve"> </w:t>
      </w:r>
      <w:r w:rsidR="00E2415F">
        <w:rPr>
          <w:rFonts w:ascii="Times New Roman" w:eastAsia="Calibri" w:hAnsi="Times New Roman" w:cs="Times New Roman"/>
          <w:sz w:val="24"/>
          <w:szCs w:val="24"/>
        </w:rPr>
        <w:t>disclosure is fundamental in</w:t>
      </w:r>
      <w:r w:rsidRPr="00176351">
        <w:rPr>
          <w:rFonts w:ascii="Times New Roman" w:eastAsia="Calibri" w:hAnsi="Times New Roman" w:cs="Times New Roman"/>
          <w:sz w:val="24"/>
          <w:szCs w:val="24"/>
        </w:rPr>
        <w:t xml:space="preserve"> informing voters.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Although anti-corruption was one of the justifications </w:t>
      </w:r>
      <w:r w:rsidR="00E2415F">
        <w:rPr>
          <w:rFonts w:ascii="Times New Roman" w:eastAsia="Calibri" w:hAnsi="Times New Roman" w:cs="Times New Roman"/>
          <w:sz w:val="24"/>
          <w:szCs w:val="24"/>
        </w:rPr>
        <w:t>for</w:t>
      </w:r>
      <w:r w:rsidRPr="00176351">
        <w:rPr>
          <w:rFonts w:ascii="Times New Roman" w:eastAsia="Calibri" w:hAnsi="Times New Roman" w:cs="Times New Roman"/>
          <w:sz w:val="24"/>
          <w:szCs w:val="24"/>
        </w:rPr>
        <w:t xml:space="preserve"> disclosure, the Court in </w:t>
      </w:r>
      <w:r w:rsidRPr="00176351">
        <w:rPr>
          <w:rFonts w:ascii="Times New Roman" w:eastAsia="Calibri" w:hAnsi="Times New Roman" w:cs="Times New Roman"/>
          <w:i/>
          <w:iCs/>
          <w:sz w:val="24"/>
          <w:szCs w:val="24"/>
        </w:rPr>
        <w:t>Buckley v Valeo</w:t>
      </w:r>
      <w:r w:rsidRPr="00176351">
        <w:rPr>
          <w:rFonts w:ascii="Times New Roman" w:eastAsia="Calibri" w:hAnsi="Times New Roman" w:cs="Times New Roman"/>
          <w:sz w:val="24"/>
          <w:szCs w:val="24"/>
        </w:rPr>
        <w:t xml:space="preserve"> concluded that corruption was not a risk concerning expenditures and therefore, </w:t>
      </w:r>
      <w:r w:rsidR="00525321">
        <w:rPr>
          <w:rFonts w:ascii="Times New Roman" w:eastAsia="Calibri" w:hAnsi="Times New Roman" w:cs="Times New Roman"/>
          <w:sz w:val="24"/>
          <w:szCs w:val="24"/>
        </w:rPr>
        <w:t xml:space="preserve">the </w:t>
      </w:r>
      <w:r w:rsidRPr="00176351">
        <w:rPr>
          <w:rFonts w:ascii="Times New Roman" w:eastAsia="Calibri" w:hAnsi="Times New Roman" w:cs="Times New Roman"/>
          <w:sz w:val="24"/>
          <w:szCs w:val="24"/>
        </w:rPr>
        <w:t xml:space="preserve">anti-corruption </w:t>
      </w:r>
      <w:r w:rsidR="00525321">
        <w:rPr>
          <w:rFonts w:ascii="Times New Roman" w:eastAsia="Calibri" w:hAnsi="Times New Roman" w:cs="Times New Roman"/>
          <w:sz w:val="24"/>
          <w:szCs w:val="24"/>
        </w:rPr>
        <w:t xml:space="preserve">interest </w:t>
      </w:r>
      <w:r w:rsidRPr="00176351">
        <w:rPr>
          <w:rFonts w:ascii="Times New Roman" w:eastAsia="Calibri" w:hAnsi="Times New Roman" w:cs="Times New Roman"/>
          <w:sz w:val="24"/>
          <w:szCs w:val="24"/>
        </w:rPr>
        <w:t>could not justify disclosures</w:t>
      </w:r>
      <w:r w:rsidR="00B8317A">
        <w:rPr>
          <w:rFonts w:ascii="Times New Roman" w:eastAsia="Calibri" w:hAnsi="Times New Roman" w:cs="Times New Roman"/>
          <w:sz w:val="24"/>
          <w:szCs w:val="24"/>
        </w:rPr>
        <w:t xml:space="preserve"> of expenditures</w:t>
      </w:r>
      <w:r w:rsidRPr="00176351">
        <w:rPr>
          <w:rFonts w:ascii="Times New Roman" w:eastAsia="Calibri" w:hAnsi="Times New Roman" w:cs="Times New Roman"/>
          <w:sz w:val="24"/>
          <w:szCs w:val="24"/>
        </w:rPr>
        <w:t xml:space="preserve">. However, disclosure requirements were upheld </w:t>
      </w:r>
      <w:r w:rsidR="0071551F">
        <w:rPr>
          <w:rFonts w:ascii="Times New Roman" w:eastAsia="Calibri" w:hAnsi="Times New Roman" w:cs="Times New Roman"/>
          <w:sz w:val="24"/>
          <w:szCs w:val="24"/>
        </w:rPr>
        <w:t>on the basis of</w:t>
      </w:r>
      <w:r w:rsidRPr="00176351">
        <w:rPr>
          <w:rFonts w:ascii="Times New Roman" w:eastAsia="Calibri" w:hAnsi="Times New Roman" w:cs="Times New Roman"/>
          <w:sz w:val="24"/>
          <w:szCs w:val="24"/>
        </w:rPr>
        <w:t xml:space="preserve"> </w:t>
      </w:r>
      <w:r w:rsidR="00525321">
        <w:rPr>
          <w:rFonts w:ascii="Times New Roman" w:eastAsia="Calibri" w:hAnsi="Times New Roman" w:cs="Times New Roman"/>
          <w:sz w:val="24"/>
          <w:szCs w:val="24"/>
        </w:rPr>
        <w:t xml:space="preserve">the </w:t>
      </w:r>
      <w:r w:rsidRPr="00176351">
        <w:rPr>
          <w:rFonts w:ascii="Times New Roman" w:eastAsia="Calibri" w:hAnsi="Times New Roman" w:cs="Times New Roman"/>
          <w:sz w:val="24"/>
          <w:szCs w:val="24"/>
        </w:rPr>
        <w:t>informational interest.</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w:t>
      </w:r>
    </w:p>
    <w:p w14:paraId="55559AF3"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5" w:name="_Toc65490105"/>
      <w:r w:rsidRPr="00176351">
        <w:rPr>
          <w:rFonts w:ascii="Times New Roman" w:eastAsia="Times New Roman" w:hAnsi="Times New Roman" w:cs="Times New Roman"/>
          <w:b/>
          <w:bCs/>
          <w:color w:val="2F5496" w:themeColor="accent1" w:themeShade="BF"/>
          <w:sz w:val="26"/>
          <w:szCs w:val="26"/>
        </w:rPr>
        <w:t>4.2.2 BIPARTISAN CAMPAIGN REFORM ACT</w:t>
      </w:r>
      <w:bookmarkEnd w:id="55"/>
    </w:p>
    <w:p w14:paraId="50264B65" w14:textId="0CB1CD6B"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Bipartisan Campaign Reform Act (BCRA) of 2002 broadened the law of disclosure by capturing a lot of express advocacy and other political speech within a certain timeframe. Furthermore, this was done through defining 'electioneering communication' as 'any broadcast, cable, or satellite communication which…  refers to an identified candidate for federal office' within a certain number of days of an election.</w:t>
      </w:r>
    </w:p>
    <w:p w14:paraId="682749D7" w14:textId="68D27894"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Under the BCRA, any expenditure over 10,000 dollars in a single year should be disclosed by the individual or entity that makes that expenditure. Also, this expenditure should pertain to electioneering communications. Also, this Act necessitates that certain electioneering communications which are televised to state in a 'clearly spoken manner' and to display in a 'readable manner' who is responsible for the communications. </w:t>
      </w:r>
    </w:p>
    <w:p w14:paraId="4648A960"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6" w:name="_Toc65490106"/>
      <w:r w:rsidRPr="00176351">
        <w:rPr>
          <w:rFonts w:ascii="Times New Roman" w:eastAsia="Times New Roman" w:hAnsi="Times New Roman" w:cs="Times New Roman"/>
          <w:b/>
          <w:bCs/>
          <w:color w:val="2F5496" w:themeColor="accent1" w:themeShade="BF"/>
          <w:sz w:val="26"/>
          <w:szCs w:val="26"/>
        </w:rPr>
        <w:t>4.3 JUSTIFICATION FOR DISCLOSURE REQUIREMENTS IN THE UNITED STATES: THE ANTI-CORRUPTION INTEREST</w:t>
      </w:r>
      <w:bookmarkEnd w:id="56"/>
    </w:p>
    <w:p w14:paraId="6C96B3C5" w14:textId="57514B71"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A noteworthy use and benefit of the disclosure is it serves as a bulwark against corruption. The United States Supreme Court has held that a legitimate justification for campaign finance disclosure requirements is the prevention of corruption and the prevention of the appearance of corruption. Initially, both the prevention of 'quid pro quo' corruption and the 'appearance of corruption' were considered to be legitimate reasons.</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This was the case in</w:t>
      </w:r>
      <w:r w:rsidRPr="00176351">
        <w:rPr>
          <w:rFonts w:ascii="Times New Roman" w:eastAsia="Calibri" w:hAnsi="Times New Roman" w:cs="Times New Roman"/>
          <w:i/>
          <w:iCs/>
          <w:sz w:val="24"/>
          <w:szCs w:val="24"/>
        </w:rPr>
        <w:t xml:space="preserve"> Buckley v Valeo</w:t>
      </w:r>
      <w:r w:rsidRPr="00176351">
        <w:rPr>
          <w:rFonts w:ascii="Times New Roman" w:eastAsia="Calibri" w:hAnsi="Times New Roman" w:cs="Times New Roman"/>
          <w:sz w:val="24"/>
          <w:szCs w:val="24"/>
        </w:rPr>
        <w:t xml:space="preserve">. </w:t>
      </w:r>
      <w:r w:rsidR="00DB1EDE">
        <w:rPr>
          <w:rFonts w:ascii="Times New Roman" w:eastAsia="Calibri" w:hAnsi="Times New Roman" w:cs="Times New Roman"/>
          <w:sz w:val="24"/>
          <w:szCs w:val="24"/>
        </w:rPr>
        <w:t xml:space="preserve">The Court stated, </w:t>
      </w:r>
      <w:r w:rsidR="000841BE">
        <w:rPr>
          <w:rFonts w:ascii="Times New Roman" w:eastAsia="Calibri" w:hAnsi="Times New Roman" w:cs="Times New Roman"/>
          <w:sz w:val="24"/>
          <w:szCs w:val="24"/>
        </w:rPr>
        <w:t>‘</w:t>
      </w:r>
      <w:r w:rsidR="00D37086">
        <w:rPr>
          <w:rFonts w:ascii="Times New Roman" w:eastAsia="Calibri" w:hAnsi="Times New Roman" w:cs="Times New Roman"/>
          <w:sz w:val="24"/>
          <w:szCs w:val="24"/>
        </w:rPr>
        <w:t xml:space="preserve">of almost equal concern as the danger of actual quid pro quo </w:t>
      </w:r>
      <w:r w:rsidR="00127A2F">
        <w:rPr>
          <w:rFonts w:ascii="Times New Roman" w:eastAsia="Calibri" w:hAnsi="Times New Roman" w:cs="Times New Roman"/>
          <w:sz w:val="24"/>
          <w:szCs w:val="24"/>
        </w:rPr>
        <w:t xml:space="preserve">arrangements is the impact of the appearance of corruption </w:t>
      </w:r>
      <w:r w:rsidR="00FC5D3B">
        <w:rPr>
          <w:rFonts w:ascii="Times New Roman" w:eastAsia="Calibri" w:hAnsi="Times New Roman" w:cs="Times New Roman"/>
          <w:sz w:val="24"/>
          <w:szCs w:val="24"/>
        </w:rPr>
        <w:t>stemming from public awareness of the opportunities for abuse inherent in a regime of large individual financial con</w:t>
      </w:r>
      <w:r w:rsidR="003B44A0">
        <w:rPr>
          <w:rFonts w:ascii="Times New Roman" w:eastAsia="Calibri" w:hAnsi="Times New Roman" w:cs="Times New Roman"/>
          <w:sz w:val="24"/>
          <w:szCs w:val="24"/>
        </w:rPr>
        <w:t>t</w:t>
      </w:r>
      <w:r w:rsidR="00FC5D3B">
        <w:rPr>
          <w:rFonts w:ascii="Times New Roman" w:eastAsia="Calibri" w:hAnsi="Times New Roman" w:cs="Times New Roman"/>
          <w:sz w:val="24"/>
          <w:szCs w:val="24"/>
        </w:rPr>
        <w:t>ributions</w:t>
      </w:r>
      <w:r w:rsidR="003B44A0">
        <w:rPr>
          <w:rFonts w:ascii="Times New Roman" w:eastAsia="Calibri" w:hAnsi="Times New Roman" w:cs="Times New Roman"/>
          <w:sz w:val="24"/>
          <w:szCs w:val="24"/>
        </w:rPr>
        <w:t>.’</w:t>
      </w:r>
      <w:r w:rsidRPr="00176351">
        <w:rPr>
          <w:rFonts w:ascii="Times New Roman" w:eastAsia="Calibri" w:hAnsi="Times New Roman" w:cs="Times New Roman"/>
          <w:sz w:val="24"/>
          <w:szCs w:val="24"/>
        </w:rPr>
        <w:t xml:space="preserve"> In addition, the expansive view that corruption was the distortion of political outcomes as a result of the undue influence of wealth was endorsed. Despite these views, with time, the courts began to narrow down on what justifications were valid for campaign finance disclosure requirements. F</w:t>
      </w:r>
      <w:r w:rsidR="007E3DE7">
        <w:rPr>
          <w:rFonts w:ascii="Times New Roman" w:eastAsia="Calibri" w:hAnsi="Times New Roman" w:cs="Times New Roman"/>
          <w:sz w:val="24"/>
          <w:szCs w:val="24"/>
        </w:rPr>
        <w:t>or instance</w:t>
      </w:r>
      <w:r w:rsidRPr="00176351">
        <w:rPr>
          <w:rFonts w:ascii="Times New Roman" w:eastAsia="Calibri" w:hAnsi="Times New Roman" w:cs="Times New Roman"/>
          <w:sz w:val="24"/>
          <w:szCs w:val="24"/>
        </w:rPr>
        <w:t xml:space="preserve">, in </w:t>
      </w:r>
      <w:r w:rsidRPr="00176351">
        <w:rPr>
          <w:rFonts w:ascii="Times New Roman" w:eastAsia="Calibri" w:hAnsi="Times New Roman" w:cs="Times New Roman"/>
          <w:i/>
          <w:iCs/>
          <w:sz w:val="24"/>
          <w:szCs w:val="24"/>
        </w:rPr>
        <w:t>Citizens United v FEC</w:t>
      </w:r>
      <w:r w:rsidR="00641F8A">
        <w:rPr>
          <w:rFonts w:ascii="Times New Roman" w:eastAsia="Calibri" w:hAnsi="Times New Roman" w:cs="Times New Roman"/>
          <w:sz w:val="24"/>
          <w:szCs w:val="24"/>
        </w:rPr>
        <w:t>, the Court</w:t>
      </w:r>
      <w:r w:rsidR="00FD4368">
        <w:rPr>
          <w:rFonts w:ascii="Times New Roman" w:eastAsia="Calibri" w:hAnsi="Times New Roman" w:cs="Times New Roman"/>
          <w:sz w:val="24"/>
          <w:szCs w:val="24"/>
        </w:rPr>
        <w:t xml:space="preserve"> recognised </w:t>
      </w:r>
      <w:r w:rsidR="00AD35F8">
        <w:rPr>
          <w:rFonts w:ascii="Times New Roman" w:eastAsia="Calibri" w:hAnsi="Times New Roman" w:cs="Times New Roman"/>
          <w:sz w:val="24"/>
          <w:szCs w:val="24"/>
        </w:rPr>
        <w:t xml:space="preserve">only </w:t>
      </w:r>
      <w:r w:rsidR="00FD4368">
        <w:rPr>
          <w:rFonts w:ascii="Times New Roman" w:eastAsia="Calibri" w:hAnsi="Times New Roman" w:cs="Times New Roman"/>
          <w:sz w:val="24"/>
          <w:szCs w:val="24"/>
        </w:rPr>
        <w:t xml:space="preserve">quid pro quo </w:t>
      </w:r>
      <w:r w:rsidR="00AD35F8">
        <w:rPr>
          <w:rFonts w:ascii="Times New Roman" w:eastAsia="Calibri" w:hAnsi="Times New Roman" w:cs="Times New Roman"/>
          <w:sz w:val="24"/>
          <w:szCs w:val="24"/>
        </w:rPr>
        <w:t>corruption as a concern and did not endorse the concept of the ‘appearance of corruption</w:t>
      </w:r>
      <w:r w:rsidR="0043705F">
        <w:rPr>
          <w:rFonts w:ascii="Times New Roman" w:eastAsia="Calibri" w:hAnsi="Times New Roman" w:cs="Times New Roman"/>
          <w:sz w:val="24"/>
          <w:szCs w:val="24"/>
        </w:rPr>
        <w:t>’.</w:t>
      </w:r>
      <w:r w:rsidR="00D07BD8">
        <w:rPr>
          <w:rFonts w:ascii="Times New Roman" w:eastAsia="Calibri" w:hAnsi="Times New Roman" w:cs="Times New Roman"/>
          <w:sz w:val="24"/>
          <w:szCs w:val="24"/>
        </w:rPr>
        <w:t xml:space="preserve"> In this case, the Supreme Court held that laws which prevented corporations and unions </w:t>
      </w:r>
      <w:r w:rsidR="00884CCB">
        <w:rPr>
          <w:rFonts w:ascii="Times New Roman" w:eastAsia="Calibri" w:hAnsi="Times New Roman" w:cs="Times New Roman"/>
          <w:sz w:val="24"/>
          <w:szCs w:val="24"/>
        </w:rPr>
        <w:t>from using their general treasury funds for political adver</w:t>
      </w:r>
      <w:r w:rsidR="00333A98">
        <w:rPr>
          <w:rFonts w:ascii="Times New Roman" w:eastAsia="Calibri" w:hAnsi="Times New Roman" w:cs="Times New Roman"/>
          <w:sz w:val="24"/>
          <w:szCs w:val="24"/>
        </w:rPr>
        <w:t>tis</w:t>
      </w:r>
      <w:r w:rsidR="00884CCB">
        <w:rPr>
          <w:rFonts w:ascii="Times New Roman" w:eastAsia="Calibri" w:hAnsi="Times New Roman" w:cs="Times New Roman"/>
          <w:sz w:val="24"/>
          <w:szCs w:val="24"/>
        </w:rPr>
        <w:t xml:space="preserve">ing violate the right to free speech. Furthermore, </w:t>
      </w:r>
      <w:r w:rsidR="00E82EBD">
        <w:rPr>
          <w:rFonts w:ascii="Times New Roman" w:eastAsia="Calibri" w:hAnsi="Times New Roman" w:cs="Times New Roman"/>
          <w:sz w:val="24"/>
          <w:szCs w:val="24"/>
        </w:rPr>
        <w:t>applied this reasoning and</w:t>
      </w:r>
      <w:r w:rsidR="00884CCB">
        <w:rPr>
          <w:rFonts w:ascii="Times New Roman" w:eastAsia="Calibri" w:hAnsi="Times New Roman" w:cs="Times New Roman"/>
          <w:sz w:val="24"/>
          <w:szCs w:val="24"/>
        </w:rPr>
        <w:t xml:space="preserve"> struck down </w:t>
      </w:r>
      <w:r w:rsidR="00884CCB" w:rsidRPr="00F900F6">
        <w:rPr>
          <w:rFonts w:ascii="Times New Roman" w:eastAsia="Calibri" w:hAnsi="Times New Roman" w:cs="Times New Roman"/>
          <w:i/>
          <w:iCs/>
          <w:sz w:val="24"/>
          <w:szCs w:val="24"/>
        </w:rPr>
        <w:t xml:space="preserve">Section </w:t>
      </w:r>
      <w:r w:rsidR="00B250DE" w:rsidRPr="00F900F6">
        <w:rPr>
          <w:rFonts w:ascii="Times New Roman" w:eastAsia="Calibri" w:hAnsi="Times New Roman" w:cs="Times New Roman"/>
          <w:i/>
          <w:iCs/>
          <w:sz w:val="24"/>
          <w:szCs w:val="24"/>
        </w:rPr>
        <w:t>203</w:t>
      </w:r>
      <w:r w:rsidR="00B250DE">
        <w:rPr>
          <w:rFonts w:ascii="Times New Roman" w:eastAsia="Calibri" w:hAnsi="Times New Roman" w:cs="Times New Roman"/>
          <w:sz w:val="24"/>
          <w:szCs w:val="24"/>
        </w:rPr>
        <w:t xml:space="preserve"> of the Bipartisan Campaign Reform Act </w:t>
      </w:r>
      <w:r w:rsidR="00E252F8">
        <w:rPr>
          <w:rFonts w:ascii="Times New Roman" w:eastAsia="Calibri" w:hAnsi="Times New Roman" w:cs="Times New Roman"/>
          <w:sz w:val="24"/>
          <w:szCs w:val="24"/>
        </w:rPr>
        <w:t xml:space="preserve">which restricted </w:t>
      </w:r>
      <w:r w:rsidR="00C57F65">
        <w:rPr>
          <w:rFonts w:ascii="Times New Roman" w:eastAsia="Calibri" w:hAnsi="Times New Roman" w:cs="Times New Roman"/>
          <w:sz w:val="24"/>
          <w:szCs w:val="24"/>
        </w:rPr>
        <w:t xml:space="preserve">corporation and labour unions from funding political advertising. </w:t>
      </w:r>
      <w:r w:rsidR="00904136">
        <w:rPr>
          <w:rFonts w:ascii="Times New Roman" w:eastAsia="Calibri" w:hAnsi="Times New Roman" w:cs="Times New Roman"/>
          <w:sz w:val="24"/>
          <w:szCs w:val="24"/>
        </w:rPr>
        <w:t>Additionally</w:t>
      </w:r>
      <w:r w:rsidR="00C57F65">
        <w:rPr>
          <w:rFonts w:ascii="Times New Roman" w:eastAsia="Calibri" w:hAnsi="Times New Roman" w:cs="Times New Roman"/>
          <w:sz w:val="24"/>
          <w:szCs w:val="24"/>
        </w:rPr>
        <w:t>, the Court struck down</w:t>
      </w:r>
      <w:r w:rsidR="00B250DE" w:rsidRPr="00F900F6">
        <w:rPr>
          <w:rFonts w:ascii="Times New Roman" w:eastAsia="Calibri" w:hAnsi="Times New Roman" w:cs="Times New Roman"/>
          <w:i/>
          <w:iCs/>
          <w:sz w:val="24"/>
          <w:szCs w:val="24"/>
        </w:rPr>
        <w:t xml:space="preserve"> </w:t>
      </w:r>
      <w:r w:rsidR="00F74A75" w:rsidRPr="00F900F6">
        <w:rPr>
          <w:rFonts w:ascii="Times New Roman" w:eastAsia="Calibri" w:hAnsi="Times New Roman" w:cs="Times New Roman"/>
          <w:i/>
          <w:iCs/>
          <w:sz w:val="24"/>
          <w:szCs w:val="24"/>
        </w:rPr>
        <w:t>Se</w:t>
      </w:r>
      <w:r w:rsidR="00B250DE" w:rsidRPr="00F900F6">
        <w:rPr>
          <w:rFonts w:ascii="Times New Roman" w:eastAsia="Calibri" w:hAnsi="Times New Roman" w:cs="Times New Roman"/>
          <w:i/>
          <w:iCs/>
          <w:sz w:val="24"/>
          <w:szCs w:val="24"/>
        </w:rPr>
        <w:t>ction 44(b)</w:t>
      </w:r>
      <w:r w:rsidR="00B250DE">
        <w:rPr>
          <w:rFonts w:ascii="Times New Roman" w:eastAsia="Calibri" w:hAnsi="Times New Roman" w:cs="Times New Roman"/>
          <w:sz w:val="24"/>
          <w:szCs w:val="24"/>
        </w:rPr>
        <w:t xml:space="preserve"> of the Federal E</w:t>
      </w:r>
      <w:r w:rsidR="00333A98">
        <w:rPr>
          <w:rFonts w:ascii="Times New Roman" w:eastAsia="Calibri" w:hAnsi="Times New Roman" w:cs="Times New Roman"/>
          <w:sz w:val="24"/>
          <w:szCs w:val="24"/>
        </w:rPr>
        <w:t>lec</w:t>
      </w:r>
      <w:r w:rsidR="00B250DE">
        <w:rPr>
          <w:rFonts w:ascii="Times New Roman" w:eastAsia="Calibri" w:hAnsi="Times New Roman" w:cs="Times New Roman"/>
          <w:sz w:val="24"/>
          <w:szCs w:val="24"/>
        </w:rPr>
        <w:t>tion Campaign A</w:t>
      </w:r>
      <w:r w:rsidR="005464AB">
        <w:rPr>
          <w:rFonts w:ascii="Times New Roman" w:eastAsia="Calibri" w:hAnsi="Times New Roman" w:cs="Times New Roman"/>
          <w:sz w:val="24"/>
          <w:szCs w:val="24"/>
        </w:rPr>
        <w:t>ct</w:t>
      </w:r>
      <w:r w:rsidR="00895D26">
        <w:rPr>
          <w:rFonts w:ascii="Times New Roman" w:eastAsia="Calibri" w:hAnsi="Times New Roman" w:cs="Times New Roman"/>
          <w:sz w:val="24"/>
          <w:szCs w:val="24"/>
        </w:rPr>
        <w:t xml:space="preserve"> which the Bipartisan </w:t>
      </w:r>
      <w:r w:rsidR="00333A98">
        <w:rPr>
          <w:rFonts w:ascii="Times New Roman" w:eastAsia="Calibri" w:hAnsi="Times New Roman" w:cs="Times New Roman"/>
          <w:sz w:val="24"/>
          <w:szCs w:val="24"/>
        </w:rPr>
        <w:t xml:space="preserve">Campaign Reform Act had amended. </w:t>
      </w:r>
      <w:r w:rsidRPr="00176351">
        <w:rPr>
          <w:rFonts w:ascii="Times New Roman" w:eastAsia="Calibri" w:hAnsi="Times New Roman" w:cs="Times New Roman"/>
          <w:sz w:val="24"/>
          <w:szCs w:val="24"/>
        </w:rPr>
        <w:t xml:space="preserve">In this case, Justice Kennedy made assertions concerning the justifications for campaign finance disclosure requirements. Concerning a corporate electioneering ban, Kennedy clarified </w:t>
      </w:r>
      <w:r w:rsidR="00F06CEF">
        <w:rPr>
          <w:rFonts w:ascii="Times New Roman" w:eastAsia="Calibri" w:hAnsi="Times New Roman" w:cs="Times New Roman"/>
          <w:sz w:val="24"/>
          <w:szCs w:val="24"/>
        </w:rPr>
        <w:t xml:space="preserve">that in the earlier case </w:t>
      </w:r>
      <w:proofErr w:type="gramStart"/>
      <w:r w:rsidR="00F06CEF">
        <w:rPr>
          <w:rFonts w:ascii="Times New Roman" w:eastAsia="Calibri" w:hAnsi="Times New Roman" w:cs="Times New Roman"/>
          <w:sz w:val="24"/>
          <w:szCs w:val="24"/>
        </w:rPr>
        <w:t xml:space="preserve">of </w:t>
      </w:r>
      <w:r w:rsidRPr="00176351">
        <w:rPr>
          <w:rFonts w:ascii="Times New Roman" w:eastAsia="Calibri" w:hAnsi="Times New Roman" w:cs="Times New Roman"/>
          <w:sz w:val="24"/>
          <w:szCs w:val="24"/>
        </w:rPr>
        <w:t xml:space="preserve"> </w:t>
      </w:r>
      <w:r w:rsidRPr="00176351">
        <w:rPr>
          <w:rFonts w:ascii="Times New Roman" w:eastAsia="Calibri" w:hAnsi="Times New Roman" w:cs="Times New Roman"/>
          <w:i/>
          <w:iCs/>
          <w:sz w:val="24"/>
          <w:szCs w:val="24"/>
        </w:rPr>
        <w:t>Buckley</w:t>
      </w:r>
      <w:proofErr w:type="gramEnd"/>
      <w:r w:rsidRPr="00176351">
        <w:rPr>
          <w:rFonts w:ascii="Times New Roman" w:eastAsia="Calibri" w:hAnsi="Times New Roman" w:cs="Times New Roman"/>
          <w:i/>
          <w:iCs/>
          <w:sz w:val="24"/>
          <w:szCs w:val="24"/>
        </w:rPr>
        <w:t xml:space="preserve"> v Valeo</w:t>
      </w:r>
      <w:r w:rsidRPr="00176351">
        <w:rPr>
          <w:rFonts w:ascii="Times New Roman" w:eastAsia="Calibri" w:hAnsi="Times New Roman" w:cs="Times New Roman"/>
          <w:sz w:val="24"/>
          <w:szCs w:val="24"/>
        </w:rPr>
        <w:t>, the governmental interest in campaign disclosure requirements was to prevent corruption or the appearance of corruption.</w:t>
      </w:r>
      <w:r w:rsidR="000C5493">
        <w:rPr>
          <w:rFonts w:ascii="Times New Roman" w:eastAsia="Calibri" w:hAnsi="Times New Roman" w:cs="Times New Roman"/>
          <w:sz w:val="24"/>
          <w:szCs w:val="24"/>
        </w:rPr>
        <w:t xml:space="preserve"> However, he distinguished this case from</w:t>
      </w:r>
      <w:r w:rsidR="00AE291A">
        <w:rPr>
          <w:rFonts w:ascii="Times New Roman" w:eastAsia="Calibri" w:hAnsi="Times New Roman" w:cs="Times New Roman"/>
          <w:sz w:val="24"/>
          <w:szCs w:val="24"/>
        </w:rPr>
        <w:t xml:space="preserve"> the earlier case of</w:t>
      </w:r>
      <w:r w:rsidR="000C5493">
        <w:rPr>
          <w:rFonts w:ascii="Times New Roman" w:eastAsia="Calibri" w:hAnsi="Times New Roman" w:cs="Times New Roman"/>
          <w:sz w:val="24"/>
          <w:szCs w:val="24"/>
        </w:rPr>
        <w:t xml:space="preserve"> </w:t>
      </w:r>
      <w:r w:rsidR="000C5493" w:rsidRPr="00F900F6">
        <w:rPr>
          <w:rFonts w:ascii="Times New Roman" w:eastAsia="Calibri" w:hAnsi="Times New Roman" w:cs="Times New Roman"/>
          <w:i/>
          <w:iCs/>
          <w:sz w:val="24"/>
          <w:szCs w:val="24"/>
        </w:rPr>
        <w:t>Buckley v Valeo</w:t>
      </w:r>
      <w:r w:rsidR="008B03CD">
        <w:rPr>
          <w:rFonts w:ascii="Times New Roman" w:eastAsia="Calibri" w:hAnsi="Times New Roman" w:cs="Times New Roman"/>
          <w:i/>
          <w:iCs/>
          <w:sz w:val="24"/>
          <w:szCs w:val="24"/>
        </w:rPr>
        <w:t xml:space="preserve"> </w:t>
      </w:r>
      <w:r w:rsidR="000C5493">
        <w:rPr>
          <w:rFonts w:ascii="Times New Roman" w:eastAsia="Calibri" w:hAnsi="Times New Roman" w:cs="Times New Roman"/>
          <w:sz w:val="24"/>
          <w:szCs w:val="24"/>
        </w:rPr>
        <w:t>when he prosecuted the argument</w:t>
      </w:r>
      <w:r w:rsidR="008B03CD">
        <w:rPr>
          <w:rFonts w:ascii="Times New Roman" w:eastAsia="Calibri" w:hAnsi="Times New Roman" w:cs="Times New Roman"/>
          <w:sz w:val="24"/>
          <w:szCs w:val="24"/>
        </w:rPr>
        <w:t xml:space="preserve"> </w:t>
      </w:r>
      <w:r w:rsidRPr="00176351">
        <w:rPr>
          <w:rFonts w:ascii="Times New Roman" w:eastAsia="Calibri" w:hAnsi="Times New Roman" w:cs="Times New Roman"/>
          <w:sz w:val="24"/>
          <w:szCs w:val="24"/>
        </w:rPr>
        <w:t>that</w:t>
      </w:r>
      <w:r w:rsidR="00943E5F">
        <w:rPr>
          <w:rFonts w:ascii="Times New Roman" w:eastAsia="Calibri" w:hAnsi="Times New Roman" w:cs="Times New Roman"/>
          <w:sz w:val="24"/>
          <w:szCs w:val="24"/>
        </w:rPr>
        <w:t xml:space="preserve"> unlike in </w:t>
      </w:r>
      <w:r w:rsidR="00943E5F" w:rsidRPr="00F900F6">
        <w:rPr>
          <w:rFonts w:ascii="Times New Roman" w:eastAsia="Calibri" w:hAnsi="Times New Roman" w:cs="Times New Roman"/>
          <w:i/>
          <w:iCs/>
          <w:sz w:val="24"/>
          <w:szCs w:val="24"/>
        </w:rPr>
        <w:t>Buckley v Valeo</w:t>
      </w:r>
      <w:r w:rsidRPr="00176351">
        <w:rPr>
          <w:rFonts w:ascii="Times New Roman" w:eastAsia="Calibri" w:hAnsi="Times New Roman" w:cs="Times New Roman"/>
          <w:sz w:val="24"/>
          <w:szCs w:val="24"/>
        </w:rPr>
        <w:t xml:space="preserve"> the justification for disclosure requirements only applied within the bounds of ‘quid pro quo’ corruption. Furthermore, the Court held that independent expenditures could not result in quid pro quo corruption.</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w:t>
      </w:r>
    </w:p>
    <w:p w14:paraId="6C7B7BFB" w14:textId="6C394116"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Issacharoff offers a different perspective on what should be considered corruption. Moreover, he cautions against only observing what activities take place during the campaign and election period and expands the timeframe that should interest one. He suggests that observation of what political actors do while in office will offer a glance into corruption. In other words, he advocates that an inquiry be done on incentives politicians are granted while in office. Also, Issacharoff opines that a politician may use the powers of their office to grant more benefit to select groups that would then mobilize during elections to vote for them </w:t>
      </w:r>
      <w:proofErr w:type="gramStart"/>
      <w:r w:rsidRPr="00F900F6">
        <w:rPr>
          <w:rFonts w:ascii="Times New Roman" w:eastAsia="Calibri" w:hAnsi="Times New Roman" w:cs="Times New Roman"/>
          <w:i/>
          <w:iCs/>
          <w:sz w:val="24"/>
          <w:szCs w:val="24"/>
        </w:rPr>
        <w:t>en masse</w:t>
      </w:r>
      <w:r w:rsidRPr="00176351">
        <w:rPr>
          <w:rFonts w:ascii="Times New Roman" w:eastAsia="Calibri" w:hAnsi="Times New Roman" w:cs="Times New Roman"/>
          <w:sz w:val="24"/>
          <w:szCs w:val="24"/>
        </w:rPr>
        <w:t>, and</w:t>
      </w:r>
      <w:proofErr w:type="gramEnd"/>
      <w:r w:rsidRPr="00176351">
        <w:rPr>
          <w:rFonts w:ascii="Times New Roman" w:eastAsia="Calibri" w:hAnsi="Times New Roman" w:cs="Times New Roman"/>
          <w:sz w:val="24"/>
          <w:szCs w:val="24"/>
        </w:rPr>
        <w:t xml:space="preserve"> hand the politician a victory in return.</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The nexus between Issachrof</w:t>
      </w:r>
      <w:r w:rsidR="00AB4D99">
        <w:rPr>
          <w:rFonts w:ascii="Times New Roman" w:eastAsia="Calibri" w:hAnsi="Times New Roman" w:cs="Times New Roman"/>
          <w:sz w:val="24"/>
          <w:szCs w:val="24"/>
        </w:rPr>
        <w:t>’s assertions and</w:t>
      </w:r>
      <w:r w:rsidRPr="00176351">
        <w:rPr>
          <w:rFonts w:ascii="Times New Roman" w:eastAsia="Calibri" w:hAnsi="Times New Roman" w:cs="Times New Roman"/>
          <w:sz w:val="24"/>
          <w:szCs w:val="24"/>
        </w:rPr>
        <w:t xml:space="preserve"> disclosure regulation is that disclosures are vital to track whether election campaign donators can acquire private benefits from politicians after the latter acquire public office. This variant of clientelist relationships is termed 'dependence corruption'. Also, to identify this form of corrupt practices, very effective and robust disclosure mechanisms must be adopted to allow accountability to be</w:t>
      </w:r>
      <w:r w:rsidR="000A728A">
        <w:rPr>
          <w:rFonts w:ascii="Times New Roman" w:eastAsia="Calibri" w:hAnsi="Times New Roman" w:cs="Times New Roman"/>
          <w:sz w:val="24"/>
          <w:szCs w:val="24"/>
        </w:rPr>
        <w:t xml:space="preserve"> </w:t>
      </w:r>
      <w:proofErr w:type="gramStart"/>
      <w:r w:rsidRPr="00176351">
        <w:rPr>
          <w:rFonts w:ascii="Times New Roman" w:eastAsia="Calibri" w:hAnsi="Times New Roman" w:cs="Times New Roman"/>
          <w:sz w:val="24"/>
          <w:szCs w:val="24"/>
        </w:rPr>
        <w:t>effected</w:t>
      </w:r>
      <w:proofErr w:type="gramEnd"/>
      <w:r w:rsidRPr="00176351">
        <w:rPr>
          <w:rFonts w:ascii="Times New Roman" w:eastAsia="Calibri" w:hAnsi="Times New Roman" w:cs="Times New Roman"/>
          <w:sz w:val="24"/>
          <w:szCs w:val="24"/>
        </w:rPr>
        <w:t xml:space="preserve">. </w:t>
      </w:r>
    </w:p>
    <w:p w14:paraId="58505048"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7" w:name="_Toc65490107"/>
      <w:r w:rsidRPr="00176351">
        <w:rPr>
          <w:rFonts w:ascii="Times New Roman" w:eastAsia="Times New Roman" w:hAnsi="Times New Roman" w:cs="Times New Roman"/>
          <w:b/>
          <w:bCs/>
          <w:color w:val="2F5496" w:themeColor="accent1" w:themeShade="BF"/>
          <w:sz w:val="26"/>
          <w:szCs w:val="26"/>
        </w:rPr>
        <w:t>4.4 JUSTIFICATION FOR DISCLOSURE REQUIREMENTS IN THE UNITED STATES:  THE INFORMATIONAL INTEREST</w:t>
      </w:r>
      <w:bookmarkEnd w:id="57"/>
    </w:p>
    <w:p w14:paraId="1C24BCFD" w14:textId="61EF183F"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In the United States, disclosure has an important informational interest. This interest can be viewed from several perspectives. First, disclosure serves as a public endorsement. When a donor funds a political advertisement, a disclaimer accompanies it. This disclaimer clarifies that a particular group or particular individuals support a candidate. Therefore, this level of transparency guards against opacity that may accompany political campaign financing.</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The second benefit of disclosure is accountability. Moreover, the disclosure provides information concerning the interests to which a politician may be beholden. Therefore, it allows the public, the media and civil society to assess the actions of politicians and elected officials against the backdrop of their donors. Further, this allows the public to discern elected officials who are serving the private interests of their donors at the expense of the public interest. Furthermore, this allows voters to hold their elected officials accountable during the next election and vote for the candidates who are not compromised by special interests. Besides, the disclosure provides voters with a glimpse into how political financing links with policy outcomes and the inner workings of the political system. In conclusion, the informational interest suggests that disclosure allows voters to vote more competently.  </w:t>
      </w:r>
    </w:p>
    <w:p w14:paraId="4872FFCA"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8" w:name="_Toc65490108"/>
      <w:r w:rsidRPr="00176351">
        <w:rPr>
          <w:rFonts w:ascii="Times New Roman" w:eastAsia="Times New Roman" w:hAnsi="Times New Roman" w:cs="Times New Roman"/>
          <w:b/>
          <w:bCs/>
          <w:color w:val="2F5496" w:themeColor="accent1" w:themeShade="BF"/>
          <w:sz w:val="26"/>
          <w:szCs w:val="26"/>
        </w:rPr>
        <w:t>4.5 JUSTIFICATION FOR DISCLOSURE REQUIREMENTS IN THE UNITED STATES: THE ENFORCEMENT INTEREST</w:t>
      </w:r>
      <w:bookmarkEnd w:id="58"/>
    </w:p>
    <w:p w14:paraId="7ECBC5F7" w14:textId="2C8205F3"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The enforcement interest hinges on the premise that disclosure aids in pinpointing the violation of campaign financing laws. Biffault makes the claim entities concerned with ensuring compliance with campaign financing laws can police the violation of these laws using information that is availed to them through disclosure requirements. Furthermore, he contends that public scrutiny is not essential for the enforcement interest to be achieved. This theory has been challenged based on how the FEC operates in practice.</w:t>
      </w:r>
      <w:r w:rsidRPr="00176351">
        <w:rPr>
          <w:rFonts w:ascii="Times New Roman" w:eastAsia="Calibri" w:hAnsi="Times New Roman" w:cs="Times New Roman"/>
          <w:vertAlign w:val="superscript"/>
        </w:rPr>
        <w:t xml:space="preserve"> </w:t>
      </w:r>
      <w:r w:rsidRPr="00176351">
        <w:rPr>
          <w:rFonts w:ascii="Times New Roman" w:eastAsia="Calibri" w:hAnsi="Times New Roman" w:cs="Times New Roman"/>
          <w:sz w:val="24"/>
          <w:szCs w:val="24"/>
        </w:rPr>
        <w:t xml:space="preserve">  </w:t>
      </w:r>
    </w:p>
    <w:p w14:paraId="6A768FE9"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59" w:name="_Toc65490109"/>
      <w:r w:rsidRPr="00176351">
        <w:rPr>
          <w:rFonts w:ascii="Times New Roman" w:eastAsia="Times New Roman" w:hAnsi="Times New Roman" w:cs="Times New Roman"/>
          <w:b/>
          <w:bCs/>
          <w:color w:val="2F5496" w:themeColor="accent1" w:themeShade="BF"/>
          <w:sz w:val="26"/>
          <w:szCs w:val="26"/>
        </w:rPr>
        <w:t>4.6 JUSTIFICATION FOR USING THE AMERICAN PERSPECTIVE</w:t>
      </w:r>
      <w:bookmarkEnd w:id="59"/>
    </w:p>
    <w:p w14:paraId="617BCF29" w14:textId="132B05AF" w:rsidR="00176351" w:rsidRPr="00176351" w:rsidRDefault="00176351" w:rsidP="00176351">
      <w:pPr>
        <w:spacing w:line="360" w:lineRule="auto"/>
        <w:jc w:val="both"/>
        <w:rPr>
          <w:rFonts w:ascii="Times New Roman" w:eastAsia="Calibri" w:hAnsi="Times New Roman" w:cs="Times New Roman"/>
          <w:sz w:val="24"/>
          <w:szCs w:val="24"/>
        </w:rPr>
      </w:pPr>
      <w:r w:rsidRPr="00176351">
        <w:rPr>
          <w:rFonts w:ascii="Times New Roman" w:eastAsia="Calibri" w:hAnsi="Times New Roman" w:cs="Times New Roman"/>
          <w:sz w:val="24"/>
          <w:szCs w:val="24"/>
        </w:rPr>
        <w:t xml:space="preserve">The disclosure regime in the United States is relatively successful. For instance, political parties, political </w:t>
      </w:r>
      <w:proofErr w:type="gramStart"/>
      <w:r w:rsidRPr="00176351">
        <w:rPr>
          <w:rFonts w:ascii="Times New Roman" w:eastAsia="Calibri" w:hAnsi="Times New Roman" w:cs="Times New Roman"/>
          <w:sz w:val="24"/>
          <w:szCs w:val="24"/>
        </w:rPr>
        <w:t>candidates</w:t>
      </w:r>
      <w:proofErr w:type="gramEnd"/>
      <w:r w:rsidRPr="00176351">
        <w:rPr>
          <w:rFonts w:ascii="Times New Roman" w:eastAsia="Calibri" w:hAnsi="Times New Roman" w:cs="Times New Roman"/>
          <w:sz w:val="24"/>
          <w:szCs w:val="24"/>
        </w:rPr>
        <w:t xml:space="preserve"> and political committees are subjected to detailed reporting requirements. Additionally, these requirements ensure timely reporting on expenditure and donors is maintained. Also, the reports are easily accessible to the public. They are available on the internet from where they can be downloaded. However, there remains a threat from non-profits which are not subject to these disclosure requirements, yet they are involved in political financing. The solution to this problem is legislating disclosure requirements for these non-profits. Kenya is yet to begin applying its disclosure requirements and it can greatly benefit from the United States whose experience and lessons it can draw from. Furthermore, it is notable that disclosure is used as an anti-corruption tool. This is important from the Kenyan perspective as corruption is a huge problem associated with political campaign financing. Arguably, adopting an approach similar to the United States will reduce if not eliminate corruption in Kenyan political campaign financing. The problems associated with disclosure such as harassment and violence can be addressed in Kenya through the criminal law regime.</w:t>
      </w:r>
    </w:p>
    <w:p w14:paraId="65C738DA" w14:textId="77777777" w:rsidR="00176351" w:rsidRPr="00176351" w:rsidRDefault="00176351" w:rsidP="00176351">
      <w:pPr>
        <w:keepNext/>
        <w:keepLines/>
        <w:spacing w:before="40" w:after="0" w:line="360" w:lineRule="auto"/>
        <w:jc w:val="both"/>
        <w:outlineLvl w:val="1"/>
        <w:rPr>
          <w:rFonts w:ascii="Times New Roman" w:eastAsia="Times New Roman" w:hAnsi="Times New Roman" w:cs="Times New Roman"/>
          <w:b/>
          <w:bCs/>
          <w:color w:val="2F5496" w:themeColor="accent1" w:themeShade="BF"/>
          <w:sz w:val="26"/>
          <w:szCs w:val="26"/>
        </w:rPr>
      </w:pPr>
      <w:bookmarkStart w:id="60" w:name="_Toc65490110"/>
      <w:r w:rsidRPr="00176351">
        <w:rPr>
          <w:rFonts w:ascii="Times New Roman" w:eastAsia="Times New Roman" w:hAnsi="Times New Roman" w:cs="Times New Roman"/>
          <w:b/>
          <w:bCs/>
          <w:color w:val="2F5496" w:themeColor="accent1" w:themeShade="BF"/>
          <w:sz w:val="26"/>
          <w:szCs w:val="26"/>
        </w:rPr>
        <w:t>4.7 CONCLUSION</w:t>
      </w:r>
      <w:bookmarkEnd w:id="60"/>
    </w:p>
    <w:p w14:paraId="575F7716" w14:textId="37BC00C3" w:rsidR="00716091" w:rsidRPr="00176351" w:rsidRDefault="00176351" w:rsidP="00176351">
      <w:pPr>
        <w:spacing w:line="360" w:lineRule="auto"/>
        <w:rPr>
          <w:rFonts w:ascii="Calibri" w:eastAsia="Calibri" w:hAnsi="Calibri" w:cs="Times New Roman"/>
        </w:rPr>
      </w:pPr>
      <w:r w:rsidRPr="00176351">
        <w:rPr>
          <w:rFonts w:ascii="Times New Roman" w:eastAsia="Calibri" w:hAnsi="Times New Roman" w:cs="Times New Roman"/>
          <w:sz w:val="24"/>
          <w:szCs w:val="24"/>
        </w:rPr>
        <w:t>The United States has an effective disclosure regime that provides essential information for the voters to gauge the private interests that are present in the political spectrum. Also, this information is readily available online for individuals to assess. Additionally, the media provides this information in an easily comprehensible format to allow voters to know what the policies of a given candidate may be, in connection with their donors. Moreover, this chapter addresses political campaign financing disclosure requirements as a tool to fight corruption. Notably, it also addresses some of the disadvantages of disclosure such as the vulnerability to harassment. Finally, it concludes on how Kenya can benefit from the regime in the United States to combat corruption.</w:t>
      </w:r>
    </w:p>
    <w:p w14:paraId="1AA2D353" w14:textId="62CAD0C4" w:rsidR="00A21F56" w:rsidRDefault="000D0CEB" w:rsidP="00EA5686">
      <w:pPr>
        <w:rPr>
          <w:rFonts w:ascii="Times New Roman" w:eastAsia="Times New Roman" w:hAnsi="Times New Roman" w:cs="Times New Roman"/>
          <w:b/>
          <w:bCs/>
          <w:color w:val="2F5496" w:themeColor="accent1" w:themeShade="BF"/>
          <w:sz w:val="32"/>
          <w:szCs w:val="32"/>
        </w:rPr>
      </w:pPr>
      <w:r>
        <w:rPr>
          <w:rFonts w:ascii="Times New Roman" w:eastAsia="Times New Roman" w:hAnsi="Times New Roman" w:cs="Times New Roman"/>
          <w:b/>
          <w:bCs/>
          <w:color w:val="2F5496" w:themeColor="accent1" w:themeShade="BF"/>
          <w:sz w:val="32"/>
          <w:szCs w:val="32"/>
        </w:rPr>
        <w:br w:type="page"/>
      </w:r>
    </w:p>
    <w:p w14:paraId="7931D788" w14:textId="30B25293" w:rsidR="00176351" w:rsidRPr="00176351" w:rsidRDefault="00176351" w:rsidP="00176351">
      <w:pPr>
        <w:keepNext/>
        <w:keepLines/>
        <w:spacing w:before="240" w:after="0" w:line="360" w:lineRule="auto"/>
        <w:jc w:val="both"/>
        <w:outlineLvl w:val="0"/>
        <w:rPr>
          <w:rFonts w:ascii="Times New Roman" w:eastAsia="Times New Roman" w:hAnsi="Times New Roman" w:cs="Times New Roman"/>
          <w:b/>
          <w:bCs/>
          <w:color w:val="2F5496" w:themeColor="accent1" w:themeShade="BF"/>
          <w:sz w:val="32"/>
          <w:szCs w:val="32"/>
        </w:rPr>
      </w:pPr>
      <w:bookmarkStart w:id="61" w:name="_Toc65490111"/>
      <w:r w:rsidRPr="00176351">
        <w:rPr>
          <w:rFonts w:ascii="Times New Roman" w:eastAsia="Times New Roman" w:hAnsi="Times New Roman" w:cs="Times New Roman"/>
          <w:b/>
          <w:bCs/>
          <w:color w:val="2F5496" w:themeColor="accent1" w:themeShade="BF"/>
          <w:sz w:val="32"/>
          <w:szCs w:val="32"/>
        </w:rPr>
        <w:t>CHAPTER 5: CONCLUSION AND RECOMMENDATIONS</w:t>
      </w:r>
      <w:bookmarkEnd w:id="61"/>
    </w:p>
    <w:p w14:paraId="0826793E" w14:textId="07327CFE" w:rsidR="00176351" w:rsidRDefault="006C73DF" w:rsidP="006C73DF">
      <w:pPr>
        <w:spacing w:line="360" w:lineRule="auto"/>
        <w:jc w:val="both"/>
        <w:rPr>
          <w:rFonts w:ascii="Times New Roman" w:hAnsi="Times New Roman" w:cs="Times New Roman"/>
          <w:sz w:val="24"/>
          <w:szCs w:val="24"/>
        </w:rPr>
      </w:pPr>
      <w:r w:rsidRPr="006C73DF">
        <w:rPr>
          <w:rFonts w:ascii="Times New Roman" w:hAnsi="Times New Roman" w:cs="Times New Roman"/>
          <w:sz w:val="24"/>
          <w:szCs w:val="24"/>
        </w:rPr>
        <w:t xml:space="preserve">This </w:t>
      </w:r>
      <w:r>
        <w:rPr>
          <w:rFonts w:ascii="Times New Roman" w:hAnsi="Times New Roman" w:cs="Times New Roman"/>
          <w:sz w:val="24"/>
          <w:szCs w:val="24"/>
        </w:rPr>
        <w:t>work has set out to prove certain hypotheses.</w:t>
      </w:r>
      <w:r w:rsidR="00273A31">
        <w:rPr>
          <w:rFonts w:ascii="Times New Roman" w:hAnsi="Times New Roman" w:cs="Times New Roman"/>
          <w:sz w:val="24"/>
          <w:szCs w:val="24"/>
        </w:rPr>
        <w:t xml:space="preserve"> It is the author’s conviction that the chapters of this work have elaborated and clarified the answers to each hypothesis. Furthermore, on whether </w:t>
      </w:r>
      <w:r w:rsidR="002D1F47">
        <w:rPr>
          <w:rFonts w:ascii="Times New Roman" w:hAnsi="Times New Roman" w:cs="Times New Roman"/>
          <w:sz w:val="24"/>
          <w:szCs w:val="24"/>
        </w:rPr>
        <w:t>disclosure of political financing regulation is inadequate in preventing corruption</w:t>
      </w:r>
      <w:r w:rsidR="00221DA6">
        <w:rPr>
          <w:rFonts w:ascii="Times New Roman" w:hAnsi="Times New Roman" w:cs="Times New Roman"/>
          <w:sz w:val="24"/>
          <w:szCs w:val="24"/>
        </w:rPr>
        <w:t>. This study has concluded in the affirmative. One reason is that</w:t>
      </w:r>
      <w:r w:rsidR="0032381D">
        <w:rPr>
          <w:rFonts w:ascii="Times New Roman" w:hAnsi="Times New Roman" w:cs="Times New Roman"/>
          <w:sz w:val="24"/>
          <w:szCs w:val="24"/>
        </w:rPr>
        <w:t xml:space="preserve"> the principle of transparency is not adequately addressed due to the</w:t>
      </w:r>
      <w:r w:rsidR="00C82BDA">
        <w:rPr>
          <w:rFonts w:ascii="Times New Roman" w:hAnsi="Times New Roman" w:cs="Times New Roman"/>
          <w:sz w:val="24"/>
          <w:szCs w:val="24"/>
        </w:rPr>
        <w:t xml:space="preserve"> confidentiality of information</w:t>
      </w:r>
      <w:r w:rsidR="00F1397A">
        <w:rPr>
          <w:rFonts w:ascii="Times New Roman" w:hAnsi="Times New Roman" w:cs="Times New Roman"/>
          <w:sz w:val="24"/>
          <w:szCs w:val="24"/>
        </w:rPr>
        <w:t xml:space="preserve"> </w:t>
      </w:r>
      <w:r w:rsidR="00C82BDA">
        <w:rPr>
          <w:rFonts w:ascii="Times New Roman" w:hAnsi="Times New Roman" w:cs="Times New Roman"/>
          <w:sz w:val="24"/>
          <w:szCs w:val="24"/>
        </w:rPr>
        <w:t xml:space="preserve">on political financing under </w:t>
      </w:r>
      <w:r w:rsidR="00C82BDA" w:rsidRPr="00F80BE7">
        <w:rPr>
          <w:rFonts w:ascii="Times New Roman" w:hAnsi="Times New Roman" w:cs="Times New Roman"/>
          <w:i/>
          <w:iCs/>
          <w:sz w:val="24"/>
          <w:szCs w:val="24"/>
        </w:rPr>
        <w:t>Section 16(5)</w:t>
      </w:r>
      <w:r w:rsidR="00C82BDA">
        <w:rPr>
          <w:rFonts w:ascii="Times New Roman" w:hAnsi="Times New Roman" w:cs="Times New Roman"/>
          <w:sz w:val="24"/>
          <w:szCs w:val="24"/>
        </w:rPr>
        <w:t xml:space="preserve"> of the Election Campaign Financing Act</w:t>
      </w:r>
      <w:r w:rsidR="00221DA6">
        <w:rPr>
          <w:rFonts w:ascii="Times New Roman" w:hAnsi="Times New Roman" w:cs="Times New Roman"/>
          <w:sz w:val="24"/>
          <w:szCs w:val="24"/>
        </w:rPr>
        <w:t xml:space="preserve">. </w:t>
      </w:r>
      <w:r w:rsidR="00552964">
        <w:rPr>
          <w:rFonts w:ascii="Times New Roman" w:hAnsi="Times New Roman" w:cs="Times New Roman"/>
          <w:sz w:val="24"/>
          <w:szCs w:val="24"/>
        </w:rPr>
        <w:t>This impedes the ability of voters to access this information and make informed decisions in election periods. A</w:t>
      </w:r>
      <w:r w:rsidR="00DA24C1">
        <w:rPr>
          <w:rFonts w:ascii="Times New Roman" w:hAnsi="Times New Roman" w:cs="Times New Roman"/>
          <w:sz w:val="24"/>
          <w:szCs w:val="24"/>
        </w:rPr>
        <w:t xml:space="preserve">lso, </w:t>
      </w:r>
      <w:r w:rsidR="00634D97">
        <w:rPr>
          <w:rFonts w:ascii="Times New Roman" w:hAnsi="Times New Roman" w:cs="Times New Roman"/>
          <w:sz w:val="24"/>
          <w:szCs w:val="24"/>
        </w:rPr>
        <w:t>t</w:t>
      </w:r>
      <w:r w:rsidR="00221DA6">
        <w:rPr>
          <w:rFonts w:ascii="Times New Roman" w:hAnsi="Times New Roman" w:cs="Times New Roman"/>
          <w:sz w:val="24"/>
          <w:szCs w:val="24"/>
        </w:rPr>
        <w:t xml:space="preserve">his study has </w:t>
      </w:r>
      <w:r w:rsidR="003B2DB3">
        <w:rPr>
          <w:rFonts w:ascii="Times New Roman" w:hAnsi="Times New Roman" w:cs="Times New Roman"/>
          <w:sz w:val="24"/>
          <w:szCs w:val="24"/>
        </w:rPr>
        <w:t xml:space="preserve">demonstrated </w:t>
      </w:r>
      <w:r w:rsidR="00C1217A">
        <w:rPr>
          <w:rFonts w:ascii="Times New Roman" w:hAnsi="Times New Roman" w:cs="Times New Roman"/>
          <w:sz w:val="24"/>
          <w:szCs w:val="24"/>
        </w:rPr>
        <w:t>in chapter two,</w:t>
      </w:r>
      <w:r w:rsidR="003B2DB3">
        <w:rPr>
          <w:rFonts w:ascii="Times New Roman" w:hAnsi="Times New Roman" w:cs="Times New Roman"/>
          <w:sz w:val="24"/>
          <w:szCs w:val="24"/>
        </w:rPr>
        <w:t xml:space="preserve"> under the private interest theory of government regulation, civil society use</w:t>
      </w:r>
      <w:r w:rsidR="005403CB">
        <w:rPr>
          <w:rFonts w:ascii="Times New Roman" w:hAnsi="Times New Roman" w:cs="Times New Roman"/>
          <w:sz w:val="24"/>
          <w:szCs w:val="24"/>
        </w:rPr>
        <w:t xml:space="preserve">s disclosed information to create pressure to address the problem of corruption </w:t>
      </w:r>
      <w:r w:rsidR="00C1217A">
        <w:rPr>
          <w:rFonts w:ascii="Times New Roman" w:hAnsi="Times New Roman" w:cs="Times New Roman"/>
          <w:sz w:val="24"/>
          <w:szCs w:val="24"/>
        </w:rPr>
        <w:t>percolating into political financing.</w:t>
      </w:r>
      <w:r w:rsidR="00875FFC">
        <w:rPr>
          <w:rFonts w:ascii="Times New Roman" w:hAnsi="Times New Roman" w:cs="Times New Roman"/>
          <w:sz w:val="24"/>
          <w:szCs w:val="24"/>
        </w:rPr>
        <w:t xml:space="preserve"> Therefore, this watchdog mechanism is adversely affected by the confidentiality of information on political financing</w:t>
      </w:r>
      <w:r w:rsidR="00675EFB">
        <w:rPr>
          <w:rFonts w:ascii="Times New Roman" w:hAnsi="Times New Roman" w:cs="Times New Roman"/>
          <w:sz w:val="24"/>
          <w:szCs w:val="24"/>
        </w:rPr>
        <w:t>.</w:t>
      </w:r>
      <w:r w:rsidR="00C1217A">
        <w:rPr>
          <w:rFonts w:ascii="Times New Roman" w:hAnsi="Times New Roman" w:cs="Times New Roman"/>
          <w:sz w:val="24"/>
          <w:szCs w:val="24"/>
        </w:rPr>
        <w:t xml:space="preserve"> Furthermore, information on disclosure </w:t>
      </w:r>
      <w:r w:rsidR="00675EE5">
        <w:rPr>
          <w:rFonts w:ascii="Times New Roman" w:hAnsi="Times New Roman" w:cs="Times New Roman"/>
          <w:sz w:val="24"/>
          <w:szCs w:val="24"/>
        </w:rPr>
        <w:t xml:space="preserve">enables </w:t>
      </w:r>
      <w:r w:rsidR="00E73D0E">
        <w:rPr>
          <w:rFonts w:ascii="Times New Roman" w:hAnsi="Times New Roman" w:cs="Times New Roman"/>
          <w:sz w:val="24"/>
          <w:szCs w:val="24"/>
        </w:rPr>
        <w:t xml:space="preserve">the authorities and the public </w:t>
      </w:r>
      <w:r w:rsidR="005C7AEB">
        <w:rPr>
          <w:rFonts w:ascii="Times New Roman" w:hAnsi="Times New Roman" w:cs="Times New Roman"/>
          <w:sz w:val="24"/>
          <w:szCs w:val="24"/>
        </w:rPr>
        <w:t xml:space="preserve">identify sources of funding which are suspect, stymying corruption in election campaign financing. </w:t>
      </w:r>
    </w:p>
    <w:p w14:paraId="0C14FFCE" w14:textId="21A51C92" w:rsidR="005C7AEB" w:rsidRDefault="00D17C8B" w:rsidP="006C73DF">
      <w:pPr>
        <w:spacing w:line="360" w:lineRule="auto"/>
        <w:jc w:val="both"/>
        <w:rPr>
          <w:rFonts w:ascii="Times New Roman" w:hAnsi="Times New Roman" w:cs="Times New Roman"/>
          <w:sz w:val="24"/>
          <w:szCs w:val="24"/>
        </w:rPr>
      </w:pPr>
      <w:r>
        <w:rPr>
          <w:rFonts w:ascii="Times New Roman" w:hAnsi="Times New Roman" w:cs="Times New Roman"/>
          <w:sz w:val="24"/>
          <w:szCs w:val="24"/>
        </w:rPr>
        <w:t>On whether there is inadequate</w:t>
      </w:r>
      <w:r w:rsidR="00114913">
        <w:rPr>
          <w:rFonts w:ascii="Times New Roman" w:hAnsi="Times New Roman" w:cs="Times New Roman"/>
          <w:sz w:val="24"/>
          <w:szCs w:val="24"/>
        </w:rPr>
        <w:t xml:space="preserve"> Kenyan</w:t>
      </w:r>
      <w:r>
        <w:rPr>
          <w:rFonts w:ascii="Times New Roman" w:hAnsi="Times New Roman" w:cs="Times New Roman"/>
          <w:sz w:val="24"/>
          <w:szCs w:val="24"/>
        </w:rPr>
        <w:t xml:space="preserve"> jurisprudence on campaign financing regulation. This study has </w:t>
      </w:r>
      <w:r w:rsidR="00F13573">
        <w:rPr>
          <w:rFonts w:ascii="Times New Roman" w:hAnsi="Times New Roman" w:cs="Times New Roman"/>
          <w:sz w:val="24"/>
          <w:szCs w:val="24"/>
        </w:rPr>
        <w:t xml:space="preserve">established that this hypothesis is in the affirmative. Chapter three has clarified that one of the reasons is the suspension of the application of the Election Campaign Financing Act by parliament. </w:t>
      </w:r>
      <w:r w:rsidR="00F73AD3">
        <w:rPr>
          <w:rFonts w:ascii="Times New Roman" w:hAnsi="Times New Roman" w:cs="Times New Roman"/>
          <w:sz w:val="24"/>
          <w:szCs w:val="24"/>
        </w:rPr>
        <w:t xml:space="preserve">Consequently, any disputes on the legislation are most likely to arise when it is in operation. </w:t>
      </w:r>
      <w:r w:rsidR="00225AF6">
        <w:rPr>
          <w:rFonts w:ascii="Times New Roman" w:hAnsi="Times New Roman" w:cs="Times New Roman"/>
          <w:sz w:val="24"/>
          <w:szCs w:val="24"/>
        </w:rPr>
        <w:t xml:space="preserve">Chapter two has clarified that politicians are likely to inhibit campaign financing regulation in circumstances where </w:t>
      </w:r>
      <w:r w:rsidR="00F154F7">
        <w:rPr>
          <w:rFonts w:ascii="Times New Roman" w:hAnsi="Times New Roman" w:cs="Times New Roman"/>
          <w:sz w:val="24"/>
          <w:szCs w:val="24"/>
        </w:rPr>
        <w:t xml:space="preserve">they feel it constrains them. This creates a context through which the </w:t>
      </w:r>
      <w:r w:rsidR="00917AAE">
        <w:rPr>
          <w:rFonts w:ascii="Times New Roman" w:hAnsi="Times New Roman" w:cs="Times New Roman"/>
          <w:sz w:val="24"/>
          <w:szCs w:val="24"/>
        </w:rPr>
        <w:t>suspension of the Election Campaign Financing Act can be understood.</w:t>
      </w:r>
    </w:p>
    <w:p w14:paraId="31321755" w14:textId="621EE8F0" w:rsidR="00845DE0" w:rsidRDefault="000D5191" w:rsidP="006C73D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whether the United States has precedent on an anti-corruption </w:t>
      </w:r>
      <w:r w:rsidR="00DB1293">
        <w:rPr>
          <w:rFonts w:ascii="Times New Roman" w:hAnsi="Times New Roman" w:cs="Times New Roman"/>
          <w:sz w:val="24"/>
          <w:szCs w:val="24"/>
        </w:rPr>
        <w:t>element in campaign financing regulation, this study has established the affirmative in chapter four</w:t>
      </w:r>
      <w:r w:rsidR="003473A3">
        <w:rPr>
          <w:rFonts w:ascii="Times New Roman" w:hAnsi="Times New Roman" w:cs="Times New Roman"/>
          <w:sz w:val="24"/>
          <w:szCs w:val="24"/>
        </w:rPr>
        <w:t xml:space="preserve"> based on the Supreme Court of the United States </w:t>
      </w:r>
      <w:r w:rsidR="00312306">
        <w:rPr>
          <w:rFonts w:ascii="Times New Roman" w:hAnsi="Times New Roman" w:cs="Times New Roman"/>
          <w:sz w:val="24"/>
          <w:szCs w:val="24"/>
        </w:rPr>
        <w:t xml:space="preserve">cases of </w:t>
      </w:r>
      <w:r w:rsidR="00312306" w:rsidRPr="00B052B4">
        <w:rPr>
          <w:rFonts w:ascii="Times New Roman" w:hAnsi="Times New Roman" w:cs="Times New Roman"/>
          <w:i/>
          <w:iCs/>
          <w:sz w:val="24"/>
          <w:szCs w:val="24"/>
        </w:rPr>
        <w:t>Buckley v Valeo</w:t>
      </w:r>
      <w:r w:rsidR="00312306">
        <w:rPr>
          <w:rFonts w:ascii="Times New Roman" w:hAnsi="Times New Roman" w:cs="Times New Roman"/>
          <w:sz w:val="24"/>
          <w:szCs w:val="24"/>
        </w:rPr>
        <w:t xml:space="preserve"> and </w:t>
      </w:r>
      <w:r w:rsidR="00312306" w:rsidRPr="00B052B4">
        <w:rPr>
          <w:rFonts w:ascii="Times New Roman" w:hAnsi="Times New Roman" w:cs="Times New Roman"/>
          <w:i/>
          <w:iCs/>
          <w:sz w:val="24"/>
          <w:szCs w:val="24"/>
        </w:rPr>
        <w:t>Citizens United v FEC</w:t>
      </w:r>
      <w:r w:rsidR="00DB1293">
        <w:rPr>
          <w:rFonts w:ascii="Times New Roman" w:hAnsi="Times New Roman" w:cs="Times New Roman"/>
          <w:sz w:val="24"/>
          <w:szCs w:val="24"/>
        </w:rPr>
        <w:t>.</w:t>
      </w:r>
      <w:r w:rsidR="004F2A56">
        <w:rPr>
          <w:rFonts w:ascii="Times New Roman" w:hAnsi="Times New Roman" w:cs="Times New Roman"/>
          <w:sz w:val="24"/>
          <w:szCs w:val="24"/>
        </w:rPr>
        <w:t xml:space="preserve"> Additionally, the United States jurisprudence not only addresses corruption alone but </w:t>
      </w:r>
      <w:r w:rsidR="00950FED">
        <w:rPr>
          <w:rFonts w:ascii="Times New Roman" w:hAnsi="Times New Roman" w:cs="Times New Roman"/>
          <w:sz w:val="24"/>
          <w:szCs w:val="24"/>
        </w:rPr>
        <w:t xml:space="preserve">rather takes the plunge to address </w:t>
      </w:r>
      <w:r w:rsidR="004F2A56">
        <w:rPr>
          <w:rFonts w:ascii="Times New Roman" w:hAnsi="Times New Roman" w:cs="Times New Roman"/>
          <w:sz w:val="24"/>
          <w:szCs w:val="24"/>
        </w:rPr>
        <w:t xml:space="preserve">even the appearance </w:t>
      </w:r>
      <w:r w:rsidR="00950FED">
        <w:rPr>
          <w:rFonts w:ascii="Times New Roman" w:hAnsi="Times New Roman" w:cs="Times New Roman"/>
          <w:sz w:val="24"/>
          <w:szCs w:val="24"/>
        </w:rPr>
        <w:t xml:space="preserve">of corruption. Therefore, the United States has jurisprudence which can </w:t>
      </w:r>
      <w:r w:rsidR="00115423">
        <w:rPr>
          <w:rFonts w:ascii="Times New Roman" w:hAnsi="Times New Roman" w:cs="Times New Roman"/>
          <w:sz w:val="24"/>
          <w:szCs w:val="24"/>
        </w:rPr>
        <w:t>guide Kenya on how to use campaign financing regulation disclosure rules to combat corruption.</w:t>
      </w:r>
    </w:p>
    <w:p w14:paraId="085EBB37" w14:textId="57ABF380" w:rsidR="00ED4C65" w:rsidRPr="00EA5686" w:rsidRDefault="002A3C54" w:rsidP="00EA56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conclusion, I recommend that Kenya adopts robust disclosure requirements </w:t>
      </w:r>
      <w:r w:rsidR="00722CFF">
        <w:rPr>
          <w:rFonts w:ascii="Times New Roman" w:hAnsi="Times New Roman" w:cs="Times New Roman"/>
          <w:sz w:val="24"/>
          <w:szCs w:val="24"/>
        </w:rPr>
        <w:t xml:space="preserve">in accordance with the principle of transparency </w:t>
      </w:r>
      <w:r>
        <w:rPr>
          <w:rFonts w:ascii="Times New Roman" w:hAnsi="Times New Roman" w:cs="Times New Roman"/>
          <w:sz w:val="24"/>
          <w:szCs w:val="24"/>
        </w:rPr>
        <w:t>to properly address the connection between campai</w:t>
      </w:r>
      <w:r w:rsidR="005A3C49">
        <w:rPr>
          <w:rFonts w:ascii="Times New Roman" w:hAnsi="Times New Roman" w:cs="Times New Roman"/>
          <w:sz w:val="24"/>
          <w:szCs w:val="24"/>
        </w:rPr>
        <w:t xml:space="preserve">gn financing and corruption. In order to achieve this goal, </w:t>
      </w:r>
      <w:r w:rsidR="005A3C49" w:rsidRPr="00B052B4">
        <w:rPr>
          <w:rFonts w:ascii="Times New Roman" w:hAnsi="Times New Roman" w:cs="Times New Roman"/>
          <w:i/>
          <w:iCs/>
          <w:sz w:val="24"/>
          <w:szCs w:val="24"/>
        </w:rPr>
        <w:t>Section 16</w:t>
      </w:r>
      <w:r w:rsidR="00B86B88" w:rsidRPr="00B052B4">
        <w:rPr>
          <w:rFonts w:ascii="Times New Roman" w:hAnsi="Times New Roman" w:cs="Times New Roman"/>
          <w:i/>
          <w:iCs/>
          <w:sz w:val="24"/>
          <w:szCs w:val="24"/>
        </w:rPr>
        <w:t>(5)</w:t>
      </w:r>
      <w:r w:rsidR="005A3C49">
        <w:rPr>
          <w:rFonts w:ascii="Times New Roman" w:hAnsi="Times New Roman" w:cs="Times New Roman"/>
          <w:sz w:val="24"/>
          <w:szCs w:val="24"/>
        </w:rPr>
        <w:t xml:space="preserve"> of the Election Campaign Financing Act will </w:t>
      </w:r>
      <w:r w:rsidR="00B86B88">
        <w:rPr>
          <w:rFonts w:ascii="Times New Roman" w:hAnsi="Times New Roman" w:cs="Times New Roman"/>
          <w:sz w:val="24"/>
          <w:szCs w:val="24"/>
        </w:rPr>
        <w:t>should</w:t>
      </w:r>
      <w:r w:rsidR="005A3C49">
        <w:rPr>
          <w:rFonts w:ascii="Times New Roman" w:hAnsi="Times New Roman" w:cs="Times New Roman"/>
          <w:sz w:val="24"/>
          <w:szCs w:val="24"/>
        </w:rPr>
        <w:t xml:space="preserve"> be modified to remove the </w:t>
      </w:r>
      <w:r w:rsidR="007048F5">
        <w:rPr>
          <w:rFonts w:ascii="Times New Roman" w:hAnsi="Times New Roman" w:cs="Times New Roman"/>
          <w:sz w:val="24"/>
          <w:szCs w:val="24"/>
        </w:rPr>
        <w:t xml:space="preserve">confidentiality of information regarding election campaign financing and have robust </w:t>
      </w:r>
      <w:r w:rsidR="00583FFC">
        <w:rPr>
          <w:rFonts w:ascii="Times New Roman" w:hAnsi="Times New Roman" w:cs="Times New Roman"/>
          <w:sz w:val="24"/>
          <w:szCs w:val="24"/>
        </w:rPr>
        <w:t>mechanisms to avail t</w:t>
      </w:r>
      <w:r w:rsidR="008659F4">
        <w:rPr>
          <w:rFonts w:ascii="Times New Roman" w:hAnsi="Times New Roman" w:cs="Times New Roman"/>
          <w:sz w:val="24"/>
          <w:szCs w:val="24"/>
        </w:rPr>
        <w:t>h</w:t>
      </w:r>
      <w:r w:rsidR="00583FFC">
        <w:rPr>
          <w:rFonts w:ascii="Times New Roman" w:hAnsi="Times New Roman" w:cs="Times New Roman"/>
          <w:sz w:val="24"/>
          <w:szCs w:val="24"/>
        </w:rPr>
        <w:t>is information to the public to scrutinise.</w:t>
      </w:r>
      <w:r w:rsidR="00B86B88">
        <w:rPr>
          <w:rFonts w:ascii="Times New Roman" w:hAnsi="Times New Roman" w:cs="Times New Roman"/>
          <w:sz w:val="24"/>
          <w:szCs w:val="24"/>
        </w:rPr>
        <w:t xml:space="preserve"> </w:t>
      </w:r>
      <w:r w:rsidR="008659F4">
        <w:rPr>
          <w:rFonts w:ascii="Times New Roman" w:hAnsi="Times New Roman" w:cs="Times New Roman"/>
          <w:sz w:val="24"/>
          <w:szCs w:val="24"/>
        </w:rPr>
        <w:t xml:space="preserve">This can be achieved through publishing information on political </w:t>
      </w:r>
      <w:r w:rsidR="00506CFD">
        <w:rPr>
          <w:rFonts w:ascii="Times New Roman" w:hAnsi="Times New Roman" w:cs="Times New Roman"/>
          <w:sz w:val="24"/>
          <w:szCs w:val="24"/>
        </w:rPr>
        <w:t xml:space="preserve">finance in a </w:t>
      </w:r>
      <w:r w:rsidR="005233C7">
        <w:rPr>
          <w:rFonts w:ascii="Times New Roman" w:hAnsi="Times New Roman" w:cs="Times New Roman"/>
          <w:sz w:val="24"/>
          <w:szCs w:val="24"/>
        </w:rPr>
        <w:t xml:space="preserve">timely, reliable, </w:t>
      </w:r>
      <w:proofErr w:type="gramStart"/>
      <w:r w:rsidR="005233C7">
        <w:rPr>
          <w:rFonts w:ascii="Times New Roman" w:hAnsi="Times New Roman" w:cs="Times New Roman"/>
          <w:sz w:val="24"/>
          <w:szCs w:val="24"/>
        </w:rPr>
        <w:t>accessible</w:t>
      </w:r>
      <w:proofErr w:type="gramEnd"/>
      <w:r w:rsidR="005233C7">
        <w:rPr>
          <w:rFonts w:ascii="Times New Roman" w:hAnsi="Times New Roman" w:cs="Times New Roman"/>
          <w:sz w:val="24"/>
          <w:szCs w:val="24"/>
        </w:rPr>
        <w:t xml:space="preserve"> and intelligible format</w:t>
      </w:r>
      <w:r w:rsidR="00506CFD">
        <w:rPr>
          <w:rFonts w:ascii="Times New Roman" w:hAnsi="Times New Roman" w:cs="Times New Roman"/>
          <w:sz w:val="24"/>
          <w:szCs w:val="24"/>
        </w:rPr>
        <w:t>. This information should be published on a website</w:t>
      </w:r>
      <w:r w:rsidR="00E45394">
        <w:rPr>
          <w:rFonts w:ascii="Times New Roman" w:hAnsi="Times New Roman" w:cs="Times New Roman"/>
          <w:sz w:val="24"/>
          <w:szCs w:val="24"/>
        </w:rPr>
        <w:t>.</w:t>
      </w:r>
      <w:r w:rsidR="00506CFD">
        <w:rPr>
          <w:rFonts w:ascii="Times New Roman" w:hAnsi="Times New Roman" w:cs="Times New Roman"/>
          <w:sz w:val="24"/>
          <w:szCs w:val="24"/>
        </w:rPr>
        <w:t xml:space="preserve"> </w:t>
      </w:r>
      <w:r w:rsidR="00B86B88">
        <w:rPr>
          <w:rFonts w:ascii="Times New Roman" w:hAnsi="Times New Roman" w:cs="Times New Roman"/>
          <w:sz w:val="24"/>
          <w:szCs w:val="24"/>
        </w:rPr>
        <w:t xml:space="preserve">Also, I propose an area of further research </w:t>
      </w:r>
      <w:r w:rsidR="004958F2">
        <w:rPr>
          <w:rFonts w:ascii="Times New Roman" w:hAnsi="Times New Roman" w:cs="Times New Roman"/>
          <w:sz w:val="24"/>
          <w:szCs w:val="24"/>
        </w:rPr>
        <w:t xml:space="preserve">on methods of preventing politicians from </w:t>
      </w:r>
      <w:r w:rsidR="00713B1E">
        <w:rPr>
          <w:rFonts w:ascii="Times New Roman" w:hAnsi="Times New Roman" w:cs="Times New Roman"/>
          <w:sz w:val="24"/>
          <w:szCs w:val="24"/>
        </w:rPr>
        <w:t xml:space="preserve">undermining election campaign financing regulation through suspension of </w:t>
      </w:r>
      <w:r w:rsidR="00BC49AD">
        <w:rPr>
          <w:rFonts w:ascii="Times New Roman" w:hAnsi="Times New Roman" w:cs="Times New Roman"/>
          <w:sz w:val="24"/>
          <w:szCs w:val="24"/>
        </w:rPr>
        <w:t>existing law</w:t>
      </w:r>
      <w:r w:rsidR="001A101D">
        <w:rPr>
          <w:rFonts w:ascii="Times New Roman" w:hAnsi="Times New Roman" w:cs="Times New Roman"/>
          <w:sz w:val="24"/>
          <w:szCs w:val="24"/>
        </w:rPr>
        <w:t>.</w:t>
      </w:r>
      <w:bookmarkEnd w:id="1"/>
    </w:p>
    <w:p w14:paraId="7C92DD62" w14:textId="77777777" w:rsidR="00806E70" w:rsidRPr="00806E70" w:rsidRDefault="00806E70" w:rsidP="00806E70">
      <w:pPr>
        <w:spacing w:line="360" w:lineRule="auto"/>
        <w:jc w:val="both"/>
        <w:rPr>
          <w:rFonts w:ascii="Times New Roman" w:hAnsi="Times New Roman" w:cs="Times New Roman"/>
          <w:sz w:val="24"/>
          <w:szCs w:val="24"/>
        </w:rPr>
      </w:pPr>
    </w:p>
    <w:sectPr w:rsidR="00806E70" w:rsidRPr="00806E70" w:rsidSect="00191FFF">
      <w:type w:val="continuous"/>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44DC81" w14:textId="77777777" w:rsidR="0020655F" w:rsidRDefault="0020655F" w:rsidP="00DB027A">
      <w:pPr>
        <w:spacing w:after="0" w:line="240" w:lineRule="auto"/>
      </w:pPr>
      <w:r>
        <w:separator/>
      </w:r>
    </w:p>
  </w:endnote>
  <w:endnote w:type="continuationSeparator" w:id="0">
    <w:p w14:paraId="0A035C38" w14:textId="77777777" w:rsidR="0020655F" w:rsidRDefault="0020655F" w:rsidP="00DB027A">
      <w:pPr>
        <w:spacing w:after="0" w:line="240" w:lineRule="auto"/>
      </w:pPr>
      <w:r>
        <w:continuationSeparator/>
      </w:r>
    </w:p>
  </w:endnote>
  <w:endnote w:type="continuationNotice" w:id="1">
    <w:p w14:paraId="0D19F49F" w14:textId="77777777" w:rsidR="0020655F" w:rsidRDefault="002065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2224410"/>
      <w:docPartObj>
        <w:docPartGallery w:val="Page Numbers (Bottom of Page)"/>
        <w:docPartUnique/>
      </w:docPartObj>
    </w:sdtPr>
    <w:sdtEndPr>
      <w:rPr>
        <w:noProof/>
      </w:rPr>
    </w:sdtEndPr>
    <w:sdtContent>
      <w:p w14:paraId="362AC9DF" w14:textId="330A9E0C" w:rsidR="007E3AFF" w:rsidRDefault="007E3AFF">
        <w:pPr>
          <w:pStyle w:val="Footer"/>
          <w:jc w:val="center"/>
        </w:pPr>
        <w:r>
          <w:fldChar w:fldCharType="begin"/>
        </w:r>
        <w:r>
          <w:instrText xml:space="preserve"> PAGE   \* MERGEFORMAT </w:instrText>
        </w:r>
        <w:r>
          <w:fldChar w:fldCharType="separate"/>
        </w:r>
        <w:r>
          <w:rPr>
            <w:noProof/>
          </w:rPr>
          <w:t>12</w:t>
        </w:r>
        <w:r>
          <w:rPr>
            <w:noProof/>
          </w:rPr>
          <w:fldChar w:fldCharType="end"/>
        </w:r>
      </w:p>
    </w:sdtContent>
  </w:sdt>
  <w:p w14:paraId="64BDEDD0" w14:textId="77777777" w:rsidR="007E3AFF" w:rsidRDefault="007E3AF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4523474"/>
      <w:docPartObj>
        <w:docPartGallery w:val="Page Numbers (Bottom of Page)"/>
        <w:docPartUnique/>
      </w:docPartObj>
    </w:sdtPr>
    <w:sdtEndPr>
      <w:rPr>
        <w:noProof/>
      </w:rPr>
    </w:sdtEndPr>
    <w:sdtContent>
      <w:p w14:paraId="1E529F5C" w14:textId="34CD0ED0" w:rsidR="007E3AFF" w:rsidRDefault="007E3AFF">
        <w:pPr>
          <w:pStyle w:val="Footer"/>
          <w:jc w:val="center"/>
        </w:pPr>
        <w:r>
          <w:fldChar w:fldCharType="begin"/>
        </w:r>
        <w:r>
          <w:instrText xml:space="preserve"> PAGE   \* MERGEFORMAT </w:instrText>
        </w:r>
        <w:r>
          <w:fldChar w:fldCharType="separate"/>
        </w:r>
        <w:r>
          <w:rPr>
            <w:noProof/>
          </w:rPr>
          <w:t xml:space="preserve"> </w:t>
        </w:r>
        <w:r>
          <w:rPr>
            <w:noProof/>
          </w:rPr>
          <w:fldChar w:fldCharType="end"/>
        </w:r>
      </w:p>
    </w:sdtContent>
  </w:sdt>
  <w:p w14:paraId="67E6DA53" w14:textId="77777777" w:rsidR="007E3AFF" w:rsidRDefault="007E3A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00DC14" w14:textId="77777777" w:rsidR="0020655F" w:rsidRDefault="0020655F" w:rsidP="00DB027A">
      <w:pPr>
        <w:spacing w:after="0" w:line="240" w:lineRule="auto"/>
      </w:pPr>
      <w:r>
        <w:separator/>
      </w:r>
    </w:p>
  </w:footnote>
  <w:footnote w:type="continuationSeparator" w:id="0">
    <w:p w14:paraId="2BB1AA8C" w14:textId="77777777" w:rsidR="0020655F" w:rsidRDefault="0020655F" w:rsidP="00DB027A">
      <w:pPr>
        <w:spacing w:after="0" w:line="240" w:lineRule="auto"/>
      </w:pPr>
      <w:r>
        <w:continuationSeparator/>
      </w:r>
    </w:p>
  </w:footnote>
  <w:footnote w:type="continuationNotice" w:id="1">
    <w:p w14:paraId="46E510FF" w14:textId="77777777" w:rsidR="0020655F" w:rsidRDefault="0020655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642EB"/>
    <w:multiLevelType w:val="hybridMultilevel"/>
    <w:tmpl w:val="E73CA0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602E9"/>
    <w:multiLevelType w:val="hybridMultilevel"/>
    <w:tmpl w:val="C1F454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1E5AA5"/>
    <w:multiLevelType w:val="multilevel"/>
    <w:tmpl w:val="8ACA04A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0302A51"/>
    <w:multiLevelType w:val="hybridMultilevel"/>
    <w:tmpl w:val="E79E275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0A0980"/>
    <w:multiLevelType w:val="hybridMultilevel"/>
    <w:tmpl w:val="9266B9DC"/>
    <w:lvl w:ilvl="0" w:tplc="C82E42BE">
      <w:start w:val="1"/>
      <w:numFmt w:val="decimal"/>
      <w:lvlText w:val="%1)"/>
      <w:lvlJc w:val="left"/>
      <w:pPr>
        <w:ind w:left="720" w:hanging="360"/>
      </w:pPr>
    </w:lvl>
    <w:lvl w:ilvl="1" w:tplc="091A893E">
      <w:start w:val="1"/>
      <w:numFmt w:val="lowerLetter"/>
      <w:lvlText w:val="%2."/>
      <w:lvlJc w:val="left"/>
      <w:pPr>
        <w:ind w:left="1440" w:hanging="360"/>
      </w:pPr>
    </w:lvl>
    <w:lvl w:ilvl="2" w:tplc="7CDA1FFE">
      <w:start w:val="1"/>
      <w:numFmt w:val="lowerRoman"/>
      <w:lvlText w:val="%3."/>
      <w:lvlJc w:val="right"/>
      <w:pPr>
        <w:ind w:left="2160" w:hanging="180"/>
      </w:pPr>
    </w:lvl>
    <w:lvl w:ilvl="3" w:tplc="D8E2063A">
      <w:start w:val="1"/>
      <w:numFmt w:val="decimal"/>
      <w:lvlText w:val="%4."/>
      <w:lvlJc w:val="left"/>
      <w:pPr>
        <w:ind w:left="2880" w:hanging="360"/>
      </w:pPr>
    </w:lvl>
    <w:lvl w:ilvl="4" w:tplc="51AA3DF6">
      <w:start w:val="1"/>
      <w:numFmt w:val="lowerLetter"/>
      <w:lvlText w:val="%5."/>
      <w:lvlJc w:val="left"/>
      <w:pPr>
        <w:ind w:left="3600" w:hanging="360"/>
      </w:pPr>
    </w:lvl>
    <w:lvl w:ilvl="5" w:tplc="61CADAB2">
      <w:start w:val="1"/>
      <w:numFmt w:val="lowerRoman"/>
      <w:lvlText w:val="%6."/>
      <w:lvlJc w:val="right"/>
      <w:pPr>
        <w:ind w:left="4320" w:hanging="180"/>
      </w:pPr>
    </w:lvl>
    <w:lvl w:ilvl="6" w:tplc="6C1CF218">
      <w:start w:val="1"/>
      <w:numFmt w:val="decimal"/>
      <w:lvlText w:val="%7."/>
      <w:lvlJc w:val="left"/>
      <w:pPr>
        <w:ind w:left="5040" w:hanging="360"/>
      </w:pPr>
    </w:lvl>
    <w:lvl w:ilvl="7" w:tplc="212AAE66">
      <w:start w:val="1"/>
      <w:numFmt w:val="lowerLetter"/>
      <w:lvlText w:val="%8."/>
      <w:lvlJc w:val="left"/>
      <w:pPr>
        <w:ind w:left="5760" w:hanging="360"/>
      </w:pPr>
    </w:lvl>
    <w:lvl w:ilvl="8" w:tplc="EFC8803E">
      <w:start w:val="1"/>
      <w:numFmt w:val="lowerRoman"/>
      <w:lvlText w:val="%9."/>
      <w:lvlJc w:val="right"/>
      <w:pPr>
        <w:ind w:left="6480" w:hanging="180"/>
      </w:pPr>
    </w:lvl>
  </w:abstractNum>
  <w:abstractNum w:abstractNumId="5" w15:restartNumberingAfterBreak="0">
    <w:nsid w:val="1F71611D"/>
    <w:multiLevelType w:val="hybridMultilevel"/>
    <w:tmpl w:val="D7B617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30D3A19"/>
    <w:multiLevelType w:val="multilevel"/>
    <w:tmpl w:val="43A21BD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5204ADD"/>
    <w:multiLevelType w:val="hybridMultilevel"/>
    <w:tmpl w:val="86E6986E"/>
    <w:lvl w:ilvl="0" w:tplc="08090011">
      <w:start w:val="1"/>
      <w:numFmt w:val="decimal"/>
      <w:lvlText w:val="%1)"/>
      <w:lvlJc w:val="left"/>
      <w:pPr>
        <w:ind w:left="644" w:hanging="360"/>
      </w:p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8" w15:restartNumberingAfterBreak="0">
    <w:nsid w:val="4E3A3B5C"/>
    <w:multiLevelType w:val="multilevel"/>
    <w:tmpl w:val="4698C63E"/>
    <w:lvl w:ilvl="0">
      <w:start w:val="2"/>
      <w:numFmt w:val="decimal"/>
      <w:lvlText w:val="%1."/>
      <w:lvlJc w:val="left"/>
      <w:pPr>
        <w:ind w:left="360" w:hanging="360"/>
      </w:pPr>
      <w:rPr>
        <w:rFonts w:hint="default"/>
      </w:rPr>
    </w:lvl>
    <w:lvl w:ilvl="1">
      <w:start w:val="1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05C101B"/>
    <w:multiLevelType w:val="hybridMultilevel"/>
    <w:tmpl w:val="4B14CC14"/>
    <w:lvl w:ilvl="0" w:tplc="03122A6E">
      <w:start w:val="1"/>
      <w:numFmt w:val="decimal"/>
      <w:lvlText w:val="%1)"/>
      <w:lvlJc w:val="left"/>
      <w:pPr>
        <w:ind w:left="720" w:hanging="360"/>
      </w:pPr>
      <w:rPr>
        <w:b w:val="0"/>
        <w:bCs/>
      </w:rPr>
    </w:lvl>
    <w:lvl w:ilvl="1" w:tplc="0448BECA">
      <w:start w:val="1"/>
      <w:numFmt w:val="lowerLetter"/>
      <w:lvlText w:val="%2."/>
      <w:lvlJc w:val="left"/>
      <w:pPr>
        <w:ind w:left="1440" w:hanging="360"/>
      </w:pPr>
    </w:lvl>
    <w:lvl w:ilvl="2" w:tplc="EFF05BFC">
      <w:start w:val="1"/>
      <w:numFmt w:val="lowerRoman"/>
      <w:lvlText w:val="%3."/>
      <w:lvlJc w:val="right"/>
      <w:pPr>
        <w:ind w:left="2160" w:hanging="180"/>
      </w:pPr>
    </w:lvl>
    <w:lvl w:ilvl="3" w:tplc="51F456CE">
      <w:start w:val="1"/>
      <w:numFmt w:val="decimal"/>
      <w:lvlText w:val="%4."/>
      <w:lvlJc w:val="left"/>
      <w:pPr>
        <w:ind w:left="2880" w:hanging="360"/>
      </w:pPr>
    </w:lvl>
    <w:lvl w:ilvl="4" w:tplc="91140E52">
      <w:start w:val="1"/>
      <w:numFmt w:val="lowerLetter"/>
      <w:lvlText w:val="%5."/>
      <w:lvlJc w:val="left"/>
      <w:pPr>
        <w:ind w:left="3600" w:hanging="360"/>
      </w:pPr>
    </w:lvl>
    <w:lvl w:ilvl="5" w:tplc="D3D2AD3A">
      <w:start w:val="1"/>
      <w:numFmt w:val="lowerRoman"/>
      <w:lvlText w:val="%6."/>
      <w:lvlJc w:val="right"/>
      <w:pPr>
        <w:ind w:left="4320" w:hanging="180"/>
      </w:pPr>
    </w:lvl>
    <w:lvl w:ilvl="6" w:tplc="1A160EEE">
      <w:start w:val="1"/>
      <w:numFmt w:val="decimal"/>
      <w:lvlText w:val="%7."/>
      <w:lvlJc w:val="left"/>
      <w:pPr>
        <w:ind w:left="5040" w:hanging="360"/>
      </w:pPr>
    </w:lvl>
    <w:lvl w:ilvl="7" w:tplc="3254116E">
      <w:start w:val="1"/>
      <w:numFmt w:val="lowerLetter"/>
      <w:lvlText w:val="%8."/>
      <w:lvlJc w:val="left"/>
      <w:pPr>
        <w:ind w:left="5760" w:hanging="360"/>
      </w:pPr>
    </w:lvl>
    <w:lvl w:ilvl="8" w:tplc="EA38059E">
      <w:start w:val="1"/>
      <w:numFmt w:val="lowerRoman"/>
      <w:lvlText w:val="%9."/>
      <w:lvlJc w:val="right"/>
      <w:pPr>
        <w:ind w:left="6480" w:hanging="180"/>
      </w:pPr>
    </w:lvl>
  </w:abstractNum>
  <w:abstractNum w:abstractNumId="10" w15:restartNumberingAfterBreak="0">
    <w:nsid w:val="57150D8B"/>
    <w:multiLevelType w:val="multilevel"/>
    <w:tmpl w:val="4698C63E"/>
    <w:lvl w:ilvl="0">
      <w:start w:val="2"/>
      <w:numFmt w:val="decimal"/>
      <w:lvlText w:val="%1."/>
      <w:lvlJc w:val="left"/>
      <w:pPr>
        <w:ind w:left="360" w:hanging="360"/>
      </w:pPr>
      <w:rPr>
        <w:rFonts w:hint="default"/>
      </w:rPr>
    </w:lvl>
    <w:lvl w:ilvl="1">
      <w:start w:val="1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D99743B"/>
    <w:multiLevelType w:val="multilevel"/>
    <w:tmpl w:val="4698C63E"/>
    <w:lvl w:ilvl="0">
      <w:start w:val="2"/>
      <w:numFmt w:val="decimal"/>
      <w:lvlText w:val="%1."/>
      <w:lvlJc w:val="left"/>
      <w:pPr>
        <w:ind w:left="360" w:hanging="360"/>
      </w:pPr>
      <w:rPr>
        <w:rFonts w:hint="default"/>
      </w:rPr>
    </w:lvl>
    <w:lvl w:ilvl="1">
      <w:start w:val="1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5CB5658"/>
    <w:multiLevelType w:val="hybridMultilevel"/>
    <w:tmpl w:val="49BAC6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0D15E35"/>
    <w:multiLevelType w:val="multilevel"/>
    <w:tmpl w:val="43A21BD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D8352C6"/>
    <w:multiLevelType w:val="multilevel"/>
    <w:tmpl w:val="4056890A"/>
    <w:lvl w:ilvl="0">
      <w:start w:val="1"/>
      <w:numFmt w:val="decimal"/>
      <w:lvlText w:val="%1."/>
      <w:lvlJc w:val="left"/>
      <w:pPr>
        <w:ind w:left="360" w:hanging="360"/>
      </w:pPr>
    </w:lvl>
    <w:lvl w:ilvl="1">
      <w:start w:val="14"/>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9"/>
  </w:num>
  <w:num w:numId="3">
    <w:abstractNumId w:val="7"/>
  </w:num>
  <w:num w:numId="4">
    <w:abstractNumId w:val="3"/>
  </w:num>
  <w:num w:numId="5">
    <w:abstractNumId w:val="14"/>
  </w:num>
  <w:num w:numId="6">
    <w:abstractNumId w:val="12"/>
  </w:num>
  <w:num w:numId="7">
    <w:abstractNumId w:val="6"/>
  </w:num>
  <w:num w:numId="8">
    <w:abstractNumId w:val="4"/>
  </w:num>
  <w:num w:numId="9">
    <w:abstractNumId w:val="9"/>
  </w:num>
  <w:num w:numId="10">
    <w:abstractNumId w:val="1"/>
  </w:num>
  <w:num w:numId="11">
    <w:abstractNumId w:val="13"/>
  </w:num>
  <w:num w:numId="12">
    <w:abstractNumId w:val="2"/>
  </w:num>
  <w:num w:numId="13">
    <w:abstractNumId w:val="5"/>
  </w:num>
  <w:num w:numId="14">
    <w:abstractNumId w:val="0"/>
  </w:num>
  <w:num w:numId="15">
    <w:abstractNumId w:val="10"/>
  </w:num>
  <w:num w:numId="16">
    <w:abstractNumId w:val="8"/>
  </w:num>
  <w:num w:numId="17">
    <w:abstractNumId w:val="11"/>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1"/>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grammar="clean"/>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TA0MDI0sTS3MDUztrBQ0lEKTi0uzszPAykwrAUA3PU3oywAAAA="/>
  </w:docVars>
  <w:rsids>
    <w:rsidRoot w:val="000B59F8"/>
    <w:rsid w:val="000013BF"/>
    <w:rsid w:val="00001854"/>
    <w:rsid w:val="00001E87"/>
    <w:rsid w:val="0000353F"/>
    <w:rsid w:val="0000449C"/>
    <w:rsid w:val="000057B5"/>
    <w:rsid w:val="00007D27"/>
    <w:rsid w:val="00010CA3"/>
    <w:rsid w:val="0001164A"/>
    <w:rsid w:val="00011B8A"/>
    <w:rsid w:val="00013789"/>
    <w:rsid w:val="000137C8"/>
    <w:rsid w:val="000157A9"/>
    <w:rsid w:val="00015D9C"/>
    <w:rsid w:val="00016E61"/>
    <w:rsid w:val="000172CD"/>
    <w:rsid w:val="0002100C"/>
    <w:rsid w:val="00021EDD"/>
    <w:rsid w:val="00022180"/>
    <w:rsid w:val="0002246F"/>
    <w:rsid w:val="00023EC7"/>
    <w:rsid w:val="00024A20"/>
    <w:rsid w:val="000251C1"/>
    <w:rsid w:val="000251DA"/>
    <w:rsid w:val="00026F37"/>
    <w:rsid w:val="000270F2"/>
    <w:rsid w:val="000279F7"/>
    <w:rsid w:val="00030678"/>
    <w:rsid w:val="000307C9"/>
    <w:rsid w:val="00030B6F"/>
    <w:rsid w:val="000313E1"/>
    <w:rsid w:val="000319D8"/>
    <w:rsid w:val="00032555"/>
    <w:rsid w:val="0003359B"/>
    <w:rsid w:val="00033679"/>
    <w:rsid w:val="00033D4A"/>
    <w:rsid w:val="00034DCA"/>
    <w:rsid w:val="00035975"/>
    <w:rsid w:val="000363E7"/>
    <w:rsid w:val="00036582"/>
    <w:rsid w:val="00036C77"/>
    <w:rsid w:val="00037969"/>
    <w:rsid w:val="000406CD"/>
    <w:rsid w:val="00042305"/>
    <w:rsid w:val="0004533C"/>
    <w:rsid w:val="000465EF"/>
    <w:rsid w:val="00047297"/>
    <w:rsid w:val="00050957"/>
    <w:rsid w:val="00051F0B"/>
    <w:rsid w:val="00051F8B"/>
    <w:rsid w:val="000538D9"/>
    <w:rsid w:val="000538F8"/>
    <w:rsid w:val="00053A65"/>
    <w:rsid w:val="00053F35"/>
    <w:rsid w:val="00054B43"/>
    <w:rsid w:val="00056CF1"/>
    <w:rsid w:val="00057083"/>
    <w:rsid w:val="000572D1"/>
    <w:rsid w:val="0005736D"/>
    <w:rsid w:val="0005777C"/>
    <w:rsid w:val="0006019D"/>
    <w:rsid w:val="00060B9E"/>
    <w:rsid w:val="00061425"/>
    <w:rsid w:val="000618E7"/>
    <w:rsid w:val="00061BE9"/>
    <w:rsid w:val="00061CC4"/>
    <w:rsid w:val="00061D79"/>
    <w:rsid w:val="00061E12"/>
    <w:rsid w:val="00061EF9"/>
    <w:rsid w:val="00063BF9"/>
    <w:rsid w:val="00064035"/>
    <w:rsid w:val="000641CE"/>
    <w:rsid w:val="00067457"/>
    <w:rsid w:val="00070D94"/>
    <w:rsid w:val="00071F36"/>
    <w:rsid w:val="0007203E"/>
    <w:rsid w:val="00072978"/>
    <w:rsid w:val="000744A1"/>
    <w:rsid w:val="00074A3B"/>
    <w:rsid w:val="000761F5"/>
    <w:rsid w:val="00076BAF"/>
    <w:rsid w:val="00076F3C"/>
    <w:rsid w:val="00077B3B"/>
    <w:rsid w:val="000806ED"/>
    <w:rsid w:val="00080D3C"/>
    <w:rsid w:val="000811DE"/>
    <w:rsid w:val="00083125"/>
    <w:rsid w:val="00083E16"/>
    <w:rsid w:val="000841BE"/>
    <w:rsid w:val="00085480"/>
    <w:rsid w:val="00085CF2"/>
    <w:rsid w:val="0008634C"/>
    <w:rsid w:val="00087068"/>
    <w:rsid w:val="000900ED"/>
    <w:rsid w:val="00091FC4"/>
    <w:rsid w:val="0009265E"/>
    <w:rsid w:val="00092766"/>
    <w:rsid w:val="00093194"/>
    <w:rsid w:val="00093802"/>
    <w:rsid w:val="00095951"/>
    <w:rsid w:val="00095EFA"/>
    <w:rsid w:val="00095F8E"/>
    <w:rsid w:val="00096484"/>
    <w:rsid w:val="00096621"/>
    <w:rsid w:val="000968F2"/>
    <w:rsid w:val="00096B54"/>
    <w:rsid w:val="0009746C"/>
    <w:rsid w:val="00097B89"/>
    <w:rsid w:val="000A113D"/>
    <w:rsid w:val="000A1733"/>
    <w:rsid w:val="000A1B9A"/>
    <w:rsid w:val="000A1CE9"/>
    <w:rsid w:val="000A2693"/>
    <w:rsid w:val="000A3361"/>
    <w:rsid w:val="000A3ACC"/>
    <w:rsid w:val="000A3D82"/>
    <w:rsid w:val="000A54FF"/>
    <w:rsid w:val="000A5772"/>
    <w:rsid w:val="000A57E4"/>
    <w:rsid w:val="000A5AF5"/>
    <w:rsid w:val="000A728A"/>
    <w:rsid w:val="000B08FF"/>
    <w:rsid w:val="000B1412"/>
    <w:rsid w:val="000B24FF"/>
    <w:rsid w:val="000B36C4"/>
    <w:rsid w:val="000B45AE"/>
    <w:rsid w:val="000B4831"/>
    <w:rsid w:val="000B59F8"/>
    <w:rsid w:val="000B5FBB"/>
    <w:rsid w:val="000B640D"/>
    <w:rsid w:val="000B658C"/>
    <w:rsid w:val="000C11C1"/>
    <w:rsid w:val="000C1412"/>
    <w:rsid w:val="000C1B19"/>
    <w:rsid w:val="000C2130"/>
    <w:rsid w:val="000C4883"/>
    <w:rsid w:val="000C4A6C"/>
    <w:rsid w:val="000C4ADA"/>
    <w:rsid w:val="000C4BC0"/>
    <w:rsid w:val="000C4F16"/>
    <w:rsid w:val="000C502A"/>
    <w:rsid w:val="000C5493"/>
    <w:rsid w:val="000C6AC3"/>
    <w:rsid w:val="000C6F34"/>
    <w:rsid w:val="000C71FF"/>
    <w:rsid w:val="000C7E0C"/>
    <w:rsid w:val="000C7F57"/>
    <w:rsid w:val="000D037F"/>
    <w:rsid w:val="000D039E"/>
    <w:rsid w:val="000D06FF"/>
    <w:rsid w:val="000D0CEB"/>
    <w:rsid w:val="000D114B"/>
    <w:rsid w:val="000D1BA5"/>
    <w:rsid w:val="000D2B1C"/>
    <w:rsid w:val="000D2D60"/>
    <w:rsid w:val="000D31D4"/>
    <w:rsid w:val="000D4957"/>
    <w:rsid w:val="000D49C5"/>
    <w:rsid w:val="000D5191"/>
    <w:rsid w:val="000D5CAB"/>
    <w:rsid w:val="000D5F7F"/>
    <w:rsid w:val="000D623C"/>
    <w:rsid w:val="000D6EC8"/>
    <w:rsid w:val="000D7746"/>
    <w:rsid w:val="000E0D17"/>
    <w:rsid w:val="000E1E1F"/>
    <w:rsid w:val="000E405D"/>
    <w:rsid w:val="000E50E2"/>
    <w:rsid w:val="000E5D7A"/>
    <w:rsid w:val="000E5E52"/>
    <w:rsid w:val="000E6901"/>
    <w:rsid w:val="000E6982"/>
    <w:rsid w:val="000E78F1"/>
    <w:rsid w:val="000E7C0F"/>
    <w:rsid w:val="000E7E30"/>
    <w:rsid w:val="000F0440"/>
    <w:rsid w:val="000F1B9E"/>
    <w:rsid w:val="000F1FA1"/>
    <w:rsid w:val="000F3DE2"/>
    <w:rsid w:val="000F5D48"/>
    <w:rsid w:val="000F73C0"/>
    <w:rsid w:val="000F799C"/>
    <w:rsid w:val="001052A3"/>
    <w:rsid w:val="0010557F"/>
    <w:rsid w:val="00105E58"/>
    <w:rsid w:val="00105FD2"/>
    <w:rsid w:val="001061A6"/>
    <w:rsid w:val="00106A49"/>
    <w:rsid w:val="00106C51"/>
    <w:rsid w:val="00107561"/>
    <w:rsid w:val="0010783B"/>
    <w:rsid w:val="00107FCC"/>
    <w:rsid w:val="001106E7"/>
    <w:rsid w:val="0011129E"/>
    <w:rsid w:val="00111372"/>
    <w:rsid w:val="00111536"/>
    <w:rsid w:val="00111E3D"/>
    <w:rsid w:val="00112A38"/>
    <w:rsid w:val="001136C1"/>
    <w:rsid w:val="00114292"/>
    <w:rsid w:val="00114913"/>
    <w:rsid w:val="00115423"/>
    <w:rsid w:val="00115BAF"/>
    <w:rsid w:val="001172E6"/>
    <w:rsid w:val="001175FB"/>
    <w:rsid w:val="0011768A"/>
    <w:rsid w:val="00120327"/>
    <w:rsid w:val="0012198B"/>
    <w:rsid w:val="00121B1C"/>
    <w:rsid w:val="00123424"/>
    <w:rsid w:val="001234CB"/>
    <w:rsid w:val="00124124"/>
    <w:rsid w:val="00124977"/>
    <w:rsid w:val="001255A9"/>
    <w:rsid w:val="001271B6"/>
    <w:rsid w:val="0012734E"/>
    <w:rsid w:val="001278E4"/>
    <w:rsid w:val="00127A2F"/>
    <w:rsid w:val="00130EAF"/>
    <w:rsid w:val="00131B88"/>
    <w:rsid w:val="00133CF1"/>
    <w:rsid w:val="00133F2C"/>
    <w:rsid w:val="001341D9"/>
    <w:rsid w:val="00134864"/>
    <w:rsid w:val="00134F4A"/>
    <w:rsid w:val="00137282"/>
    <w:rsid w:val="00137688"/>
    <w:rsid w:val="00137E63"/>
    <w:rsid w:val="001409B5"/>
    <w:rsid w:val="00140C1A"/>
    <w:rsid w:val="00141C9D"/>
    <w:rsid w:val="00142737"/>
    <w:rsid w:val="00143F2F"/>
    <w:rsid w:val="001447EF"/>
    <w:rsid w:val="00144C83"/>
    <w:rsid w:val="00144D5E"/>
    <w:rsid w:val="00145794"/>
    <w:rsid w:val="00145846"/>
    <w:rsid w:val="00145D47"/>
    <w:rsid w:val="00145E8E"/>
    <w:rsid w:val="0014617A"/>
    <w:rsid w:val="001462A4"/>
    <w:rsid w:val="00150BC1"/>
    <w:rsid w:val="001532F9"/>
    <w:rsid w:val="0015449C"/>
    <w:rsid w:val="00154E69"/>
    <w:rsid w:val="00155310"/>
    <w:rsid w:val="001555DC"/>
    <w:rsid w:val="001561A9"/>
    <w:rsid w:val="001567E0"/>
    <w:rsid w:val="00157035"/>
    <w:rsid w:val="00157165"/>
    <w:rsid w:val="001573AA"/>
    <w:rsid w:val="0015753E"/>
    <w:rsid w:val="0016099E"/>
    <w:rsid w:val="00161809"/>
    <w:rsid w:val="00162172"/>
    <w:rsid w:val="001629D7"/>
    <w:rsid w:val="0016320D"/>
    <w:rsid w:val="00163A59"/>
    <w:rsid w:val="00165991"/>
    <w:rsid w:val="00165A42"/>
    <w:rsid w:val="00165D0E"/>
    <w:rsid w:val="00165FDC"/>
    <w:rsid w:val="0016600D"/>
    <w:rsid w:val="0016625C"/>
    <w:rsid w:val="001662BF"/>
    <w:rsid w:val="00166A7A"/>
    <w:rsid w:val="0016721A"/>
    <w:rsid w:val="001712CE"/>
    <w:rsid w:val="0017140A"/>
    <w:rsid w:val="00173E2A"/>
    <w:rsid w:val="0017430C"/>
    <w:rsid w:val="0017432C"/>
    <w:rsid w:val="00174CA0"/>
    <w:rsid w:val="00174D36"/>
    <w:rsid w:val="0017508B"/>
    <w:rsid w:val="00175A14"/>
    <w:rsid w:val="00176351"/>
    <w:rsid w:val="0017636A"/>
    <w:rsid w:val="00177F7E"/>
    <w:rsid w:val="00177FAA"/>
    <w:rsid w:val="0018013A"/>
    <w:rsid w:val="001804A0"/>
    <w:rsid w:val="00180CB0"/>
    <w:rsid w:val="00181AB4"/>
    <w:rsid w:val="001821E8"/>
    <w:rsid w:val="001827DF"/>
    <w:rsid w:val="001829FE"/>
    <w:rsid w:val="00182CC9"/>
    <w:rsid w:val="001830C5"/>
    <w:rsid w:val="001830F0"/>
    <w:rsid w:val="001832B4"/>
    <w:rsid w:val="001842D0"/>
    <w:rsid w:val="0018474E"/>
    <w:rsid w:val="00184B21"/>
    <w:rsid w:val="00187010"/>
    <w:rsid w:val="0018798D"/>
    <w:rsid w:val="00190A91"/>
    <w:rsid w:val="00190E87"/>
    <w:rsid w:val="00190F1F"/>
    <w:rsid w:val="00191384"/>
    <w:rsid w:val="00191FFF"/>
    <w:rsid w:val="0019232B"/>
    <w:rsid w:val="001947B0"/>
    <w:rsid w:val="0019538A"/>
    <w:rsid w:val="00195713"/>
    <w:rsid w:val="00195815"/>
    <w:rsid w:val="001978CF"/>
    <w:rsid w:val="001A101D"/>
    <w:rsid w:val="001A12E0"/>
    <w:rsid w:val="001A1964"/>
    <w:rsid w:val="001A229D"/>
    <w:rsid w:val="001A3372"/>
    <w:rsid w:val="001A569A"/>
    <w:rsid w:val="001A5D11"/>
    <w:rsid w:val="001A6581"/>
    <w:rsid w:val="001A784A"/>
    <w:rsid w:val="001A7B16"/>
    <w:rsid w:val="001A7CC4"/>
    <w:rsid w:val="001A7E66"/>
    <w:rsid w:val="001B019A"/>
    <w:rsid w:val="001B1295"/>
    <w:rsid w:val="001B19D8"/>
    <w:rsid w:val="001B370C"/>
    <w:rsid w:val="001B458E"/>
    <w:rsid w:val="001B46FB"/>
    <w:rsid w:val="001B5133"/>
    <w:rsid w:val="001B5254"/>
    <w:rsid w:val="001B5D91"/>
    <w:rsid w:val="001B6F11"/>
    <w:rsid w:val="001C03D8"/>
    <w:rsid w:val="001C0890"/>
    <w:rsid w:val="001C152C"/>
    <w:rsid w:val="001C1810"/>
    <w:rsid w:val="001C2589"/>
    <w:rsid w:val="001C33A2"/>
    <w:rsid w:val="001C35D0"/>
    <w:rsid w:val="001C4792"/>
    <w:rsid w:val="001C5270"/>
    <w:rsid w:val="001C555D"/>
    <w:rsid w:val="001C5C1E"/>
    <w:rsid w:val="001C61D8"/>
    <w:rsid w:val="001C6387"/>
    <w:rsid w:val="001C6737"/>
    <w:rsid w:val="001C757B"/>
    <w:rsid w:val="001C7730"/>
    <w:rsid w:val="001C77AE"/>
    <w:rsid w:val="001C7BBF"/>
    <w:rsid w:val="001D1B5C"/>
    <w:rsid w:val="001D236C"/>
    <w:rsid w:val="001D23CA"/>
    <w:rsid w:val="001D284E"/>
    <w:rsid w:val="001D3067"/>
    <w:rsid w:val="001D345A"/>
    <w:rsid w:val="001D3C74"/>
    <w:rsid w:val="001D5061"/>
    <w:rsid w:val="001D6D03"/>
    <w:rsid w:val="001D7FE3"/>
    <w:rsid w:val="001E02F3"/>
    <w:rsid w:val="001E13A2"/>
    <w:rsid w:val="001E24D1"/>
    <w:rsid w:val="001E25B3"/>
    <w:rsid w:val="001E2A02"/>
    <w:rsid w:val="001E4C21"/>
    <w:rsid w:val="001E5501"/>
    <w:rsid w:val="001E55D1"/>
    <w:rsid w:val="001E65A4"/>
    <w:rsid w:val="001E6A62"/>
    <w:rsid w:val="001E6E3F"/>
    <w:rsid w:val="001F0063"/>
    <w:rsid w:val="001F0064"/>
    <w:rsid w:val="001F0714"/>
    <w:rsid w:val="001F09D8"/>
    <w:rsid w:val="001F0CFB"/>
    <w:rsid w:val="001F1430"/>
    <w:rsid w:val="001F2ED5"/>
    <w:rsid w:val="001F449C"/>
    <w:rsid w:val="001F4F9C"/>
    <w:rsid w:val="001F589B"/>
    <w:rsid w:val="001F60DD"/>
    <w:rsid w:val="001F6F83"/>
    <w:rsid w:val="00201AA7"/>
    <w:rsid w:val="00202ACD"/>
    <w:rsid w:val="00203534"/>
    <w:rsid w:val="00205643"/>
    <w:rsid w:val="00205DB2"/>
    <w:rsid w:val="00206117"/>
    <w:rsid w:val="00206271"/>
    <w:rsid w:val="00206397"/>
    <w:rsid w:val="0020655F"/>
    <w:rsid w:val="002078FC"/>
    <w:rsid w:val="002104BF"/>
    <w:rsid w:val="002109F3"/>
    <w:rsid w:val="002118BA"/>
    <w:rsid w:val="00212432"/>
    <w:rsid w:val="00212F52"/>
    <w:rsid w:val="0021352C"/>
    <w:rsid w:val="00213540"/>
    <w:rsid w:val="002144E3"/>
    <w:rsid w:val="002150E2"/>
    <w:rsid w:val="00215A9A"/>
    <w:rsid w:val="0021646D"/>
    <w:rsid w:val="002177A7"/>
    <w:rsid w:val="00217960"/>
    <w:rsid w:val="00217F59"/>
    <w:rsid w:val="002210A2"/>
    <w:rsid w:val="00221649"/>
    <w:rsid w:val="00221DA6"/>
    <w:rsid w:val="00222B50"/>
    <w:rsid w:val="00224537"/>
    <w:rsid w:val="00224711"/>
    <w:rsid w:val="00225087"/>
    <w:rsid w:val="002250F8"/>
    <w:rsid w:val="0022578D"/>
    <w:rsid w:val="00225AF6"/>
    <w:rsid w:val="00226586"/>
    <w:rsid w:val="00226649"/>
    <w:rsid w:val="0022664B"/>
    <w:rsid w:val="00226FBD"/>
    <w:rsid w:val="00227340"/>
    <w:rsid w:val="00227509"/>
    <w:rsid w:val="00227633"/>
    <w:rsid w:val="00227688"/>
    <w:rsid w:val="00230683"/>
    <w:rsid w:val="00230DD5"/>
    <w:rsid w:val="002325F2"/>
    <w:rsid w:val="00234A4B"/>
    <w:rsid w:val="00234F91"/>
    <w:rsid w:val="0023731D"/>
    <w:rsid w:val="00237C39"/>
    <w:rsid w:val="00237F25"/>
    <w:rsid w:val="002405E6"/>
    <w:rsid w:val="002417D4"/>
    <w:rsid w:val="00241CF1"/>
    <w:rsid w:val="002434D6"/>
    <w:rsid w:val="0024350A"/>
    <w:rsid w:val="0024388D"/>
    <w:rsid w:val="0024396A"/>
    <w:rsid w:val="002439DE"/>
    <w:rsid w:val="0024461D"/>
    <w:rsid w:val="00244B6F"/>
    <w:rsid w:val="00245A62"/>
    <w:rsid w:val="00245C85"/>
    <w:rsid w:val="002463C5"/>
    <w:rsid w:val="00246B8D"/>
    <w:rsid w:val="00247A7F"/>
    <w:rsid w:val="00251803"/>
    <w:rsid w:val="00252B2E"/>
    <w:rsid w:val="0025333F"/>
    <w:rsid w:val="00254150"/>
    <w:rsid w:val="0025459C"/>
    <w:rsid w:val="0025556C"/>
    <w:rsid w:val="00257E8C"/>
    <w:rsid w:val="002612B5"/>
    <w:rsid w:val="002614F2"/>
    <w:rsid w:val="00261CFB"/>
    <w:rsid w:val="00265492"/>
    <w:rsid w:val="00265B0F"/>
    <w:rsid w:val="00267175"/>
    <w:rsid w:val="0027119C"/>
    <w:rsid w:val="00271608"/>
    <w:rsid w:val="00271C5D"/>
    <w:rsid w:val="00271E65"/>
    <w:rsid w:val="0027292E"/>
    <w:rsid w:val="0027320C"/>
    <w:rsid w:val="00273858"/>
    <w:rsid w:val="00273A31"/>
    <w:rsid w:val="002776B4"/>
    <w:rsid w:val="00277746"/>
    <w:rsid w:val="002778CB"/>
    <w:rsid w:val="002779C2"/>
    <w:rsid w:val="002800B3"/>
    <w:rsid w:val="0028127C"/>
    <w:rsid w:val="002812DE"/>
    <w:rsid w:val="002816D3"/>
    <w:rsid w:val="00281E47"/>
    <w:rsid w:val="0028268A"/>
    <w:rsid w:val="0028287C"/>
    <w:rsid w:val="00283963"/>
    <w:rsid w:val="00283E84"/>
    <w:rsid w:val="00284571"/>
    <w:rsid w:val="00284FBD"/>
    <w:rsid w:val="00285021"/>
    <w:rsid w:val="00285338"/>
    <w:rsid w:val="00287A28"/>
    <w:rsid w:val="00291C8D"/>
    <w:rsid w:val="00291DBF"/>
    <w:rsid w:val="002927AB"/>
    <w:rsid w:val="00292C46"/>
    <w:rsid w:val="00293572"/>
    <w:rsid w:val="00293DC1"/>
    <w:rsid w:val="00294465"/>
    <w:rsid w:val="0029529B"/>
    <w:rsid w:val="00295A56"/>
    <w:rsid w:val="00297E10"/>
    <w:rsid w:val="00297E73"/>
    <w:rsid w:val="002A0308"/>
    <w:rsid w:val="002A0D90"/>
    <w:rsid w:val="002A2694"/>
    <w:rsid w:val="002A2A72"/>
    <w:rsid w:val="002A32D3"/>
    <w:rsid w:val="002A3C21"/>
    <w:rsid w:val="002A3C54"/>
    <w:rsid w:val="002A47FA"/>
    <w:rsid w:val="002A4E7D"/>
    <w:rsid w:val="002A4FBA"/>
    <w:rsid w:val="002A52D4"/>
    <w:rsid w:val="002A6668"/>
    <w:rsid w:val="002A6DA5"/>
    <w:rsid w:val="002A6FCD"/>
    <w:rsid w:val="002A7383"/>
    <w:rsid w:val="002A775F"/>
    <w:rsid w:val="002A7939"/>
    <w:rsid w:val="002B0CAB"/>
    <w:rsid w:val="002B137A"/>
    <w:rsid w:val="002B1941"/>
    <w:rsid w:val="002B1B63"/>
    <w:rsid w:val="002B1E27"/>
    <w:rsid w:val="002B289E"/>
    <w:rsid w:val="002B33BD"/>
    <w:rsid w:val="002B3B14"/>
    <w:rsid w:val="002B3C06"/>
    <w:rsid w:val="002B404F"/>
    <w:rsid w:val="002B4540"/>
    <w:rsid w:val="002B5239"/>
    <w:rsid w:val="002B5D45"/>
    <w:rsid w:val="002B6C62"/>
    <w:rsid w:val="002C04D3"/>
    <w:rsid w:val="002C2210"/>
    <w:rsid w:val="002C2728"/>
    <w:rsid w:val="002C279F"/>
    <w:rsid w:val="002C2B26"/>
    <w:rsid w:val="002C3614"/>
    <w:rsid w:val="002C63F4"/>
    <w:rsid w:val="002C64F0"/>
    <w:rsid w:val="002C65C3"/>
    <w:rsid w:val="002C6C18"/>
    <w:rsid w:val="002C6E62"/>
    <w:rsid w:val="002C7B31"/>
    <w:rsid w:val="002D0473"/>
    <w:rsid w:val="002D05D4"/>
    <w:rsid w:val="002D0BED"/>
    <w:rsid w:val="002D0F55"/>
    <w:rsid w:val="002D1509"/>
    <w:rsid w:val="002D18B4"/>
    <w:rsid w:val="002D1C06"/>
    <w:rsid w:val="002D1F47"/>
    <w:rsid w:val="002D2537"/>
    <w:rsid w:val="002D25D3"/>
    <w:rsid w:val="002D3AC3"/>
    <w:rsid w:val="002D4596"/>
    <w:rsid w:val="002D4993"/>
    <w:rsid w:val="002D5C0D"/>
    <w:rsid w:val="002D63CD"/>
    <w:rsid w:val="002D7F68"/>
    <w:rsid w:val="002E0580"/>
    <w:rsid w:val="002E0996"/>
    <w:rsid w:val="002E106B"/>
    <w:rsid w:val="002E2494"/>
    <w:rsid w:val="002E2799"/>
    <w:rsid w:val="002E2B72"/>
    <w:rsid w:val="002E2BB5"/>
    <w:rsid w:val="002E2EF2"/>
    <w:rsid w:val="002E39B0"/>
    <w:rsid w:val="002E54C5"/>
    <w:rsid w:val="002E55DC"/>
    <w:rsid w:val="002E5F4A"/>
    <w:rsid w:val="002E62A1"/>
    <w:rsid w:val="002E7848"/>
    <w:rsid w:val="002F01A9"/>
    <w:rsid w:val="002F1635"/>
    <w:rsid w:val="002F1E7C"/>
    <w:rsid w:val="002F2083"/>
    <w:rsid w:val="002F3A55"/>
    <w:rsid w:val="002F3D21"/>
    <w:rsid w:val="002F3F05"/>
    <w:rsid w:val="002F426E"/>
    <w:rsid w:val="002F594D"/>
    <w:rsid w:val="002F6B53"/>
    <w:rsid w:val="002F6CAC"/>
    <w:rsid w:val="002F723A"/>
    <w:rsid w:val="002F751E"/>
    <w:rsid w:val="002F7D69"/>
    <w:rsid w:val="003005D3"/>
    <w:rsid w:val="00300738"/>
    <w:rsid w:val="00302D28"/>
    <w:rsid w:val="00303199"/>
    <w:rsid w:val="00304D13"/>
    <w:rsid w:val="003069DC"/>
    <w:rsid w:val="00306FFA"/>
    <w:rsid w:val="00310413"/>
    <w:rsid w:val="003109E1"/>
    <w:rsid w:val="00310B76"/>
    <w:rsid w:val="00310D85"/>
    <w:rsid w:val="00311585"/>
    <w:rsid w:val="003117EE"/>
    <w:rsid w:val="00311B41"/>
    <w:rsid w:val="00311BE5"/>
    <w:rsid w:val="00312306"/>
    <w:rsid w:val="00312415"/>
    <w:rsid w:val="0031299D"/>
    <w:rsid w:val="0031368B"/>
    <w:rsid w:val="003147E6"/>
    <w:rsid w:val="00314B4B"/>
    <w:rsid w:val="00314BCB"/>
    <w:rsid w:val="003153CA"/>
    <w:rsid w:val="00315788"/>
    <w:rsid w:val="003164D2"/>
    <w:rsid w:val="00316CB0"/>
    <w:rsid w:val="00316D1A"/>
    <w:rsid w:val="00316EA7"/>
    <w:rsid w:val="00321A94"/>
    <w:rsid w:val="00321F63"/>
    <w:rsid w:val="00322390"/>
    <w:rsid w:val="0032381D"/>
    <w:rsid w:val="0032394B"/>
    <w:rsid w:val="00323A1D"/>
    <w:rsid w:val="00325B7A"/>
    <w:rsid w:val="00326D13"/>
    <w:rsid w:val="0032794B"/>
    <w:rsid w:val="0033104A"/>
    <w:rsid w:val="003310C9"/>
    <w:rsid w:val="003325C4"/>
    <w:rsid w:val="00332CD9"/>
    <w:rsid w:val="00332E3E"/>
    <w:rsid w:val="00333424"/>
    <w:rsid w:val="00333A98"/>
    <w:rsid w:val="00333AA2"/>
    <w:rsid w:val="00333C2E"/>
    <w:rsid w:val="00336003"/>
    <w:rsid w:val="003363CC"/>
    <w:rsid w:val="0033706D"/>
    <w:rsid w:val="00337399"/>
    <w:rsid w:val="0034018C"/>
    <w:rsid w:val="003401FB"/>
    <w:rsid w:val="003404D9"/>
    <w:rsid w:val="0034252A"/>
    <w:rsid w:val="00342F65"/>
    <w:rsid w:val="00344376"/>
    <w:rsid w:val="0034469D"/>
    <w:rsid w:val="003447AC"/>
    <w:rsid w:val="00344854"/>
    <w:rsid w:val="0034492F"/>
    <w:rsid w:val="003453A6"/>
    <w:rsid w:val="00345B9E"/>
    <w:rsid w:val="00345E78"/>
    <w:rsid w:val="00346236"/>
    <w:rsid w:val="0034639F"/>
    <w:rsid w:val="003473A3"/>
    <w:rsid w:val="0034745C"/>
    <w:rsid w:val="003475F6"/>
    <w:rsid w:val="00350080"/>
    <w:rsid w:val="0035036A"/>
    <w:rsid w:val="003513D0"/>
    <w:rsid w:val="00351EA8"/>
    <w:rsid w:val="00354314"/>
    <w:rsid w:val="003547AE"/>
    <w:rsid w:val="00354C5C"/>
    <w:rsid w:val="00357022"/>
    <w:rsid w:val="00360799"/>
    <w:rsid w:val="003608DD"/>
    <w:rsid w:val="00360E4F"/>
    <w:rsid w:val="0036130D"/>
    <w:rsid w:val="00363D31"/>
    <w:rsid w:val="003651E1"/>
    <w:rsid w:val="00365961"/>
    <w:rsid w:val="00371057"/>
    <w:rsid w:val="00371A75"/>
    <w:rsid w:val="003725FD"/>
    <w:rsid w:val="00372F2C"/>
    <w:rsid w:val="00373F83"/>
    <w:rsid w:val="00374119"/>
    <w:rsid w:val="00374972"/>
    <w:rsid w:val="003749C0"/>
    <w:rsid w:val="00374B1C"/>
    <w:rsid w:val="00374B3E"/>
    <w:rsid w:val="00375C97"/>
    <w:rsid w:val="003760A4"/>
    <w:rsid w:val="00376601"/>
    <w:rsid w:val="00377024"/>
    <w:rsid w:val="003770D3"/>
    <w:rsid w:val="00377952"/>
    <w:rsid w:val="00377AAF"/>
    <w:rsid w:val="0038006E"/>
    <w:rsid w:val="003803C8"/>
    <w:rsid w:val="00380544"/>
    <w:rsid w:val="003807B6"/>
    <w:rsid w:val="00381906"/>
    <w:rsid w:val="0038210D"/>
    <w:rsid w:val="003834C5"/>
    <w:rsid w:val="00383970"/>
    <w:rsid w:val="00383D2C"/>
    <w:rsid w:val="00384BF3"/>
    <w:rsid w:val="00384DF9"/>
    <w:rsid w:val="00385297"/>
    <w:rsid w:val="003865AB"/>
    <w:rsid w:val="00387C22"/>
    <w:rsid w:val="003912EA"/>
    <w:rsid w:val="003918B9"/>
    <w:rsid w:val="00391CC4"/>
    <w:rsid w:val="00391FAE"/>
    <w:rsid w:val="0039249F"/>
    <w:rsid w:val="00392AC6"/>
    <w:rsid w:val="00392D39"/>
    <w:rsid w:val="00393BEB"/>
    <w:rsid w:val="00393D06"/>
    <w:rsid w:val="003962AE"/>
    <w:rsid w:val="00396DF6"/>
    <w:rsid w:val="00396F7A"/>
    <w:rsid w:val="003974A8"/>
    <w:rsid w:val="00397F27"/>
    <w:rsid w:val="003A0B69"/>
    <w:rsid w:val="003A0DA3"/>
    <w:rsid w:val="003A1115"/>
    <w:rsid w:val="003A19BD"/>
    <w:rsid w:val="003A4ACC"/>
    <w:rsid w:val="003A4D7B"/>
    <w:rsid w:val="003A516E"/>
    <w:rsid w:val="003A707F"/>
    <w:rsid w:val="003A712A"/>
    <w:rsid w:val="003A7A24"/>
    <w:rsid w:val="003A7EFB"/>
    <w:rsid w:val="003A7F8C"/>
    <w:rsid w:val="003B00F6"/>
    <w:rsid w:val="003B144A"/>
    <w:rsid w:val="003B19D6"/>
    <w:rsid w:val="003B2DB3"/>
    <w:rsid w:val="003B3887"/>
    <w:rsid w:val="003B3DE3"/>
    <w:rsid w:val="003B44A0"/>
    <w:rsid w:val="003B4C73"/>
    <w:rsid w:val="003B4EF2"/>
    <w:rsid w:val="003B5397"/>
    <w:rsid w:val="003B5461"/>
    <w:rsid w:val="003B5E87"/>
    <w:rsid w:val="003B60CB"/>
    <w:rsid w:val="003B675B"/>
    <w:rsid w:val="003B726F"/>
    <w:rsid w:val="003C0187"/>
    <w:rsid w:val="003C083D"/>
    <w:rsid w:val="003C0B76"/>
    <w:rsid w:val="003C0FCE"/>
    <w:rsid w:val="003C0FE1"/>
    <w:rsid w:val="003C1824"/>
    <w:rsid w:val="003C1A59"/>
    <w:rsid w:val="003C3013"/>
    <w:rsid w:val="003C3BED"/>
    <w:rsid w:val="003C44A6"/>
    <w:rsid w:val="003C7A0C"/>
    <w:rsid w:val="003D1518"/>
    <w:rsid w:val="003D35F4"/>
    <w:rsid w:val="003D36D5"/>
    <w:rsid w:val="003D46DD"/>
    <w:rsid w:val="003D4C58"/>
    <w:rsid w:val="003D553A"/>
    <w:rsid w:val="003D5DD6"/>
    <w:rsid w:val="003D5E54"/>
    <w:rsid w:val="003D5FB1"/>
    <w:rsid w:val="003D62B0"/>
    <w:rsid w:val="003D63C4"/>
    <w:rsid w:val="003D6855"/>
    <w:rsid w:val="003D6FE3"/>
    <w:rsid w:val="003D7785"/>
    <w:rsid w:val="003D78BC"/>
    <w:rsid w:val="003D7974"/>
    <w:rsid w:val="003E0125"/>
    <w:rsid w:val="003E1853"/>
    <w:rsid w:val="003E18D0"/>
    <w:rsid w:val="003E1E1F"/>
    <w:rsid w:val="003E3AB3"/>
    <w:rsid w:val="003E4842"/>
    <w:rsid w:val="003E569E"/>
    <w:rsid w:val="003E5F5A"/>
    <w:rsid w:val="003E7F71"/>
    <w:rsid w:val="003E7F7E"/>
    <w:rsid w:val="003F05C0"/>
    <w:rsid w:val="003F09A9"/>
    <w:rsid w:val="003F1B83"/>
    <w:rsid w:val="003F1BF8"/>
    <w:rsid w:val="003F22AA"/>
    <w:rsid w:val="003F34E5"/>
    <w:rsid w:val="003F430D"/>
    <w:rsid w:val="003F4F48"/>
    <w:rsid w:val="003F518D"/>
    <w:rsid w:val="003F59A0"/>
    <w:rsid w:val="003F5C47"/>
    <w:rsid w:val="003F61BC"/>
    <w:rsid w:val="003F671F"/>
    <w:rsid w:val="003F70CA"/>
    <w:rsid w:val="004002FB"/>
    <w:rsid w:val="00400395"/>
    <w:rsid w:val="004008AC"/>
    <w:rsid w:val="0040176B"/>
    <w:rsid w:val="00401934"/>
    <w:rsid w:val="00401A88"/>
    <w:rsid w:val="004026F6"/>
    <w:rsid w:val="00402E74"/>
    <w:rsid w:val="0040342B"/>
    <w:rsid w:val="004038A0"/>
    <w:rsid w:val="004038E4"/>
    <w:rsid w:val="00405AFB"/>
    <w:rsid w:val="00406533"/>
    <w:rsid w:val="00407316"/>
    <w:rsid w:val="00407B17"/>
    <w:rsid w:val="004117CD"/>
    <w:rsid w:val="004133CF"/>
    <w:rsid w:val="00413F4D"/>
    <w:rsid w:val="00413F83"/>
    <w:rsid w:val="00414384"/>
    <w:rsid w:val="004149D4"/>
    <w:rsid w:val="004167B9"/>
    <w:rsid w:val="00416E1B"/>
    <w:rsid w:val="004175C5"/>
    <w:rsid w:val="0042006F"/>
    <w:rsid w:val="00420A5E"/>
    <w:rsid w:val="00421297"/>
    <w:rsid w:val="0042140A"/>
    <w:rsid w:val="00422293"/>
    <w:rsid w:val="0042374D"/>
    <w:rsid w:val="00423916"/>
    <w:rsid w:val="00423930"/>
    <w:rsid w:val="00424651"/>
    <w:rsid w:val="004248B7"/>
    <w:rsid w:val="00424D77"/>
    <w:rsid w:val="004261CB"/>
    <w:rsid w:val="004262E5"/>
    <w:rsid w:val="00426435"/>
    <w:rsid w:val="004265A3"/>
    <w:rsid w:val="00427D3E"/>
    <w:rsid w:val="00427E59"/>
    <w:rsid w:val="00430007"/>
    <w:rsid w:val="004300AC"/>
    <w:rsid w:val="00430AAF"/>
    <w:rsid w:val="004311C2"/>
    <w:rsid w:val="00431723"/>
    <w:rsid w:val="004322AD"/>
    <w:rsid w:val="0043330C"/>
    <w:rsid w:val="0043331B"/>
    <w:rsid w:val="00434B3C"/>
    <w:rsid w:val="00435041"/>
    <w:rsid w:val="00435312"/>
    <w:rsid w:val="00436C9D"/>
    <w:rsid w:val="0043705F"/>
    <w:rsid w:val="00437222"/>
    <w:rsid w:val="004374D4"/>
    <w:rsid w:val="004375FA"/>
    <w:rsid w:val="00437AAF"/>
    <w:rsid w:val="00440CEF"/>
    <w:rsid w:val="004410E9"/>
    <w:rsid w:val="00443185"/>
    <w:rsid w:val="00447F38"/>
    <w:rsid w:val="0045091A"/>
    <w:rsid w:val="00451267"/>
    <w:rsid w:val="00451843"/>
    <w:rsid w:val="00451A4B"/>
    <w:rsid w:val="00451D7A"/>
    <w:rsid w:val="004521BF"/>
    <w:rsid w:val="0045245B"/>
    <w:rsid w:val="00452861"/>
    <w:rsid w:val="00452C1D"/>
    <w:rsid w:val="00453DC0"/>
    <w:rsid w:val="00453F3B"/>
    <w:rsid w:val="00453F48"/>
    <w:rsid w:val="004547F9"/>
    <w:rsid w:val="00454EB5"/>
    <w:rsid w:val="00455A19"/>
    <w:rsid w:val="0045618A"/>
    <w:rsid w:val="004572C0"/>
    <w:rsid w:val="00457383"/>
    <w:rsid w:val="00457A81"/>
    <w:rsid w:val="00460166"/>
    <w:rsid w:val="00461834"/>
    <w:rsid w:val="00461D29"/>
    <w:rsid w:val="004625A6"/>
    <w:rsid w:val="004625B1"/>
    <w:rsid w:val="0046278D"/>
    <w:rsid w:val="00462FF6"/>
    <w:rsid w:val="00463162"/>
    <w:rsid w:val="00463A80"/>
    <w:rsid w:val="00463D9A"/>
    <w:rsid w:val="0046648B"/>
    <w:rsid w:val="00471412"/>
    <w:rsid w:val="004716CE"/>
    <w:rsid w:val="00472164"/>
    <w:rsid w:val="004721A9"/>
    <w:rsid w:val="0047406E"/>
    <w:rsid w:val="004750BB"/>
    <w:rsid w:val="00475649"/>
    <w:rsid w:val="0047592F"/>
    <w:rsid w:val="0047594A"/>
    <w:rsid w:val="0047644A"/>
    <w:rsid w:val="00476C7F"/>
    <w:rsid w:val="00476E32"/>
    <w:rsid w:val="004801D2"/>
    <w:rsid w:val="004814CD"/>
    <w:rsid w:val="004819E8"/>
    <w:rsid w:val="004828C4"/>
    <w:rsid w:val="004846BF"/>
    <w:rsid w:val="00484A4C"/>
    <w:rsid w:val="004852F4"/>
    <w:rsid w:val="00485556"/>
    <w:rsid w:val="00485E26"/>
    <w:rsid w:val="00485FBB"/>
    <w:rsid w:val="004866D6"/>
    <w:rsid w:val="00486BA6"/>
    <w:rsid w:val="00486F75"/>
    <w:rsid w:val="004871C3"/>
    <w:rsid w:val="00487392"/>
    <w:rsid w:val="004901A8"/>
    <w:rsid w:val="00490D14"/>
    <w:rsid w:val="00491031"/>
    <w:rsid w:val="00491102"/>
    <w:rsid w:val="00493DB2"/>
    <w:rsid w:val="00493E3B"/>
    <w:rsid w:val="0049538F"/>
    <w:rsid w:val="00495756"/>
    <w:rsid w:val="004957DB"/>
    <w:rsid w:val="004958F2"/>
    <w:rsid w:val="0049597A"/>
    <w:rsid w:val="00495DCB"/>
    <w:rsid w:val="00496420"/>
    <w:rsid w:val="004967A4"/>
    <w:rsid w:val="0049710F"/>
    <w:rsid w:val="00497C45"/>
    <w:rsid w:val="004A0745"/>
    <w:rsid w:val="004A0AEF"/>
    <w:rsid w:val="004A0D78"/>
    <w:rsid w:val="004A1496"/>
    <w:rsid w:val="004A23B1"/>
    <w:rsid w:val="004A3CB0"/>
    <w:rsid w:val="004A524D"/>
    <w:rsid w:val="004A538D"/>
    <w:rsid w:val="004A58C1"/>
    <w:rsid w:val="004A5D00"/>
    <w:rsid w:val="004A69A4"/>
    <w:rsid w:val="004A6EC8"/>
    <w:rsid w:val="004A7188"/>
    <w:rsid w:val="004A7AE1"/>
    <w:rsid w:val="004B135C"/>
    <w:rsid w:val="004B28E2"/>
    <w:rsid w:val="004B37DE"/>
    <w:rsid w:val="004B4337"/>
    <w:rsid w:val="004B43DF"/>
    <w:rsid w:val="004B46D5"/>
    <w:rsid w:val="004B47FF"/>
    <w:rsid w:val="004B4921"/>
    <w:rsid w:val="004B6603"/>
    <w:rsid w:val="004C10F5"/>
    <w:rsid w:val="004C205D"/>
    <w:rsid w:val="004C35B3"/>
    <w:rsid w:val="004C3B2C"/>
    <w:rsid w:val="004C3D78"/>
    <w:rsid w:val="004C55CE"/>
    <w:rsid w:val="004C5829"/>
    <w:rsid w:val="004C6406"/>
    <w:rsid w:val="004C64A2"/>
    <w:rsid w:val="004C6A3E"/>
    <w:rsid w:val="004C6CCE"/>
    <w:rsid w:val="004C7773"/>
    <w:rsid w:val="004C7B17"/>
    <w:rsid w:val="004C7FD5"/>
    <w:rsid w:val="004D064E"/>
    <w:rsid w:val="004D0C11"/>
    <w:rsid w:val="004D0CD3"/>
    <w:rsid w:val="004D113C"/>
    <w:rsid w:val="004D113D"/>
    <w:rsid w:val="004D1358"/>
    <w:rsid w:val="004D2EDD"/>
    <w:rsid w:val="004D39DD"/>
    <w:rsid w:val="004D3DE1"/>
    <w:rsid w:val="004D55D6"/>
    <w:rsid w:val="004D580A"/>
    <w:rsid w:val="004D6F8A"/>
    <w:rsid w:val="004D7367"/>
    <w:rsid w:val="004D766C"/>
    <w:rsid w:val="004D7AD9"/>
    <w:rsid w:val="004E0625"/>
    <w:rsid w:val="004E06A2"/>
    <w:rsid w:val="004E0980"/>
    <w:rsid w:val="004E0D38"/>
    <w:rsid w:val="004E251B"/>
    <w:rsid w:val="004E293F"/>
    <w:rsid w:val="004E3816"/>
    <w:rsid w:val="004E4658"/>
    <w:rsid w:val="004E4A3E"/>
    <w:rsid w:val="004E4FB2"/>
    <w:rsid w:val="004E7D41"/>
    <w:rsid w:val="004F01C0"/>
    <w:rsid w:val="004F080B"/>
    <w:rsid w:val="004F0A27"/>
    <w:rsid w:val="004F0BEF"/>
    <w:rsid w:val="004F185B"/>
    <w:rsid w:val="004F1C3F"/>
    <w:rsid w:val="004F2153"/>
    <w:rsid w:val="004F2913"/>
    <w:rsid w:val="004F2A56"/>
    <w:rsid w:val="004F3138"/>
    <w:rsid w:val="004F334D"/>
    <w:rsid w:val="004F4B75"/>
    <w:rsid w:val="004F4EA1"/>
    <w:rsid w:val="004F5FFD"/>
    <w:rsid w:val="004F6193"/>
    <w:rsid w:val="004F6C29"/>
    <w:rsid w:val="004F702D"/>
    <w:rsid w:val="004F7805"/>
    <w:rsid w:val="004F785D"/>
    <w:rsid w:val="00501776"/>
    <w:rsid w:val="00502D34"/>
    <w:rsid w:val="005039D1"/>
    <w:rsid w:val="005044A9"/>
    <w:rsid w:val="00504F5C"/>
    <w:rsid w:val="005054DE"/>
    <w:rsid w:val="00506CF2"/>
    <w:rsid w:val="00506CFD"/>
    <w:rsid w:val="00511973"/>
    <w:rsid w:val="0051226E"/>
    <w:rsid w:val="00513670"/>
    <w:rsid w:val="00513A66"/>
    <w:rsid w:val="005147FA"/>
    <w:rsid w:val="00514A20"/>
    <w:rsid w:val="005158E3"/>
    <w:rsid w:val="00515B93"/>
    <w:rsid w:val="00515EE6"/>
    <w:rsid w:val="00516A2F"/>
    <w:rsid w:val="00517B0E"/>
    <w:rsid w:val="00517FA4"/>
    <w:rsid w:val="00520010"/>
    <w:rsid w:val="005205E7"/>
    <w:rsid w:val="0052082D"/>
    <w:rsid w:val="00521617"/>
    <w:rsid w:val="00522079"/>
    <w:rsid w:val="005233C7"/>
    <w:rsid w:val="00523F43"/>
    <w:rsid w:val="00524C98"/>
    <w:rsid w:val="00524DC7"/>
    <w:rsid w:val="00524F3E"/>
    <w:rsid w:val="00525321"/>
    <w:rsid w:val="005262D1"/>
    <w:rsid w:val="0052634D"/>
    <w:rsid w:val="0052652B"/>
    <w:rsid w:val="00526933"/>
    <w:rsid w:val="00526C29"/>
    <w:rsid w:val="005274DF"/>
    <w:rsid w:val="00527B04"/>
    <w:rsid w:val="00527DF4"/>
    <w:rsid w:val="00530144"/>
    <w:rsid w:val="00530928"/>
    <w:rsid w:val="00531C2D"/>
    <w:rsid w:val="005336D4"/>
    <w:rsid w:val="005340B5"/>
    <w:rsid w:val="00534230"/>
    <w:rsid w:val="00534ADB"/>
    <w:rsid w:val="00535486"/>
    <w:rsid w:val="00535E7B"/>
    <w:rsid w:val="005362B1"/>
    <w:rsid w:val="0053669D"/>
    <w:rsid w:val="00536B3C"/>
    <w:rsid w:val="005403CB"/>
    <w:rsid w:val="005406A4"/>
    <w:rsid w:val="0054363A"/>
    <w:rsid w:val="00544237"/>
    <w:rsid w:val="00544EBC"/>
    <w:rsid w:val="005450DA"/>
    <w:rsid w:val="005464AB"/>
    <w:rsid w:val="00546A87"/>
    <w:rsid w:val="00550DDE"/>
    <w:rsid w:val="00550DEF"/>
    <w:rsid w:val="00550FD1"/>
    <w:rsid w:val="005512C7"/>
    <w:rsid w:val="00551548"/>
    <w:rsid w:val="005517AA"/>
    <w:rsid w:val="00551BDC"/>
    <w:rsid w:val="00551C0E"/>
    <w:rsid w:val="00551DBD"/>
    <w:rsid w:val="00552964"/>
    <w:rsid w:val="00552C21"/>
    <w:rsid w:val="00553A05"/>
    <w:rsid w:val="00553C0C"/>
    <w:rsid w:val="00553C24"/>
    <w:rsid w:val="005567BC"/>
    <w:rsid w:val="005609AB"/>
    <w:rsid w:val="00561103"/>
    <w:rsid w:val="0056161F"/>
    <w:rsid w:val="005616FA"/>
    <w:rsid w:val="005617D5"/>
    <w:rsid w:val="00561A9E"/>
    <w:rsid w:val="00562F9B"/>
    <w:rsid w:val="005638FB"/>
    <w:rsid w:val="005645AA"/>
    <w:rsid w:val="00564CFA"/>
    <w:rsid w:val="005655B1"/>
    <w:rsid w:val="0056610F"/>
    <w:rsid w:val="00566341"/>
    <w:rsid w:val="0056681B"/>
    <w:rsid w:val="00566B12"/>
    <w:rsid w:val="00566D34"/>
    <w:rsid w:val="00571B88"/>
    <w:rsid w:val="00573C5B"/>
    <w:rsid w:val="00573F72"/>
    <w:rsid w:val="005748E5"/>
    <w:rsid w:val="00575209"/>
    <w:rsid w:val="0057529B"/>
    <w:rsid w:val="00575E5B"/>
    <w:rsid w:val="00575EF0"/>
    <w:rsid w:val="0057611E"/>
    <w:rsid w:val="00577EFB"/>
    <w:rsid w:val="00580306"/>
    <w:rsid w:val="00581322"/>
    <w:rsid w:val="0058171D"/>
    <w:rsid w:val="005824DF"/>
    <w:rsid w:val="0058272E"/>
    <w:rsid w:val="00582E17"/>
    <w:rsid w:val="005832A8"/>
    <w:rsid w:val="00583789"/>
    <w:rsid w:val="00583C36"/>
    <w:rsid w:val="00583FFC"/>
    <w:rsid w:val="00585473"/>
    <w:rsid w:val="00587263"/>
    <w:rsid w:val="005876EE"/>
    <w:rsid w:val="00587A8F"/>
    <w:rsid w:val="00587C64"/>
    <w:rsid w:val="0059057D"/>
    <w:rsid w:val="00591ED7"/>
    <w:rsid w:val="005922E4"/>
    <w:rsid w:val="00592844"/>
    <w:rsid w:val="00592CD8"/>
    <w:rsid w:val="005949F7"/>
    <w:rsid w:val="005963CD"/>
    <w:rsid w:val="005966D6"/>
    <w:rsid w:val="005972F6"/>
    <w:rsid w:val="00597573"/>
    <w:rsid w:val="0059771D"/>
    <w:rsid w:val="005A08ED"/>
    <w:rsid w:val="005A0A6C"/>
    <w:rsid w:val="005A0BAA"/>
    <w:rsid w:val="005A1394"/>
    <w:rsid w:val="005A1A04"/>
    <w:rsid w:val="005A1ACF"/>
    <w:rsid w:val="005A2A4F"/>
    <w:rsid w:val="005A2B09"/>
    <w:rsid w:val="005A2E64"/>
    <w:rsid w:val="005A3C49"/>
    <w:rsid w:val="005A4651"/>
    <w:rsid w:val="005A4C3D"/>
    <w:rsid w:val="005A4D4F"/>
    <w:rsid w:val="005A6566"/>
    <w:rsid w:val="005A6D9B"/>
    <w:rsid w:val="005A708F"/>
    <w:rsid w:val="005A7692"/>
    <w:rsid w:val="005B03BB"/>
    <w:rsid w:val="005B0C56"/>
    <w:rsid w:val="005B10E7"/>
    <w:rsid w:val="005B1144"/>
    <w:rsid w:val="005B193A"/>
    <w:rsid w:val="005B2353"/>
    <w:rsid w:val="005B2649"/>
    <w:rsid w:val="005B2B29"/>
    <w:rsid w:val="005B2F37"/>
    <w:rsid w:val="005B333F"/>
    <w:rsid w:val="005B33B5"/>
    <w:rsid w:val="005B3A04"/>
    <w:rsid w:val="005B3A74"/>
    <w:rsid w:val="005B3C4B"/>
    <w:rsid w:val="005B5E83"/>
    <w:rsid w:val="005B625E"/>
    <w:rsid w:val="005B68D5"/>
    <w:rsid w:val="005B6A7D"/>
    <w:rsid w:val="005B6D39"/>
    <w:rsid w:val="005B7363"/>
    <w:rsid w:val="005B7781"/>
    <w:rsid w:val="005B7F53"/>
    <w:rsid w:val="005C110C"/>
    <w:rsid w:val="005C20A6"/>
    <w:rsid w:val="005C2196"/>
    <w:rsid w:val="005C29A6"/>
    <w:rsid w:val="005C3365"/>
    <w:rsid w:val="005C3BF2"/>
    <w:rsid w:val="005C494B"/>
    <w:rsid w:val="005C4CFE"/>
    <w:rsid w:val="005C4F69"/>
    <w:rsid w:val="005C4FD1"/>
    <w:rsid w:val="005C5148"/>
    <w:rsid w:val="005C6258"/>
    <w:rsid w:val="005C76EF"/>
    <w:rsid w:val="005C7778"/>
    <w:rsid w:val="005C7AEB"/>
    <w:rsid w:val="005D0B0C"/>
    <w:rsid w:val="005D0B2B"/>
    <w:rsid w:val="005D1481"/>
    <w:rsid w:val="005D16D3"/>
    <w:rsid w:val="005D1DFA"/>
    <w:rsid w:val="005D279A"/>
    <w:rsid w:val="005D2C4E"/>
    <w:rsid w:val="005D2C7C"/>
    <w:rsid w:val="005D2F18"/>
    <w:rsid w:val="005D3ACC"/>
    <w:rsid w:val="005D3E0D"/>
    <w:rsid w:val="005D409D"/>
    <w:rsid w:val="005D4872"/>
    <w:rsid w:val="005D48F3"/>
    <w:rsid w:val="005D4AA4"/>
    <w:rsid w:val="005D513F"/>
    <w:rsid w:val="005D62E4"/>
    <w:rsid w:val="005D7B2D"/>
    <w:rsid w:val="005D7EE2"/>
    <w:rsid w:val="005D7F28"/>
    <w:rsid w:val="005E00DE"/>
    <w:rsid w:val="005E0F75"/>
    <w:rsid w:val="005E14F9"/>
    <w:rsid w:val="005E1711"/>
    <w:rsid w:val="005E1740"/>
    <w:rsid w:val="005E21AB"/>
    <w:rsid w:val="005E229B"/>
    <w:rsid w:val="005E2909"/>
    <w:rsid w:val="005E4292"/>
    <w:rsid w:val="005E42C7"/>
    <w:rsid w:val="005E4C77"/>
    <w:rsid w:val="005E5040"/>
    <w:rsid w:val="005E5134"/>
    <w:rsid w:val="005E5301"/>
    <w:rsid w:val="005E604F"/>
    <w:rsid w:val="005E6208"/>
    <w:rsid w:val="005E644D"/>
    <w:rsid w:val="005E67F0"/>
    <w:rsid w:val="005E7275"/>
    <w:rsid w:val="005F1166"/>
    <w:rsid w:val="005F2897"/>
    <w:rsid w:val="005F2927"/>
    <w:rsid w:val="005F2AA5"/>
    <w:rsid w:val="005F310B"/>
    <w:rsid w:val="005F3172"/>
    <w:rsid w:val="005F32F4"/>
    <w:rsid w:val="005F3C0B"/>
    <w:rsid w:val="005F48F6"/>
    <w:rsid w:val="005F4BE0"/>
    <w:rsid w:val="005F6236"/>
    <w:rsid w:val="005F6715"/>
    <w:rsid w:val="005F6ADA"/>
    <w:rsid w:val="005F7BE3"/>
    <w:rsid w:val="005F7EEE"/>
    <w:rsid w:val="005F7FE0"/>
    <w:rsid w:val="006005FB"/>
    <w:rsid w:val="00601D73"/>
    <w:rsid w:val="00602450"/>
    <w:rsid w:val="00603E0B"/>
    <w:rsid w:val="00605F4E"/>
    <w:rsid w:val="0060651B"/>
    <w:rsid w:val="00607154"/>
    <w:rsid w:val="0061249C"/>
    <w:rsid w:val="00613CF0"/>
    <w:rsid w:val="00615738"/>
    <w:rsid w:val="00617A0C"/>
    <w:rsid w:val="00617F46"/>
    <w:rsid w:val="0062037B"/>
    <w:rsid w:val="0062059B"/>
    <w:rsid w:val="00620686"/>
    <w:rsid w:val="00620B05"/>
    <w:rsid w:val="006214FA"/>
    <w:rsid w:val="006216AE"/>
    <w:rsid w:val="00621F91"/>
    <w:rsid w:val="00622741"/>
    <w:rsid w:val="006235AB"/>
    <w:rsid w:val="00624A27"/>
    <w:rsid w:val="00624C2A"/>
    <w:rsid w:val="0062500E"/>
    <w:rsid w:val="00625BFE"/>
    <w:rsid w:val="0062652E"/>
    <w:rsid w:val="006276D9"/>
    <w:rsid w:val="00627B4C"/>
    <w:rsid w:val="006300E3"/>
    <w:rsid w:val="006313ED"/>
    <w:rsid w:val="00632116"/>
    <w:rsid w:val="00632439"/>
    <w:rsid w:val="0063254A"/>
    <w:rsid w:val="0063324A"/>
    <w:rsid w:val="00633571"/>
    <w:rsid w:val="0063383C"/>
    <w:rsid w:val="00633C8C"/>
    <w:rsid w:val="00634D97"/>
    <w:rsid w:val="00636225"/>
    <w:rsid w:val="00636B87"/>
    <w:rsid w:val="0063750C"/>
    <w:rsid w:val="00641F8A"/>
    <w:rsid w:val="0064202F"/>
    <w:rsid w:val="00642097"/>
    <w:rsid w:val="006422B6"/>
    <w:rsid w:val="006425EF"/>
    <w:rsid w:val="0064297C"/>
    <w:rsid w:val="006429B3"/>
    <w:rsid w:val="00643589"/>
    <w:rsid w:val="006439CC"/>
    <w:rsid w:val="00644418"/>
    <w:rsid w:val="00645314"/>
    <w:rsid w:val="00645A13"/>
    <w:rsid w:val="00646103"/>
    <w:rsid w:val="00646824"/>
    <w:rsid w:val="00646DE7"/>
    <w:rsid w:val="006471D8"/>
    <w:rsid w:val="006503EA"/>
    <w:rsid w:val="00652149"/>
    <w:rsid w:val="00652198"/>
    <w:rsid w:val="00652570"/>
    <w:rsid w:val="00652864"/>
    <w:rsid w:val="00652B9A"/>
    <w:rsid w:val="0065434F"/>
    <w:rsid w:val="00654721"/>
    <w:rsid w:val="00654C4B"/>
    <w:rsid w:val="0065708C"/>
    <w:rsid w:val="006573FE"/>
    <w:rsid w:val="00657ED6"/>
    <w:rsid w:val="00660C89"/>
    <w:rsid w:val="00661207"/>
    <w:rsid w:val="00661DC0"/>
    <w:rsid w:val="006630B5"/>
    <w:rsid w:val="0066382B"/>
    <w:rsid w:val="00664204"/>
    <w:rsid w:val="0066488E"/>
    <w:rsid w:val="006656FA"/>
    <w:rsid w:val="0066586F"/>
    <w:rsid w:val="00665F5C"/>
    <w:rsid w:val="00665F76"/>
    <w:rsid w:val="0066690B"/>
    <w:rsid w:val="00666985"/>
    <w:rsid w:val="00667360"/>
    <w:rsid w:val="00670896"/>
    <w:rsid w:val="0067176F"/>
    <w:rsid w:val="006717EE"/>
    <w:rsid w:val="006718B6"/>
    <w:rsid w:val="00671C38"/>
    <w:rsid w:val="00671C61"/>
    <w:rsid w:val="00671D8F"/>
    <w:rsid w:val="0067253B"/>
    <w:rsid w:val="00672D19"/>
    <w:rsid w:val="006733D2"/>
    <w:rsid w:val="00674700"/>
    <w:rsid w:val="00675DFC"/>
    <w:rsid w:val="00675EE5"/>
    <w:rsid w:val="00675EFB"/>
    <w:rsid w:val="00677712"/>
    <w:rsid w:val="0068021F"/>
    <w:rsid w:val="0068176D"/>
    <w:rsid w:val="00682057"/>
    <w:rsid w:val="00682090"/>
    <w:rsid w:val="00684A2B"/>
    <w:rsid w:val="00684F83"/>
    <w:rsid w:val="0068565D"/>
    <w:rsid w:val="006856D9"/>
    <w:rsid w:val="006858F3"/>
    <w:rsid w:val="0068694F"/>
    <w:rsid w:val="00687449"/>
    <w:rsid w:val="006903BB"/>
    <w:rsid w:val="00690EF6"/>
    <w:rsid w:val="00691BC3"/>
    <w:rsid w:val="0069304B"/>
    <w:rsid w:val="00693A0E"/>
    <w:rsid w:val="00693F2A"/>
    <w:rsid w:val="006943B3"/>
    <w:rsid w:val="0069722C"/>
    <w:rsid w:val="006A0056"/>
    <w:rsid w:val="006A00D7"/>
    <w:rsid w:val="006A05ED"/>
    <w:rsid w:val="006A0D12"/>
    <w:rsid w:val="006A1872"/>
    <w:rsid w:val="006A2753"/>
    <w:rsid w:val="006A29DA"/>
    <w:rsid w:val="006A2B84"/>
    <w:rsid w:val="006A3869"/>
    <w:rsid w:val="006A4185"/>
    <w:rsid w:val="006A4D49"/>
    <w:rsid w:val="006A4E9C"/>
    <w:rsid w:val="006A579B"/>
    <w:rsid w:val="006A59F4"/>
    <w:rsid w:val="006A5ADF"/>
    <w:rsid w:val="006A5F42"/>
    <w:rsid w:val="006A65D0"/>
    <w:rsid w:val="006A6A3E"/>
    <w:rsid w:val="006A72A5"/>
    <w:rsid w:val="006A74BF"/>
    <w:rsid w:val="006B0888"/>
    <w:rsid w:val="006B0B2F"/>
    <w:rsid w:val="006B0C2D"/>
    <w:rsid w:val="006B33B1"/>
    <w:rsid w:val="006B3FC9"/>
    <w:rsid w:val="006B510E"/>
    <w:rsid w:val="006B6125"/>
    <w:rsid w:val="006B64F1"/>
    <w:rsid w:val="006B7900"/>
    <w:rsid w:val="006B7C73"/>
    <w:rsid w:val="006C05DE"/>
    <w:rsid w:val="006C0FAA"/>
    <w:rsid w:val="006C14A9"/>
    <w:rsid w:val="006C166B"/>
    <w:rsid w:val="006C178E"/>
    <w:rsid w:val="006C18E9"/>
    <w:rsid w:val="006C21C7"/>
    <w:rsid w:val="006C2F6D"/>
    <w:rsid w:val="006C35C6"/>
    <w:rsid w:val="006C400C"/>
    <w:rsid w:val="006C4FA9"/>
    <w:rsid w:val="006C5269"/>
    <w:rsid w:val="006C548F"/>
    <w:rsid w:val="006C60DA"/>
    <w:rsid w:val="006C73DF"/>
    <w:rsid w:val="006C7806"/>
    <w:rsid w:val="006C7E2F"/>
    <w:rsid w:val="006D0028"/>
    <w:rsid w:val="006D03F2"/>
    <w:rsid w:val="006D0ACD"/>
    <w:rsid w:val="006D1023"/>
    <w:rsid w:val="006D1A8C"/>
    <w:rsid w:val="006D223C"/>
    <w:rsid w:val="006D229C"/>
    <w:rsid w:val="006D2883"/>
    <w:rsid w:val="006D32A2"/>
    <w:rsid w:val="006D3749"/>
    <w:rsid w:val="006D39E9"/>
    <w:rsid w:val="006D3E3F"/>
    <w:rsid w:val="006D5C69"/>
    <w:rsid w:val="006D660D"/>
    <w:rsid w:val="006D6746"/>
    <w:rsid w:val="006D6862"/>
    <w:rsid w:val="006D72EF"/>
    <w:rsid w:val="006E1DAB"/>
    <w:rsid w:val="006E2080"/>
    <w:rsid w:val="006E3253"/>
    <w:rsid w:val="006E35F3"/>
    <w:rsid w:val="006E37A5"/>
    <w:rsid w:val="006E3C22"/>
    <w:rsid w:val="006E6482"/>
    <w:rsid w:val="006E655D"/>
    <w:rsid w:val="006F0440"/>
    <w:rsid w:val="006F0C00"/>
    <w:rsid w:val="006F1F14"/>
    <w:rsid w:val="006F267C"/>
    <w:rsid w:val="006F2BAD"/>
    <w:rsid w:val="006F32A1"/>
    <w:rsid w:val="006F36B3"/>
    <w:rsid w:val="006F3BED"/>
    <w:rsid w:val="006F3EE5"/>
    <w:rsid w:val="006F57CE"/>
    <w:rsid w:val="006F5FFC"/>
    <w:rsid w:val="006F608E"/>
    <w:rsid w:val="006F6358"/>
    <w:rsid w:val="006F753D"/>
    <w:rsid w:val="007005CB"/>
    <w:rsid w:val="00700B2F"/>
    <w:rsid w:val="00701F23"/>
    <w:rsid w:val="007021AC"/>
    <w:rsid w:val="0070224E"/>
    <w:rsid w:val="00702E53"/>
    <w:rsid w:val="00703E61"/>
    <w:rsid w:val="007048F5"/>
    <w:rsid w:val="0070521A"/>
    <w:rsid w:val="00705811"/>
    <w:rsid w:val="00706705"/>
    <w:rsid w:val="00706861"/>
    <w:rsid w:val="007071CB"/>
    <w:rsid w:val="00707496"/>
    <w:rsid w:val="00707C64"/>
    <w:rsid w:val="00707E53"/>
    <w:rsid w:val="007100AB"/>
    <w:rsid w:val="007101A9"/>
    <w:rsid w:val="007102DC"/>
    <w:rsid w:val="00710A47"/>
    <w:rsid w:val="007114E9"/>
    <w:rsid w:val="00711B37"/>
    <w:rsid w:val="00712C55"/>
    <w:rsid w:val="007139C1"/>
    <w:rsid w:val="00713B1E"/>
    <w:rsid w:val="0071551F"/>
    <w:rsid w:val="00715AEF"/>
    <w:rsid w:val="00716041"/>
    <w:rsid w:val="00716091"/>
    <w:rsid w:val="00716736"/>
    <w:rsid w:val="00717DA8"/>
    <w:rsid w:val="007200CC"/>
    <w:rsid w:val="0072073A"/>
    <w:rsid w:val="00721518"/>
    <w:rsid w:val="0072159A"/>
    <w:rsid w:val="00721A1F"/>
    <w:rsid w:val="007220DB"/>
    <w:rsid w:val="00722CFF"/>
    <w:rsid w:val="0072370B"/>
    <w:rsid w:val="007240AE"/>
    <w:rsid w:val="00724BE0"/>
    <w:rsid w:val="00724F3D"/>
    <w:rsid w:val="0072509C"/>
    <w:rsid w:val="00726E70"/>
    <w:rsid w:val="00727381"/>
    <w:rsid w:val="00727D5B"/>
    <w:rsid w:val="00730CC9"/>
    <w:rsid w:val="00731388"/>
    <w:rsid w:val="00733D46"/>
    <w:rsid w:val="00734C7C"/>
    <w:rsid w:val="00735C03"/>
    <w:rsid w:val="00736525"/>
    <w:rsid w:val="00736C67"/>
    <w:rsid w:val="0074101C"/>
    <w:rsid w:val="00742C52"/>
    <w:rsid w:val="00742D80"/>
    <w:rsid w:val="00743523"/>
    <w:rsid w:val="00743635"/>
    <w:rsid w:val="00743D1F"/>
    <w:rsid w:val="00743DDE"/>
    <w:rsid w:val="00745C5A"/>
    <w:rsid w:val="00745F3B"/>
    <w:rsid w:val="0074623C"/>
    <w:rsid w:val="0074700C"/>
    <w:rsid w:val="00750419"/>
    <w:rsid w:val="00752D2D"/>
    <w:rsid w:val="00753A7C"/>
    <w:rsid w:val="00753F09"/>
    <w:rsid w:val="00753F68"/>
    <w:rsid w:val="00754AA3"/>
    <w:rsid w:val="00754F2E"/>
    <w:rsid w:val="007564CA"/>
    <w:rsid w:val="00756623"/>
    <w:rsid w:val="00756A0C"/>
    <w:rsid w:val="00757241"/>
    <w:rsid w:val="0076045C"/>
    <w:rsid w:val="00760A47"/>
    <w:rsid w:val="007612B6"/>
    <w:rsid w:val="00761FCB"/>
    <w:rsid w:val="00762E8E"/>
    <w:rsid w:val="00763740"/>
    <w:rsid w:val="00764181"/>
    <w:rsid w:val="00764629"/>
    <w:rsid w:val="007648A2"/>
    <w:rsid w:val="00765510"/>
    <w:rsid w:val="00765732"/>
    <w:rsid w:val="0076625C"/>
    <w:rsid w:val="0076763A"/>
    <w:rsid w:val="0076792E"/>
    <w:rsid w:val="00767E14"/>
    <w:rsid w:val="00767F69"/>
    <w:rsid w:val="0077048D"/>
    <w:rsid w:val="00770B72"/>
    <w:rsid w:val="00770D74"/>
    <w:rsid w:val="00771072"/>
    <w:rsid w:val="0077324F"/>
    <w:rsid w:val="00773AB3"/>
    <w:rsid w:val="00773D19"/>
    <w:rsid w:val="00775703"/>
    <w:rsid w:val="00775E75"/>
    <w:rsid w:val="007768EA"/>
    <w:rsid w:val="00777228"/>
    <w:rsid w:val="0077786D"/>
    <w:rsid w:val="00780821"/>
    <w:rsid w:val="00780950"/>
    <w:rsid w:val="007809C2"/>
    <w:rsid w:val="0078107C"/>
    <w:rsid w:val="00781AB1"/>
    <w:rsid w:val="0078219D"/>
    <w:rsid w:val="00782757"/>
    <w:rsid w:val="00782997"/>
    <w:rsid w:val="00783CBD"/>
    <w:rsid w:val="00784306"/>
    <w:rsid w:val="00784900"/>
    <w:rsid w:val="00784E76"/>
    <w:rsid w:val="00785642"/>
    <w:rsid w:val="00787AB9"/>
    <w:rsid w:val="00790042"/>
    <w:rsid w:val="007900ED"/>
    <w:rsid w:val="007901E1"/>
    <w:rsid w:val="00790E32"/>
    <w:rsid w:val="007922C4"/>
    <w:rsid w:val="007929C7"/>
    <w:rsid w:val="00792FF7"/>
    <w:rsid w:val="007930F6"/>
    <w:rsid w:val="00793C4C"/>
    <w:rsid w:val="00793C9B"/>
    <w:rsid w:val="00794017"/>
    <w:rsid w:val="00794A2F"/>
    <w:rsid w:val="00794B27"/>
    <w:rsid w:val="00795377"/>
    <w:rsid w:val="007961B6"/>
    <w:rsid w:val="00796B58"/>
    <w:rsid w:val="00797C97"/>
    <w:rsid w:val="007A0BF8"/>
    <w:rsid w:val="007A0E18"/>
    <w:rsid w:val="007A2012"/>
    <w:rsid w:val="007A47B4"/>
    <w:rsid w:val="007A62C9"/>
    <w:rsid w:val="007A64DE"/>
    <w:rsid w:val="007A789A"/>
    <w:rsid w:val="007A7B2B"/>
    <w:rsid w:val="007A7EA5"/>
    <w:rsid w:val="007B156C"/>
    <w:rsid w:val="007B19CF"/>
    <w:rsid w:val="007B29A8"/>
    <w:rsid w:val="007B3337"/>
    <w:rsid w:val="007B39B9"/>
    <w:rsid w:val="007B430D"/>
    <w:rsid w:val="007B479F"/>
    <w:rsid w:val="007B4D0B"/>
    <w:rsid w:val="007B5B18"/>
    <w:rsid w:val="007B655A"/>
    <w:rsid w:val="007B6C69"/>
    <w:rsid w:val="007B73BB"/>
    <w:rsid w:val="007C01D5"/>
    <w:rsid w:val="007C28AA"/>
    <w:rsid w:val="007C344E"/>
    <w:rsid w:val="007C3B7B"/>
    <w:rsid w:val="007C3DEC"/>
    <w:rsid w:val="007C443C"/>
    <w:rsid w:val="007C5111"/>
    <w:rsid w:val="007C52BE"/>
    <w:rsid w:val="007C56A2"/>
    <w:rsid w:val="007C5734"/>
    <w:rsid w:val="007C5799"/>
    <w:rsid w:val="007C7ADF"/>
    <w:rsid w:val="007D0F34"/>
    <w:rsid w:val="007D1396"/>
    <w:rsid w:val="007D2BCC"/>
    <w:rsid w:val="007D3315"/>
    <w:rsid w:val="007D3403"/>
    <w:rsid w:val="007D399B"/>
    <w:rsid w:val="007D3D8B"/>
    <w:rsid w:val="007D4EFA"/>
    <w:rsid w:val="007D4F9B"/>
    <w:rsid w:val="007D5190"/>
    <w:rsid w:val="007D54F0"/>
    <w:rsid w:val="007D57BB"/>
    <w:rsid w:val="007D5FDA"/>
    <w:rsid w:val="007D62C4"/>
    <w:rsid w:val="007D6C28"/>
    <w:rsid w:val="007D70EF"/>
    <w:rsid w:val="007E049E"/>
    <w:rsid w:val="007E0AE3"/>
    <w:rsid w:val="007E12C4"/>
    <w:rsid w:val="007E1821"/>
    <w:rsid w:val="007E1AF2"/>
    <w:rsid w:val="007E1B0B"/>
    <w:rsid w:val="007E2530"/>
    <w:rsid w:val="007E2F74"/>
    <w:rsid w:val="007E3540"/>
    <w:rsid w:val="007E3AFF"/>
    <w:rsid w:val="007E3DE7"/>
    <w:rsid w:val="007E3FD9"/>
    <w:rsid w:val="007E5924"/>
    <w:rsid w:val="007E5C4A"/>
    <w:rsid w:val="007E5DB6"/>
    <w:rsid w:val="007E7129"/>
    <w:rsid w:val="007E737F"/>
    <w:rsid w:val="007E743E"/>
    <w:rsid w:val="007F1875"/>
    <w:rsid w:val="007F1EA2"/>
    <w:rsid w:val="007F2B86"/>
    <w:rsid w:val="007F2EB7"/>
    <w:rsid w:val="007F461A"/>
    <w:rsid w:val="007F5282"/>
    <w:rsid w:val="007F5647"/>
    <w:rsid w:val="007F5AD6"/>
    <w:rsid w:val="007F745F"/>
    <w:rsid w:val="007F7B78"/>
    <w:rsid w:val="0080012F"/>
    <w:rsid w:val="00800AE2"/>
    <w:rsid w:val="00801005"/>
    <w:rsid w:val="00802184"/>
    <w:rsid w:val="00802B72"/>
    <w:rsid w:val="0080320F"/>
    <w:rsid w:val="008038C4"/>
    <w:rsid w:val="00804175"/>
    <w:rsid w:val="008051DA"/>
    <w:rsid w:val="00806827"/>
    <w:rsid w:val="00806E70"/>
    <w:rsid w:val="00807442"/>
    <w:rsid w:val="00810F54"/>
    <w:rsid w:val="008121E1"/>
    <w:rsid w:val="0081329F"/>
    <w:rsid w:val="00814187"/>
    <w:rsid w:val="00815481"/>
    <w:rsid w:val="00815597"/>
    <w:rsid w:val="0081575E"/>
    <w:rsid w:val="008157ED"/>
    <w:rsid w:val="008160D5"/>
    <w:rsid w:val="00817F1D"/>
    <w:rsid w:val="00817FDD"/>
    <w:rsid w:val="00821650"/>
    <w:rsid w:val="008226E2"/>
    <w:rsid w:val="00822713"/>
    <w:rsid w:val="008227B5"/>
    <w:rsid w:val="00822E79"/>
    <w:rsid w:val="0082356D"/>
    <w:rsid w:val="0082378B"/>
    <w:rsid w:val="0082435A"/>
    <w:rsid w:val="00825469"/>
    <w:rsid w:val="00825806"/>
    <w:rsid w:val="00825D15"/>
    <w:rsid w:val="0082795E"/>
    <w:rsid w:val="00827BB8"/>
    <w:rsid w:val="0083025D"/>
    <w:rsid w:val="00830711"/>
    <w:rsid w:val="008309D7"/>
    <w:rsid w:val="00831E1E"/>
    <w:rsid w:val="00833283"/>
    <w:rsid w:val="00833CF9"/>
    <w:rsid w:val="00834B7E"/>
    <w:rsid w:val="00834F56"/>
    <w:rsid w:val="008354B8"/>
    <w:rsid w:val="0083680A"/>
    <w:rsid w:val="00836D47"/>
    <w:rsid w:val="00836E43"/>
    <w:rsid w:val="008409E7"/>
    <w:rsid w:val="00841045"/>
    <w:rsid w:val="00841E8B"/>
    <w:rsid w:val="00842008"/>
    <w:rsid w:val="0084218C"/>
    <w:rsid w:val="0084267E"/>
    <w:rsid w:val="00842BEA"/>
    <w:rsid w:val="008444B5"/>
    <w:rsid w:val="00844585"/>
    <w:rsid w:val="00844A12"/>
    <w:rsid w:val="00844A67"/>
    <w:rsid w:val="008457D4"/>
    <w:rsid w:val="00845D6D"/>
    <w:rsid w:val="00845DE0"/>
    <w:rsid w:val="00847480"/>
    <w:rsid w:val="00852A69"/>
    <w:rsid w:val="00852FB9"/>
    <w:rsid w:val="00853161"/>
    <w:rsid w:val="00853CB3"/>
    <w:rsid w:val="0085430D"/>
    <w:rsid w:val="008546A4"/>
    <w:rsid w:val="0085473F"/>
    <w:rsid w:val="00854D75"/>
    <w:rsid w:val="00857315"/>
    <w:rsid w:val="00857B96"/>
    <w:rsid w:val="0086077C"/>
    <w:rsid w:val="00860808"/>
    <w:rsid w:val="0086379A"/>
    <w:rsid w:val="00863BF8"/>
    <w:rsid w:val="0086423F"/>
    <w:rsid w:val="008644B1"/>
    <w:rsid w:val="00864A13"/>
    <w:rsid w:val="008659F4"/>
    <w:rsid w:val="008677B1"/>
    <w:rsid w:val="00867D65"/>
    <w:rsid w:val="00870A73"/>
    <w:rsid w:val="00870CB9"/>
    <w:rsid w:val="00871BE0"/>
    <w:rsid w:val="00872089"/>
    <w:rsid w:val="00872183"/>
    <w:rsid w:val="00872763"/>
    <w:rsid w:val="0087337B"/>
    <w:rsid w:val="00874778"/>
    <w:rsid w:val="00875651"/>
    <w:rsid w:val="00875E8B"/>
    <w:rsid w:val="00875FFC"/>
    <w:rsid w:val="00881F16"/>
    <w:rsid w:val="00882276"/>
    <w:rsid w:val="00882C5D"/>
    <w:rsid w:val="00882F60"/>
    <w:rsid w:val="0088388E"/>
    <w:rsid w:val="00884CCB"/>
    <w:rsid w:val="00885443"/>
    <w:rsid w:val="00885452"/>
    <w:rsid w:val="0088584B"/>
    <w:rsid w:val="008863EA"/>
    <w:rsid w:val="00886590"/>
    <w:rsid w:val="00886B45"/>
    <w:rsid w:val="00886BF5"/>
    <w:rsid w:val="0088702E"/>
    <w:rsid w:val="00887368"/>
    <w:rsid w:val="008903EF"/>
    <w:rsid w:val="00890554"/>
    <w:rsid w:val="00891232"/>
    <w:rsid w:val="00892E06"/>
    <w:rsid w:val="008930D0"/>
    <w:rsid w:val="00893679"/>
    <w:rsid w:val="00893DA8"/>
    <w:rsid w:val="00893F07"/>
    <w:rsid w:val="00894200"/>
    <w:rsid w:val="008944DF"/>
    <w:rsid w:val="00894B64"/>
    <w:rsid w:val="00894E71"/>
    <w:rsid w:val="008956A3"/>
    <w:rsid w:val="00895D26"/>
    <w:rsid w:val="0089640F"/>
    <w:rsid w:val="00896AC2"/>
    <w:rsid w:val="00896C14"/>
    <w:rsid w:val="00897FC8"/>
    <w:rsid w:val="008A06D9"/>
    <w:rsid w:val="008A35B8"/>
    <w:rsid w:val="008A41B7"/>
    <w:rsid w:val="008A4FB1"/>
    <w:rsid w:val="008A5ADC"/>
    <w:rsid w:val="008A7276"/>
    <w:rsid w:val="008A7925"/>
    <w:rsid w:val="008A7A8D"/>
    <w:rsid w:val="008B0143"/>
    <w:rsid w:val="008B03CD"/>
    <w:rsid w:val="008B2A72"/>
    <w:rsid w:val="008B2D16"/>
    <w:rsid w:val="008B3D8F"/>
    <w:rsid w:val="008B3F1F"/>
    <w:rsid w:val="008B5BD0"/>
    <w:rsid w:val="008B74B4"/>
    <w:rsid w:val="008B7941"/>
    <w:rsid w:val="008B79E8"/>
    <w:rsid w:val="008B7DFB"/>
    <w:rsid w:val="008B7E63"/>
    <w:rsid w:val="008C1AD9"/>
    <w:rsid w:val="008C277D"/>
    <w:rsid w:val="008C288B"/>
    <w:rsid w:val="008C415F"/>
    <w:rsid w:val="008C45B8"/>
    <w:rsid w:val="008C5360"/>
    <w:rsid w:val="008C5A8B"/>
    <w:rsid w:val="008C692F"/>
    <w:rsid w:val="008C7C9A"/>
    <w:rsid w:val="008D0EAF"/>
    <w:rsid w:val="008D101D"/>
    <w:rsid w:val="008D282F"/>
    <w:rsid w:val="008D295E"/>
    <w:rsid w:val="008D34AE"/>
    <w:rsid w:val="008D375F"/>
    <w:rsid w:val="008D3C26"/>
    <w:rsid w:val="008D3F0D"/>
    <w:rsid w:val="008D4362"/>
    <w:rsid w:val="008D649F"/>
    <w:rsid w:val="008D6DE0"/>
    <w:rsid w:val="008D6F29"/>
    <w:rsid w:val="008D7461"/>
    <w:rsid w:val="008D7CCB"/>
    <w:rsid w:val="008E04D4"/>
    <w:rsid w:val="008E1007"/>
    <w:rsid w:val="008E2873"/>
    <w:rsid w:val="008E2975"/>
    <w:rsid w:val="008E41BF"/>
    <w:rsid w:val="008E4312"/>
    <w:rsid w:val="008E452A"/>
    <w:rsid w:val="008E4693"/>
    <w:rsid w:val="008E47ED"/>
    <w:rsid w:val="008E50A2"/>
    <w:rsid w:val="008E707D"/>
    <w:rsid w:val="008F0355"/>
    <w:rsid w:val="008F0BBC"/>
    <w:rsid w:val="008F0EE7"/>
    <w:rsid w:val="008F2E98"/>
    <w:rsid w:val="008F32E2"/>
    <w:rsid w:val="008F53BA"/>
    <w:rsid w:val="008F5533"/>
    <w:rsid w:val="008F6060"/>
    <w:rsid w:val="008F6587"/>
    <w:rsid w:val="008F6FD9"/>
    <w:rsid w:val="008F71E4"/>
    <w:rsid w:val="0090092D"/>
    <w:rsid w:val="009015D5"/>
    <w:rsid w:val="0090255F"/>
    <w:rsid w:val="00903CC5"/>
    <w:rsid w:val="00904136"/>
    <w:rsid w:val="0090425F"/>
    <w:rsid w:val="00904ED2"/>
    <w:rsid w:val="00905E27"/>
    <w:rsid w:val="00907A34"/>
    <w:rsid w:val="00907B5D"/>
    <w:rsid w:val="009102CC"/>
    <w:rsid w:val="00910304"/>
    <w:rsid w:val="00910667"/>
    <w:rsid w:val="0091235B"/>
    <w:rsid w:val="00912D3E"/>
    <w:rsid w:val="0091406D"/>
    <w:rsid w:val="00916027"/>
    <w:rsid w:val="00916D69"/>
    <w:rsid w:val="00916EFA"/>
    <w:rsid w:val="00916F1E"/>
    <w:rsid w:val="00917AAE"/>
    <w:rsid w:val="00917D8E"/>
    <w:rsid w:val="00921481"/>
    <w:rsid w:val="0092153F"/>
    <w:rsid w:val="00921AC2"/>
    <w:rsid w:val="009220DF"/>
    <w:rsid w:val="00922877"/>
    <w:rsid w:val="00922BF9"/>
    <w:rsid w:val="00922C03"/>
    <w:rsid w:val="00923614"/>
    <w:rsid w:val="00924237"/>
    <w:rsid w:val="00925AFA"/>
    <w:rsid w:val="00925BAA"/>
    <w:rsid w:val="00927C89"/>
    <w:rsid w:val="00930903"/>
    <w:rsid w:val="00930A91"/>
    <w:rsid w:val="00932285"/>
    <w:rsid w:val="0093249D"/>
    <w:rsid w:val="009346E3"/>
    <w:rsid w:val="009355F5"/>
    <w:rsid w:val="009362EF"/>
    <w:rsid w:val="00937D0F"/>
    <w:rsid w:val="009410AB"/>
    <w:rsid w:val="009419DE"/>
    <w:rsid w:val="00941C06"/>
    <w:rsid w:val="009421DD"/>
    <w:rsid w:val="009426FE"/>
    <w:rsid w:val="00942BCB"/>
    <w:rsid w:val="0094306B"/>
    <w:rsid w:val="0094378F"/>
    <w:rsid w:val="00943E5F"/>
    <w:rsid w:val="00944B7F"/>
    <w:rsid w:val="00944B8D"/>
    <w:rsid w:val="00944C93"/>
    <w:rsid w:val="00945036"/>
    <w:rsid w:val="00945BED"/>
    <w:rsid w:val="009463F5"/>
    <w:rsid w:val="00946DA7"/>
    <w:rsid w:val="009471E2"/>
    <w:rsid w:val="009475CE"/>
    <w:rsid w:val="0095067D"/>
    <w:rsid w:val="00950FED"/>
    <w:rsid w:val="00951973"/>
    <w:rsid w:val="009523E1"/>
    <w:rsid w:val="00952692"/>
    <w:rsid w:val="00952A8F"/>
    <w:rsid w:val="009530F6"/>
    <w:rsid w:val="00954734"/>
    <w:rsid w:val="00954EDD"/>
    <w:rsid w:val="0095551A"/>
    <w:rsid w:val="00955A61"/>
    <w:rsid w:val="00956C6A"/>
    <w:rsid w:val="00957275"/>
    <w:rsid w:val="0095780F"/>
    <w:rsid w:val="00957B0D"/>
    <w:rsid w:val="009604C7"/>
    <w:rsid w:val="00960A4E"/>
    <w:rsid w:val="00961FF9"/>
    <w:rsid w:val="00962DB5"/>
    <w:rsid w:val="00963787"/>
    <w:rsid w:val="00963A9C"/>
    <w:rsid w:val="009644CB"/>
    <w:rsid w:val="00964912"/>
    <w:rsid w:val="00964938"/>
    <w:rsid w:val="009653D5"/>
    <w:rsid w:val="0096596D"/>
    <w:rsid w:val="00965EAC"/>
    <w:rsid w:val="00966019"/>
    <w:rsid w:val="00966A46"/>
    <w:rsid w:val="00967AF8"/>
    <w:rsid w:val="00970858"/>
    <w:rsid w:val="00971683"/>
    <w:rsid w:val="0097336C"/>
    <w:rsid w:val="009741FA"/>
    <w:rsid w:val="00975173"/>
    <w:rsid w:val="00975821"/>
    <w:rsid w:val="00975E29"/>
    <w:rsid w:val="00976F89"/>
    <w:rsid w:val="00977DB5"/>
    <w:rsid w:val="00977FDB"/>
    <w:rsid w:val="00980C15"/>
    <w:rsid w:val="00981EFE"/>
    <w:rsid w:val="00982A51"/>
    <w:rsid w:val="00982BF0"/>
    <w:rsid w:val="00982D65"/>
    <w:rsid w:val="009835B3"/>
    <w:rsid w:val="00984E39"/>
    <w:rsid w:val="00986A5B"/>
    <w:rsid w:val="009874A3"/>
    <w:rsid w:val="0098758D"/>
    <w:rsid w:val="009876BB"/>
    <w:rsid w:val="00987BB7"/>
    <w:rsid w:val="009902CA"/>
    <w:rsid w:val="0099057C"/>
    <w:rsid w:val="00990EEF"/>
    <w:rsid w:val="00991681"/>
    <w:rsid w:val="00991880"/>
    <w:rsid w:val="00992907"/>
    <w:rsid w:val="00995905"/>
    <w:rsid w:val="00995CE3"/>
    <w:rsid w:val="00996090"/>
    <w:rsid w:val="009968FA"/>
    <w:rsid w:val="00997730"/>
    <w:rsid w:val="009A1091"/>
    <w:rsid w:val="009A134C"/>
    <w:rsid w:val="009A1860"/>
    <w:rsid w:val="009A1B4C"/>
    <w:rsid w:val="009A2375"/>
    <w:rsid w:val="009A37EC"/>
    <w:rsid w:val="009A3BAA"/>
    <w:rsid w:val="009A488B"/>
    <w:rsid w:val="009A48E9"/>
    <w:rsid w:val="009A499E"/>
    <w:rsid w:val="009A74FD"/>
    <w:rsid w:val="009B0F40"/>
    <w:rsid w:val="009B153D"/>
    <w:rsid w:val="009B2404"/>
    <w:rsid w:val="009B2E93"/>
    <w:rsid w:val="009B2EA7"/>
    <w:rsid w:val="009B300E"/>
    <w:rsid w:val="009B3C2B"/>
    <w:rsid w:val="009B4679"/>
    <w:rsid w:val="009B5703"/>
    <w:rsid w:val="009B5842"/>
    <w:rsid w:val="009B658E"/>
    <w:rsid w:val="009B7076"/>
    <w:rsid w:val="009B72FA"/>
    <w:rsid w:val="009B7698"/>
    <w:rsid w:val="009B7C32"/>
    <w:rsid w:val="009B7C49"/>
    <w:rsid w:val="009C0BA4"/>
    <w:rsid w:val="009C0F8D"/>
    <w:rsid w:val="009C12BC"/>
    <w:rsid w:val="009C1DD7"/>
    <w:rsid w:val="009C26C3"/>
    <w:rsid w:val="009C2B00"/>
    <w:rsid w:val="009C2ECB"/>
    <w:rsid w:val="009C362E"/>
    <w:rsid w:val="009C454A"/>
    <w:rsid w:val="009C4A0A"/>
    <w:rsid w:val="009C4BF9"/>
    <w:rsid w:val="009C5268"/>
    <w:rsid w:val="009C6C27"/>
    <w:rsid w:val="009C7513"/>
    <w:rsid w:val="009C7E34"/>
    <w:rsid w:val="009D0454"/>
    <w:rsid w:val="009D299E"/>
    <w:rsid w:val="009D2F56"/>
    <w:rsid w:val="009D3B96"/>
    <w:rsid w:val="009D3E95"/>
    <w:rsid w:val="009D476E"/>
    <w:rsid w:val="009D60E5"/>
    <w:rsid w:val="009D6F49"/>
    <w:rsid w:val="009D71E0"/>
    <w:rsid w:val="009D75C3"/>
    <w:rsid w:val="009D7E92"/>
    <w:rsid w:val="009E0A72"/>
    <w:rsid w:val="009E1D85"/>
    <w:rsid w:val="009E237C"/>
    <w:rsid w:val="009E28AF"/>
    <w:rsid w:val="009E5086"/>
    <w:rsid w:val="009E5E97"/>
    <w:rsid w:val="009E651A"/>
    <w:rsid w:val="009E6639"/>
    <w:rsid w:val="009E6869"/>
    <w:rsid w:val="009E6B05"/>
    <w:rsid w:val="009E763E"/>
    <w:rsid w:val="009E76C5"/>
    <w:rsid w:val="009E7E89"/>
    <w:rsid w:val="009F0121"/>
    <w:rsid w:val="009F0C44"/>
    <w:rsid w:val="009F1A05"/>
    <w:rsid w:val="009F1B9C"/>
    <w:rsid w:val="009F2743"/>
    <w:rsid w:val="009F3193"/>
    <w:rsid w:val="009F3D21"/>
    <w:rsid w:val="009F3EAC"/>
    <w:rsid w:val="009F58DF"/>
    <w:rsid w:val="009F6E07"/>
    <w:rsid w:val="009F6F61"/>
    <w:rsid w:val="009F702B"/>
    <w:rsid w:val="009F7619"/>
    <w:rsid w:val="009F776A"/>
    <w:rsid w:val="009F7A45"/>
    <w:rsid w:val="00A000D5"/>
    <w:rsid w:val="00A00EF2"/>
    <w:rsid w:val="00A01951"/>
    <w:rsid w:val="00A03318"/>
    <w:rsid w:val="00A033A3"/>
    <w:rsid w:val="00A04C0A"/>
    <w:rsid w:val="00A05948"/>
    <w:rsid w:val="00A05F42"/>
    <w:rsid w:val="00A060FF"/>
    <w:rsid w:val="00A071D6"/>
    <w:rsid w:val="00A10AF7"/>
    <w:rsid w:val="00A11212"/>
    <w:rsid w:val="00A11AD4"/>
    <w:rsid w:val="00A12E49"/>
    <w:rsid w:val="00A1417D"/>
    <w:rsid w:val="00A14E15"/>
    <w:rsid w:val="00A157BF"/>
    <w:rsid w:val="00A15939"/>
    <w:rsid w:val="00A1609E"/>
    <w:rsid w:val="00A16817"/>
    <w:rsid w:val="00A17BC6"/>
    <w:rsid w:val="00A209EA"/>
    <w:rsid w:val="00A20FA9"/>
    <w:rsid w:val="00A21927"/>
    <w:rsid w:val="00A21E2E"/>
    <w:rsid w:val="00A21F56"/>
    <w:rsid w:val="00A22246"/>
    <w:rsid w:val="00A2248D"/>
    <w:rsid w:val="00A22E50"/>
    <w:rsid w:val="00A22FA0"/>
    <w:rsid w:val="00A23F55"/>
    <w:rsid w:val="00A2476B"/>
    <w:rsid w:val="00A2599C"/>
    <w:rsid w:val="00A25B87"/>
    <w:rsid w:val="00A26ACB"/>
    <w:rsid w:val="00A26E06"/>
    <w:rsid w:val="00A32051"/>
    <w:rsid w:val="00A342B8"/>
    <w:rsid w:val="00A35DDF"/>
    <w:rsid w:val="00A35F0F"/>
    <w:rsid w:val="00A3681B"/>
    <w:rsid w:val="00A40705"/>
    <w:rsid w:val="00A40BE0"/>
    <w:rsid w:val="00A40CCA"/>
    <w:rsid w:val="00A4190B"/>
    <w:rsid w:val="00A42393"/>
    <w:rsid w:val="00A42990"/>
    <w:rsid w:val="00A431BB"/>
    <w:rsid w:val="00A432C5"/>
    <w:rsid w:val="00A438AF"/>
    <w:rsid w:val="00A44850"/>
    <w:rsid w:val="00A44A20"/>
    <w:rsid w:val="00A45754"/>
    <w:rsid w:val="00A45FD9"/>
    <w:rsid w:val="00A46432"/>
    <w:rsid w:val="00A47AAC"/>
    <w:rsid w:val="00A505E5"/>
    <w:rsid w:val="00A50BE1"/>
    <w:rsid w:val="00A51346"/>
    <w:rsid w:val="00A51426"/>
    <w:rsid w:val="00A523F9"/>
    <w:rsid w:val="00A52859"/>
    <w:rsid w:val="00A53031"/>
    <w:rsid w:val="00A54992"/>
    <w:rsid w:val="00A5531D"/>
    <w:rsid w:val="00A55B94"/>
    <w:rsid w:val="00A55ED1"/>
    <w:rsid w:val="00A56FC8"/>
    <w:rsid w:val="00A572FA"/>
    <w:rsid w:val="00A57E97"/>
    <w:rsid w:val="00A60776"/>
    <w:rsid w:val="00A612EF"/>
    <w:rsid w:val="00A61AE9"/>
    <w:rsid w:val="00A63619"/>
    <w:rsid w:val="00A636AF"/>
    <w:rsid w:val="00A65EBD"/>
    <w:rsid w:val="00A65ED5"/>
    <w:rsid w:val="00A66766"/>
    <w:rsid w:val="00A67C9E"/>
    <w:rsid w:val="00A7005E"/>
    <w:rsid w:val="00A7137D"/>
    <w:rsid w:val="00A72985"/>
    <w:rsid w:val="00A73B3F"/>
    <w:rsid w:val="00A74181"/>
    <w:rsid w:val="00A74572"/>
    <w:rsid w:val="00A75EC7"/>
    <w:rsid w:val="00A771AF"/>
    <w:rsid w:val="00A776EE"/>
    <w:rsid w:val="00A801A5"/>
    <w:rsid w:val="00A80B48"/>
    <w:rsid w:val="00A81440"/>
    <w:rsid w:val="00A8187B"/>
    <w:rsid w:val="00A81AFC"/>
    <w:rsid w:val="00A81C96"/>
    <w:rsid w:val="00A82539"/>
    <w:rsid w:val="00A8375C"/>
    <w:rsid w:val="00A846CB"/>
    <w:rsid w:val="00A84FD3"/>
    <w:rsid w:val="00A854AE"/>
    <w:rsid w:val="00A854BD"/>
    <w:rsid w:val="00A85FC1"/>
    <w:rsid w:val="00A9087B"/>
    <w:rsid w:val="00A90E31"/>
    <w:rsid w:val="00A917B4"/>
    <w:rsid w:val="00A92F36"/>
    <w:rsid w:val="00A937D0"/>
    <w:rsid w:val="00A93FA9"/>
    <w:rsid w:val="00A946F4"/>
    <w:rsid w:val="00A95B5F"/>
    <w:rsid w:val="00A95DD8"/>
    <w:rsid w:val="00A95F79"/>
    <w:rsid w:val="00A96022"/>
    <w:rsid w:val="00A963C1"/>
    <w:rsid w:val="00AA15C4"/>
    <w:rsid w:val="00AA16B8"/>
    <w:rsid w:val="00AA2B89"/>
    <w:rsid w:val="00AA3256"/>
    <w:rsid w:val="00AA426B"/>
    <w:rsid w:val="00AA4BD5"/>
    <w:rsid w:val="00AA5F70"/>
    <w:rsid w:val="00AA645A"/>
    <w:rsid w:val="00AA7490"/>
    <w:rsid w:val="00AA76FA"/>
    <w:rsid w:val="00AA773E"/>
    <w:rsid w:val="00AB05A9"/>
    <w:rsid w:val="00AB0CDA"/>
    <w:rsid w:val="00AB1652"/>
    <w:rsid w:val="00AB175A"/>
    <w:rsid w:val="00AB1F75"/>
    <w:rsid w:val="00AB2109"/>
    <w:rsid w:val="00AB4041"/>
    <w:rsid w:val="00AB4529"/>
    <w:rsid w:val="00AB460C"/>
    <w:rsid w:val="00AB4B7B"/>
    <w:rsid w:val="00AB4D99"/>
    <w:rsid w:val="00AB5237"/>
    <w:rsid w:val="00AB5C99"/>
    <w:rsid w:val="00AB6ED4"/>
    <w:rsid w:val="00AB75C7"/>
    <w:rsid w:val="00AB7CC0"/>
    <w:rsid w:val="00AC0CB6"/>
    <w:rsid w:val="00AC144E"/>
    <w:rsid w:val="00AC1B95"/>
    <w:rsid w:val="00AC20C7"/>
    <w:rsid w:val="00AC2418"/>
    <w:rsid w:val="00AC25C8"/>
    <w:rsid w:val="00AC296B"/>
    <w:rsid w:val="00AC4A7B"/>
    <w:rsid w:val="00AC50A8"/>
    <w:rsid w:val="00AC585C"/>
    <w:rsid w:val="00AC650B"/>
    <w:rsid w:val="00AC6C2B"/>
    <w:rsid w:val="00AC6EF3"/>
    <w:rsid w:val="00AC7CFE"/>
    <w:rsid w:val="00AC7D14"/>
    <w:rsid w:val="00AC7D84"/>
    <w:rsid w:val="00AD121B"/>
    <w:rsid w:val="00AD2641"/>
    <w:rsid w:val="00AD2EA7"/>
    <w:rsid w:val="00AD3457"/>
    <w:rsid w:val="00AD3526"/>
    <w:rsid w:val="00AD35F8"/>
    <w:rsid w:val="00AD3742"/>
    <w:rsid w:val="00AD3FFD"/>
    <w:rsid w:val="00AD4C6D"/>
    <w:rsid w:val="00AD609E"/>
    <w:rsid w:val="00AD6662"/>
    <w:rsid w:val="00AD6931"/>
    <w:rsid w:val="00AE15E1"/>
    <w:rsid w:val="00AE211E"/>
    <w:rsid w:val="00AE291A"/>
    <w:rsid w:val="00AE2EC9"/>
    <w:rsid w:val="00AE3462"/>
    <w:rsid w:val="00AE37B9"/>
    <w:rsid w:val="00AE4079"/>
    <w:rsid w:val="00AE6083"/>
    <w:rsid w:val="00AE64B7"/>
    <w:rsid w:val="00AE72D3"/>
    <w:rsid w:val="00AE7D66"/>
    <w:rsid w:val="00AF0EF2"/>
    <w:rsid w:val="00AF1588"/>
    <w:rsid w:val="00AF1E0E"/>
    <w:rsid w:val="00AF3176"/>
    <w:rsid w:val="00AF4272"/>
    <w:rsid w:val="00AF4339"/>
    <w:rsid w:val="00AF58CF"/>
    <w:rsid w:val="00AF5A4A"/>
    <w:rsid w:val="00AF7F44"/>
    <w:rsid w:val="00B001D5"/>
    <w:rsid w:val="00B00588"/>
    <w:rsid w:val="00B00EF1"/>
    <w:rsid w:val="00B01C0A"/>
    <w:rsid w:val="00B02341"/>
    <w:rsid w:val="00B031F8"/>
    <w:rsid w:val="00B043D6"/>
    <w:rsid w:val="00B04912"/>
    <w:rsid w:val="00B04FA6"/>
    <w:rsid w:val="00B052B4"/>
    <w:rsid w:val="00B05BA8"/>
    <w:rsid w:val="00B06B36"/>
    <w:rsid w:val="00B06C7F"/>
    <w:rsid w:val="00B07051"/>
    <w:rsid w:val="00B07A13"/>
    <w:rsid w:val="00B10E73"/>
    <w:rsid w:val="00B10F61"/>
    <w:rsid w:val="00B13247"/>
    <w:rsid w:val="00B13C42"/>
    <w:rsid w:val="00B14882"/>
    <w:rsid w:val="00B15047"/>
    <w:rsid w:val="00B200D7"/>
    <w:rsid w:val="00B20ABD"/>
    <w:rsid w:val="00B21C2B"/>
    <w:rsid w:val="00B22593"/>
    <w:rsid w:val="00B2321C"/>
    <w:rsid w:val="00B23227"/>
    <w:rsid w:val="00B23505"/>
    <w:rsid w:val="00B2382F"/>
    <w:rsid w:val="00B23BC5"/>
    <w:rsid w:val="00B249A4"/>
    <w:rsid w:val="00B24C7E"/>
    <w:rsid w:val="00B250DE"/>
    <w:rsid w:val="00B26F95"/>
    <w:rsid w:val="00B27B92"/>
    <w:rsid w:val="00B30743"/>
    <w:rsid w:val="00B33F89"/>
    <w:rsid w:val="00B34634"/>
    <w:rsid w:val="00B3517D"/>
    <w:rsid w:val="00B357A4"/>
    <w:rsid w:val="00B35A86"/>
    <w:rsid w:val="00B37BFF"/>
    <w:rsid w:val="00B403F9"/>
    <w:rsid w:val="00B4079B"/>
    <w:rsid w:val="00B40985"/>
    <w:rsid w:val="00B40F4A"/>
    <w:rsid w:val="00B40FF9"/>
    <w:rsid w:val="00B44EE0"/>
    <w:rsid w:val="00B473CA"/>
    <w:rsid w:val="00B50803"/>
    <w:rsid w:val="00B51631"/>
    <w:rsid w:val="00B51855"/>
    <w:rsid w:val="00B51B11"/>
    <w:rsid w:val="00B524A4"/>
    <w:rsid w:val="00B52E9A"/>
    <w:rsid w:val="00B530B4"/>
    <w:rsid w:val="00B539C8"/>
    <w:rsid w:val="00B53B13"/>
    <w:rsid w:val="00B5446D"/>
    <w:rsid w:val="00B54591"/>
    <w:rsid w:val="00B548DA"/>
    <w:rsid w:val="00B54A27"/>
    <w:rsid w:val="00B55C79"/>
    <w:rsid w:val="00B5650D"/>
    <w:rsid w:val="00B5664A"/>
    <w:rsid w:val="00B57117"/>
    <w:rsid w:val="00B57B6C"/>
    <w:rsid w:val="00B57BBE"/>
    <w:rsid w:val="00B603A6"/>
    <w:rsid w:val="00B60E65"/>
    <w:rsid w:val="00B623EB"/>
    <w:rsid w:val="00B63CCC"/>
    <w:rsid w:val="00B642D0"/>
    <w:rsid w:val="00B648B3"/>
    <w:rsid w:val="00B64B07"/>
    <w:rsid w:val="00B64EDB"/>
    <w:rsid w:val="00B6561A"/>
    <w:rsid w:val="00B65FB2"/>
    <w:rsid w:val="00B665B5"/>
    <w:rsid w:val="00B674F6"/>
    <w:rsid w:val="00B70342"/>
    <w:rsid w:val="00B70D3B"/>
    <w:rsid w:val="00B70DBE"/>
    <w:rsid w:val="00B71179"/>
    <w:rsid w:val="00B71806"/>
    <w:rsid w:val="00B73019"/>
    <w:rsid w:val="00B73A5A"/>
    <w:rsid w:val="00B73AA8"/>
    <w:rsid w:val="00B73C42"/>
    <w:rsid w:val="00B745CD"/>
    <w:rsid w:val="00B75859"/>
    <w:rsid w:val="00B7604B"/>
    <w:rsid w:val="00B7692D"/>
    <w:rsid w:val="00B771DC"/>
    <w:rsid w:val="00B778BA"/>
    <w:rsid w:val="00B81322"/>
    <w:rsid w:val="00B81970"/>
    <w:rsid w:val="00B82EBC"/>
    <w:rsid w:val="00B8317A"/>
    <w:rsid w:val="00B833F7"/>
    <w:rsid w:val="00B8552B"/>
    <w:rsid w:val="00B85730"/>
    <w:rsid w:val="00B86140"/>
    <w:rsid w:val="00B86390"/>
    <w:rsid w:val="00B86ABD"/>
    <w:rsid w:val="00B86B88"/>
    <w:rsid w:val="00B8742B"/>
    <w:rsid w:val="00B8747D"/>
    <w:rsid w:val="00B87B0F"/>
    <w:rsid w:val="00B90692"/>
    <w:rsid w:val="00B9356B"/>
    <w:rsid w:val="00B950C9"/>
    <w:rsid w:val="00B953C4"/>
    <w:rsid w:val="00B95FCF"/>
    <w:rsid w:val="00B9683A"/>
    <w:rsid w:val="00BA0739"/>
    <w:rsid w:val="00BA088E"/>
    <w:rsid w:val="00BA0913"/>
    <w:rsid w:val="00BA0C29"/>
    <w:rsid w:val="00BA0DE3"/>
    <w:rsid w:val="00BA13AE"/>
    <w:rsid w:val="00BA178A"/>
    <w:rsid w:val="00BA1FA6"/>
    <w:rsid w:val="00BA2373"/>
    <w:rsid w:val="00BA372D"/>
    <w:rsid w:val="00BA3E5E"/>
    <w:rsid w:val="00BA4469"/>
    <w:rsid w:val="00BA48D1"/>
    <w:rsid w:val="00BA59BB"/>
    <w:rsid w:val="00BA6665"/>
    <w:rsid w:val="00BA6D94"/>
    <w:rsid w:val="00BA6FD7"/>
    <w:rsid w:val="00BA719D"/>
    <w:rsid w:val="00BA7AC2"/>
    <w:rsid w:val="00BB0C06"/>
    <w:rsid w:val="00BB1507"/>
    <w:rsid w:val="00BB1C56"/>
    <w:rsid w:val="00BB22AC"/>
    <w:rsid w:val="00BB3160"/>
    <w:rsid w:val="00BB3647"/>
    <w:rsid w:val="00BB36CF"/>
    <w:rsid w:val="00BB4D1D"/>
    <w:rsid w:val="00BB5AC9"/>
    <w:rsid w:val="00BB604A"/>
    <w:rsid w:val="00BB604B"/>
    <w:rsid w:val="00BB6795"/>
    <w:rsid w:val="00BB7DAC"/>
    <w:rsid w:val="00BC2A94"/>
    <w:rsid w:val="00BC43E4"/>
    <w:rsid w:val="00BC49AB"/>
    <w:rsid w:val="00BC49AD"/>
    <w:rsid w:val="00BC4E0E"/>
    <w:rsid w:val="00BC59BF"/>
    <w:rsid w:val="00BC6058"/>
    <w:rsid w:val="00BC68D3"/>
    <w:rsid w:val="00BC69F3"/>
    <w:rsid w:val="00BC6BBF"/>
    <w:rsid w:val="00BC7B8A"/>
    <w:rsid w:val="00BD012F"/>
    <w:rsid w:val="00BD0929"/>
    <w:rsid w:val="00BD1A6A"/>
    <w:rsid w:val="00BD1B13"/>
    <w:rsid w:val="00BD2ADB"/>
    <w:rsid w:val="00BD31A8"/>
    <w:rsid w:val="00BD432E"/>
    <w:rsid w:val="00BD4808"/>
    <w:rsid w:val="00BD4D9D"/>
    <w:rsid w:val="00BD51E2"/>
    <w:rsid w:val="00BD54E0"/>
    <w:rsid w:val="00BD5521"/>
    <w:rsid w:val="00BD5800"/>
    <w:rsid w:val="00BD5C98"/>
    <w:rsid w:val="00BD5DAE"/>
    <w:rsid w:val="00BD6085"/>
    <w:rsid w:val="00BD7B2F"/>
    <w:rsid w:val="00BE0563"/>
    <w:rsid w:val="00BE227E"/>
    <w:rsid w:val="00BE4189"/>
    <w:rsid w:val="00BE4586"/>
    <w:rsid w:val="00BE4BCC"/>
    <w:rsid w:val="00BE614E"/>
    <w:rsid w:val="00BF07AE"/>
    <w:rsid w:val="00BF0CF7"/>
    <w:rsid w:val="00BF177A"/>
    <w:rsid w:val="00BF1951"/>
    <w:rsid w:val="00BF1CF8"/>
    <w:rsid w:val="00BF204D"/>
    <w:rsid w:val="00BF23C6"/>
    <w:rsid w:val="00BF34AC"/>
    <w:rsid w:val="00BF3E3F"/>
    <w:rsid w:val="00BF4763"/>
    <w:rsid w:val="00BF4CA8"/>
    <w:rsid w:val="00BF5000"/>
    <w:rsid w:val="00BF5518"/>
    <w:rsid w:val="00BF559E"/>
    <w:rsid w:val="00BF5722"/>
    <w:rsid w:val="00BF586B"/>
    <w:rsid w:val="00BF6531"/>
    <w:rsid w:val="00BF7D0D"/>
    <w:rsid w:val="00C000F4"/>
    <w:rsid w:val="00C00842"/>
    <w:rsid w:val="00C00DAC"/>
    <w:rsid w:val="00C0329B"/>
    <w:rsid w:val="00C04618"/>
    <w:rsid w:val="00C05121"/>
    <w:rsid w:val="00C05142"/>
    <w:rsid w:val="00C0516D"/>
    <w:rsid w:val="00C0520D"/>
    <w:rsid w:val="00C054A8"/>
    <w:rsid w:val="00C0657A"/>
    <w:rsid w:val="00C0791E"/>
    <w:rsid w:val="00C07944"/>
    <w:rsid w:val="00C07D05"/>
    <w:rsid w:val="00C10BBE"/>
    <w:rsid w:val="00C10E10"/>
    <w:rsid w:val="00C1188C"/>
    <w:rsid w:val="00C1217A"/>
    <w:rsid w:val="00C133A9"/>
    <w:rsid w:val="00C13563"/>
    <w:rsid w:val="00C13813"/>
    <w:rsid w:val="00C14858"/>
    <w:rsid w:val="00C14C05"/>
    <w:rsid w:val="00C15241"/>
    <w:rsid w:val="00C15441"/>
    <w:rsid w:val="00C16112"/>
    <w:rsid w:val="00C16E96"/>
    <w:rsid w:val="00C20A80"/>
    <w:rsid w:val="00C21292"/>
    <w:rsid w:val="00C21699"/>
    <w:rsid w:val="00C21DD2"/>
    <w:rsid w:val="00C23263"/>
    <w:rsid w:val="00C24193"/>
    <w:rsid w:val="00C24E28"/>
    <w:rsid w:val="00C25419"/>
    <w:rsid w:val="00C260DE"/>
    <w:rsid w:val="00C26427"/>
    <w:rsid w:val="00C27A4A"/>
    <w:rsid w:val="00C301CE"/>
    <w:rsid w:val="00C30D06"/>
    <w:rsid w:val="00C31820"/>
    <w:rsid w:val="00C3240A"/>
    <w:rsid w:val="00C32774"/>
    <w:rsid w:val="00C33C8E"/>
    <w:rsid w:val="00C34F71"/>
    <w:rsid w:val="00C3669A"/>
    <w:rsid w:val="00C36AC7"/>
    <w:rsid w:val="00C37880"/>
    <w:rsid w:val="00C416F5"/>
    <w:rsid w:val="00C41DE5"/>
    <w:rsid w:val="00C42A52"/>
    <w:rsid w:val="00C42B23"/>
    <w:rsid w:val="00C42D9C"/>
    <w:rsid w:val="00C43200"/>
    <w:rsid w:val="00C45B77"/>
    <w:rsid w:val="00C461A5"/>
    <w:rsid w:val="00C47AD0"/>
    <w:rsid w:val="00C5102D"/>
    <w:rsid w:val="00C51605"/>
    <w:rsid w:val="00C51665"/>
    <w:rsid w:val="00C51792"/>
    <w:rsid w:val="00C52179"/>
    <w:rsid w:val="00C54179"/>
    <w:rsid w:val="00C549CD"/>
    <w:rsid w:val="00C54B2A"/>
    <w:rsid w:val="00C56351"/>
    <w:rsid w:val="00C56BE4"/>
    <w:rsid w:val="00C56FD9"/>
    <w:rsid w:val="00C570A2"/>
    <w:rsid w:val="00C572F0"/>
    <w:rsid w:val="00C578F9"/>
    <w:rsid w:val="00C57F65"/>
    <w:rsid w:val="00C6108F"/>
    <w:rsid w:val="00C61F59"/>
    <w:rsid w:val="00C620CB"/>
    <w:rsid w:val="00C62155"/>
    <w:rsid w:val="00C621F6"/>
    <w:rsid w:val="00C62A42"/>
    <w:rsid w:val="00C63057"/>
    <w:rsid w:val="00C636EA"/>
    <w:rsid w:val="00C63A7F"/>
    <w:rsid w:val="00C63FCF"/>
    <w:rsid w:val="00C6477C"/>
    <w:rsid w:val="00C6577C"/>
    <w:rsid w:val="00C661FF"/>
    <w:rsid w:val="00C66A9F"/>
    <w:rsid w:val="00C670E7"/>
    <w:rsid w:val="00C70B39"/>
    <w:rsid w:val="00C7126B"/>
    <w:rsid w:val="00C71AC4"/>
    <w:rsid w:val="00C73E4B"/>
    <w:rsid w:val="00C74621"/>
    <w:rsid w:val="00C757A2"/>
    <w:rsid w:val="00C806CD"/>
    <w:rsid w:val="00C80A2F"/>
    <w:rsid w:val="00C80B48"/>
    <w:rsid w:val="00C81012"/>
    <w:rsid w:val="00C81E0B"/>
    <w:rsid w:val="00C829B2"/>
    <w:rsid w:val="00C82BDA"/>
    <w:rsid w:val="00C838C1"/>
    <w:rsid w:val="00C83DCB"/>
    <w:rsid w:val="00C83F3B"/>
    <w:rsid w:val="00C84E1F"/>
    <w:rsid w:val="00C856C1"/>
    <w:rsid w:val="00C86A7A"/>
    <w:rsid w:val="00C86E2A"/>
    <w:rsid w:val="00C8768C"/>
    <w:rsid w:val="00C878F6"/>
    <w:rsid w:val="00C90624"/>
    <w:rsid w:val="00C9107F"/>
    <w:rsid w:val="00C9181B"/>
    <w:rsid w:val="00C91A16"/>
    <w:rsid w:val="00C91F87"/>
    <w:rsid w:val="00C93B0F"/>
    <w:rsid w:val="00C93FF4"/>
    <w:rsid w:val="00C9466A"/>
    <w:rsid w:val="00C946B4"/>
    <w:rsid w:val="00C94830"/>
    <w:rsid w:val="00C94D1E"/>
    <w:rsid w:val="00C9505B"/>
    <w:rsid w:val="00C97270"/>
    <w:rsid w:val="00CA0CCF"/>
    <w:rsid w:val="00CA0D96"/>
    <w:rsid w:val="00CA2B10"/>
    <w:rsid w:val="00CA2FEB"/>
    <w:rsid w:val="00CA3AFB"/>
    <w:rsid w:val="00CA47E6"/>
    <w:rsid w:val="00CA4B04"/>
    <w:rsid w:val="00CA59A2"/>
    <w:rsid w:val="00CA6682"/>
    <w:rsid w:val="00CA72AD"/>
    <w:rsid w:val="00CA744C"/>
    <w:rsid w:val="00CA7792"/>
    <w:rsid w:val="00CB4307"/>
    <w:rsid w:val="00CB44E7"/>
    <w:rsid w:val="00CB49FF"/>
    <w:rsid w:val="00CB583A"/>
    <w:rsid w:val="00CB59A9"/>
    <w:rsid w:val="00CB5A66"/>
    <w:rsid w:val="00CB64FD"/>
    <w:rsid w:val="00CB6752"/>
    <w:rsid w:val="00CB67C1"/>
    <w:rsid w:val="00CB67DD"/>
    <w:rsid w:val="00CB741A"/>
    <w:rsid w:val="00CB7554"/>
    <w:rsid w:val="00CC084E"/>
    <w:rsid w:val="00CC0C91"/>
    <w:rsid w:val="00CC0D72"/>
    <w:rsid w:val="00CC15A1"/>
    <w:rsid w:val="00CC3096"/>
    <w:rsid w:val="00CC3AE3"/>
    <w:rsid w:val="00CC3CAC"/>
    <w:rsid w:val="00CC4E7A"/>
    <w:rsid w:val="00CC56C7"/>
    <w:rsid w:val="00CC5AE8"/>
    <w:rsid w:val="00CC5BF8"/>
    <w:rsid w:val="00CC5EF7"/>
    <w:rsid w:val="00CC6234"/>
    <w:rsid w:val="00CC6FFD"/>
    <w:rsid w:val="00CC7234"/>
    <w:rsid w:val="00CC73E2"/>
    <w:rsid w:val="00CC7C8D"/>
    <w:rsid w:val="00CC7D10"/>
    <w:rsid w:val="00CC7FF0"/>
    <w:rsid w:val="00CD05EC"/>
    <w:rsid w:val="00CD1676"/>
    <w:rsid w:val="00CD1ECC"/>
    <w:rsid w:val="00CD3AE5"/>
    <w:rsid w:val="00CD3B3B"/>
    <w:rsid w:val="00CD4ABB"/>
    <w:rsid w:val="00CD4DAE"/>
    <w:rsid w:val="00CD4EDC"/>
    <w:rsid w:val="00CD54F0"/>
    <w:rsid w:val="00CD621A"/>
    <w:rsid w:val="00CD65FF"/>
    <w:rsid w:val="00CD69FB"/>
    <w:rsid w:val="00CD789C"/>
    <w:rsid w:val="00CE3329"/>
    <w:rsid w:val="00CE4582"/>
    <w:rsid w:val="00CE7266"/>
    <w:rsid w:val="00CE732D"/>
    <w:rsid w:val="00CE7357"/>
    <w:rsid w:val="00CF03DC"/>
    <w:rsid w:val="00CF1B9C"/>
    <w:rsid w:val="00CF2182"/>
    <w:rsid w:val="00CF27B2"/>
    <w:rsid w:val="00CF2E4D"/>
    <w:rsid w:val="00CF3964"/>
    <w:rsid w:val="00CF3EF4"/>
    <w:rsid w:val="00CF423E"/>
    <w:rsid w:val="00CF5B62"/>
    <w:rsid w:val="00CF5D0A"/>
    <w:rsid w:val="00CF671F"/>
    <w:rsid w:val="00CF6B59"/>
    <w:rsid w:val="00CF7246"/>
    <w:rsid w:val="00D00437"/>
    <w:rsid w:val="00D007FB"/>
    <w:rsid w:val="00D00EF5"/>
    <w:rsid w:val="00D0155C"/>
    <w:rsid w:val="00D03CAD"/>
    <w:rsid w:val="00D0429F"/>
    <w:rsid w:val="00D04D51"/>
    <w:rsid w:val="00D04F22"/>
    <w:rsid w:val="00D05ACD"/>
    <w:rsid w:val="00D07A1F"/>
    <w:rsid w:val="00D07BD8"/>
    <w:rsid w:val="00D101EF"/>
    <w:rsid w:val="00D1329D"/>
    <w:rsid w:val="00D13CB6"/>
    <w:rsid w:val="00D14AD8"/>
    <w:rsid w:val="00D15042"/>
    <w:rsid w:val="00D15521"/>
    <w:rsid w:val="00D15E37"/>
    <w:rsid w:val="00D17520"/>
    <w:rsid w:val="00D17C8B"/>
    <w:rsid w:val="00D213EC"/>
    <w:rsid w:val="00D2282D"/>
    <w:rsid w:val="00D24239"/>
    <w:rsid w:val="00D250FC"/>
    <w:rsid w:val="00D25E1B"/>
    <w:rsid w:val="00D26AA4"/>
    <w:rsid w:val="00D26B69"/>
    <w:rsid w:val="00D26F33"/>
    <w:rsid w:val="00D30686"/>
    <w:rsid w:val="00D31622"/>
    <w:rsid w:val="00D32CEF"/>
    <w:rsid w:val="00D32E0D"/>
    <w:rsid w:val="00D32F4B"/>
    <w:rsid w:val="00D33831"/>
    <w:rsid w:val="00D341FC"/>
    <w:rsid w:val="00D34D61"/>
    <w:rsid w:val="00D35C2F"/>
    <w:rsid w:val="00D36D6A"/>
    <w:rsid w:val="00D37086"/>
    <w:rsid w:val="00D37560"/>
    <w:rsid w:val="00D409FC"/>
    <w:rsid w:val="00D41518"/>
    <w:rsid w:val="00D4211B"/>
    <w:rsid w:val="00D42679"/>
    <w:rsid w:val="00D42ABB"/>
    <w:rsid w:val="00D44D95"/>
    <w:rsid w:val="00D44E88"/>
    <w:rsid w:val="00D453C4"/>
    <w:rsid w:val="00D466EE"/>
    <w:rsid w:val="00D46AE5"/>
    <w:rsid w:val="00D471A4"/>
    <w:rsid w:val="00D47AD6"/>
    <w:rsid w:val="00D47D48"/>
    <w:rsid w:val="00D47FB8"/>
    <w:rsid w:val="00D50837"/>
    <w:rsid w:val="00D50F7B"/>
    <w:rsid w:val="00D523E6"/>
    <w:rsid w:val="00D52898"/>
    <w:rsid w:val="00D54465"/>
    <w:rsid w:val="00D54E2A"/>
    <w:rsid w:val="00D558E5"/>
    <w:rsid w:val="00D560E7"/>
    <w:rsid w:val="00D5669C"/>
    <w:rsid w:val="00D567F8"/>
    <w:rsid w:val="00D568BA"/>
    <w:rsid w:val="00D5702B"/>
    <w:rsid w:val="00D57830"/>
    <w:rsid w:val="00D61525"/>
    <w:rsid w:val="00D62EBB"/>
    <w:rsid w:val="00D635F5"/>
    <w:rsid w:val="00D638F7"/>
    <w:rsid w:val="00D63B02"/>
    <w:rsid w:val="00D63CCE"/>
    <w:rsid w:val="00D64C82"/>
    <w:rsid w:val="00D650D0"/>
    <w:rsid w:val="00D650EC"/>
    <w:rsid w:val="00D6532F"/>
    <w:rsid w:val="00D65817"/>
    <w:rsid w:val="00D664FF"/>
    <w:rsid w:val="00D7008B"/>
    <w:rsid w:val="00D709A2"/>
    <w:rsid w:val="00D72DFF"/>
    <w:rsid w:val="00D73656"/>
    <w:rsid w:val="00D74B6B"/>
    <w:rsid w:val="00D74B90"/>
    <w:rsid w:val="00D74BAA"/>
    <w:rsid w:val="00D757DE"/>
    <w:rsid w:val="00D764A9"/>
    <w:rsid w:val="00D767EC"/>
    <w:rsid w:val="00D76C5C"/>
    <w:rsid w:val="00D77DF9"/>
    <w:rsid w:val="00D800CE"/>
    <w:rsid w:val="00D80959"/>
    <w:rsid w:val="00D814B9"/>
    <w:rsid w:val="00D8197C"/>
    <w:rsid w:val="00D831FC"/>
    <w:rsid w:val="00D8368F"/>
    <w:rsid w:val="00D84A01"/>
    <w:rsid w:val="00D85831"/>
    <w:rsid w:val="00D869DB"/>
    <w:rsid w:val="00D87AE9"/>
    <w:rsid w:val="00D87D73"/>
    <w:rsid w:val="00D9038F"/>
    <w:rsid w:val="00D90DF0"/>
    <w:rsid w:val="00D91CF5"/>
    <w:rsid w:val="00D925EF"/>
    <w:rsid w:val="00D92E17"/>
    <w:rsid w:val="00D93209"/>
    <w:rsid w:val="00D9332E"/>
    <w:rsid w:val="00D96054"/>
    <w:rsid w:val="00D9608D"/>
    <w:rsid w:val="00D96812"/>
    <w:rsid w:val="00D970B1"/>
    <w:rsid w:val="00D97E74"/>
    <w:rsid w:val="00DA06DB"/>
    <w:rsid w:val="00DA0C29"/>
    <w:rsid w:val="00DA1C2C"/>
    <w:rsid w:val="00DA24C1"/>
    <w:rsid w:val="00DA3E38"/>
    <w:rsid w:val="00DA55E9"/>
    <w:rsid w:val="00DA5903"/>
    <w:rsid w:val="00DA5A41"/>
    <w:rsid w:val="00DA5B8D"/>
    <w:rsid w:val="00DA6201"/>
    <w:rsid w:val="00DA6574"/>
    <w:rsid w:val="00DA69DE"/>
    <w:rsid w:val="00DA72E9"/>
    <w:rsid w:val="00DA7395"/>
    <w:rsid w:val="00DA788C"/>
    <w:rsid w:val="00DA7FFA"/>
    <w:rsid w:val="00DB027A"/>
    <w:rsid w:val="00DB1293"/>
    <w:rsid w:val="00DB1EDE"/>
    <w:rsid w:val="00DB1F5B"/>
    <w:rsid w:val="00DB1FC8"/>
    <w:rsid w:val="00DB258E"/>
    <w:rsid w:val="00DB3961"/>
    <w:rsid w:val="00DB4D9B"/>
    <w:rsid w:val="00DB529B"/>
    <w:rsid w:val="00DB5922"/>
    <w:rsid w:val="00DB5B7E"/>
    <w:rsid w:val="00DB5BB1"/>
    <w:rsid w:val="00DB60D3"/>
    <w:rsid w:val="00DB618B"/>
    <w:rsid w:val="00DB6229"/>
    <w:rsid w:val="00DB6589"/>
    <w:rsid w:val="00DB6780"/>
    <w:rsid w:val="00DB796D"/>
    <w:rsid w:val="00DC28FB"/>
    <w:rsid w:val="00DC334E"/>
    <w:rsid w:val="00DC3B03"/>
    <w:rsid w:val="00DC3C36"/>
    <w:rsid w:val="00DC43BA"/>
    <w:rsid w:val="00DC4DBA"/>
    <w:rsid w:val="00DC4E5D"/>
    <w:rsid w:val="00DC55BC"/>
    <w:rsid w:val="00DC5712"/>
    <w:rsid w:val="00DC5A22"/>
    <w:rsid w:val="00DC7659"/>
    <w:rsid w:val="00DC7CFE"/>
    <w:rsid w:val="00DD0E13"/>
    <w:rsid w:val="00DD3DA9"/>
    <w:rsid w:val="00DD4FA8"/>
    <w:rsid w:val="00DD588C"/>
    <w:rsid w:val="00DD685A"/>
    <w:rsid w:val="00DD6EC0"/>
    <w:rsid w:val="00DD72F9"/>
    <w:rsid w:val="00DE014D"/>
    <w:rsid w:val="00DE10C0"/>
    <w:rsid w:val="00DE21CD"/>
    <w:rsid w:val="00DE2D6B"/>
    <w:rsid w:val="00DE30BA"/>
    <w:rsid w:val="00DE32F1"/>
    <w:rsid w:val="00DE3C78"/>
    <w:rsid w:val="00DE4192"/>
    <w:rsid w:val="00DE49C0"/>
    <w:rsid w:val="00DE4F86"/>
    <w:rsid w:val="00DE50E4"/>
    <w:rsid w:val="00DE5208"/>
    <w:rsid w:val="00DE5473"/>
    <w:rsid w:val="00DE61C5"/>
    <w:rsid w:val="00DE721F"/>
    <w:rsid w:val="00DF065C"/>
    <w:rsid w:val="00DF192D"/>
    <w:rsid w:val="00DF25B9"/>
    <w:rsid w:val="00DF3B65"/>
    <w:rsid w:val="00DF3E2C"/>
    <w:rsid w:val="00DF43B9"/>
    <w:rsid w:val="00DF4814"/>
    <w:rsid w:val="00DF486C"/>
    <w:rsid w:val="00DF4D3B"/>
    <w:rsid w:val="00DF5A17"/>
    <w:rsid w:val="00DF5B06"/>
    <w:rsid w:val="00DF6C26"/>
    <w:rsid w:val="00E00347"/>
    <w:rsid w:val="00E012DF"/>
    <w:rsid w:val="00E0250C"/>
    <w:rsid w:val="00E02A23"/>
    <w:rsid w:val="00E02CC7"/>
    <w:rsid w:val="00E02E53"/>
    <w:rsid w:val="00E030BD"/>
    <w:rsid w:val="00E03615"/>
    <w:rsid w:val="00E03D47"/>
    <w:rsid w:val="00E04537"/>
    <w:rsid w:val="00E04C63"/>
    <w:rsid w:val="00E0538F"/>
    <w:rsid w:val="00E0620D"/>
    <w:rsid w:val="00E065D5"/>
    <w:rsid w:val="00E068FD"/>
    <w:rsid w:val="00E07D78"/>
    <w:rsid w:val="00E1057E"/>
    <w:rsid w:val="00E10CF5"/>
    <w:rsid w:val="00E11F87"/>
    <w:rsid w:val="00E12DB3"/>
    <w:rsid w:val="00E137AB"/>
    <w:rsid w:val="00E141B5"/>
    <w:rsid w:val="00E159AE"/>
    <w:rsid w:val="00E1720F"/>
    <w:rsid w:val="00E20400"/>
    <w:rsid w:val="00E20526"/>
    <w:rsid w:val="00E21ED6"/>
    <w:rsid w:val="00E221E7"/>
    <w:rsid w:val="00E22225"/>
    <w:rsid w:val="00E23054"/>
    <w:rsid w:val="00E23E65"/>
    <w:rsid w:val="00E240FA"/>
    <w:rsid w:val="00E2415F"/>
    <w:rsid w:val="00E24427"/>
    <w:rsid w:val="00E252DC"/>
    <w:rsid w:val="00E252F8"/>
    <w:rsid w:val="00E2577B"/>
    <w:rsid w:val="00E260A6"/>
    <w:rsid w:val="00E26A1A"/>
    <w:rsid w:val="00E2703B"/>
    <w:rsid w:val="00E272E1"/>
    <w:rsid w:val="00E27685"/>
    <w:rsid w:val="00E3019C"/>
    <w:rsid w:val="00E3082E"/>
    <w:rsid w:val="00E324F6"/>
    <w:rsid w:val="00E32A63"/>
    <w:rsid w:val="00E32D55"/>
    <w:rsid w:val="00E33F28"/>
    <w:rsid w:val="00E34496"/>
    <w:rsid w:val="00E34DAB"/>
    <w:rsid w:val="00E354A8"/>
    <w:rsid w:val="00E3681C"/>
    <w:rsid w:val="00E36961"/>
    <w:rsid w:val="00E37102"/>
    <w:rsid w:val="00E373B9"/>
    <w:rsid w:val="00E376BE"/>
    <w:rsid w:val="00E37A9A"/>
    <w:rsid w:val="00E40E6C"/>
    <w:rsid w:val="00E40F7B"/>
    <w:rsid w:val="00E40F8F"/>
    <w:rsid w:val="00E41926"/>
    <w:rsid w:val="00E42CB5"/>
    <w:rsid w:val="00E4491F"/>
    <w:rsid w:val="00E44B06"/>
    <w:rsid w:val="00E45394"/>
    <w:rsid w:val="00E457B0"/>
    <w:rsid w:val="00E46393"/>
    <w:rsid w:val="00E467C7"/>
    <w:rsid w:val="00E50334"/>
    <w:rsid w:val="00E50D71"/>
    <w:rsid w:val="00E524F4"/>
    <w:rsid w:val="00E52D7C"/>
    <w:rsid w:val="00E52E51"/>
    <w:rsid w:val="00E53C63"/>
    <w:rsid w:val="00E54AAA"/>
    <w:rsid w:val="00E55D9E"/>
    <w:rsid w:val="00E55DCF"/>
    <w:rsid w:val="00E55E34"/>
    <w:rsid w:val="00E60268"/>
    <w:rsid w:val="00E602CD"/>
    <w:rsid w:val="00E60677"/>
    <w:rsid w:val="00E60977"/>
    <w:rsid w:val="00E60BA7"/>
    <w:rsid w:val="00E60FCD"/>
    <w:rsid w:val="00E62A11"/>
    <w:rsid w:val="00E63AFC"/>
    <w:rsid w:val="00E63E3F"/>
    <w:rsid w:val="00E644B3"/>
    <w:rsid w:val="00E64F60"/>
    <w:rsid w:val="00E66DDA"/>
    <w:rsid w:val="00E66E5B"/>
    <w:rsid w:val="00E70B2E"/>
    <w:rsid w:val="00E70C97"/>
    <w:rsid w:val="00E714C2"/>
    <w:rsid w:val="00E71E23"/>
    <w:rsid w:val="00E72344"/>
    <w:rsid w:val="00E73106"/>
    <w:rsid w:val="00E73D0E"/>
    <w:rsid w:val="00E74AD3"/>
    <w:rsid w:val="00E75079"/>
    <w:rsid w:val="00E750A2"/>
    <w:rsid w:val="00E75CF3"/>
    <w:rsid w:val="00E77B1E"/>
    <w:rsid w:val="00E80015"/>
    <w:rsid w:val="00E808B8"/>
    <w:rsid w:val="00E80AF2"/>
    <w:rsid w:val="00E8193E"/>
    <w:rsid w:val="00E81EF1"/>
    <w:rsid w:val="00E8275C"/>
    <w:rsid w:val="00E82EBD"/>
    <w:rsid w:val="00E845AE"/>
    <w:rsid w:val="00E8597E"/>
    <w:rsid w:val="00E85CC8"/>
    <w:rsid w:val="00E8609E"/>
    <w:rsid w:val="00E86234"/>
    <w:rsid w:val="00E875D5"/>
    <w:rsid w:val="00E87837"/>
    <w:rsid w:val="00E9029E"/>
    <w:rsid w:val="00E90E61"/>
    <w:rsid w:val="00E9101F"/>
    <w:rsid w:val="00E91FA5"/>
    <w:rsid w:val="00E91FF2"/>
    <w:rsid w:val="00E94070"/>
    <w:rsid w:val="00E94D48"/>
    <w:rsid w:val="00E95AED"/>
    <w:rsid w:val="00E96DFA"/>
    <w:rsid w:val="00E97126"/>
    <w:rsid w:val="00E97E04"/>
    <w:rsid w:val="00EA006A"/>
    <w:rsid w:val="00EA2498"/>
    <w:rsid w:val="00EA2D65"/>
    <w:rsid w:val="00EA2D6A"/>
    <w:rsid w:val="00EA331A"/>
    <w:rsid w:val="00EA3C43"/>
    <w:rsid w:val="00EA47DF"/>
    <w:rsid w:val="00EA54A1"/>
    <w:rsid w:val="00EA5686"/>
    <w:rsid w:val="00EA5B13"/>
    <w:rsid w:val="00EA652F"/>
    <w:rsid w:val="00EA696E"/>
    <w:rsid w:val="00EA7D2D"/>
    <w:rsid w:val="00EB0168"/>
    <w:rsid w:val="00EB0DE6"/>
    <w:rsid w:val="00EB109F"/>
    <w:rsid w:val="00EB161B"/>
    <w:rsid w:val="00EB1800"/>
    <w:rsid w:val="00EB1E24"/>
    <w:rsid w:val="00EB335F"/>
    <w:rsid w:val="00EB4496"/>
    <w:rsid w:val="00EB4723"/>
    <w:rsid w:val="00EB492E"/>
    <w:rsid w:val="00EB6226"/>
    <w:rsid w:val="00EB648B"/>
    <w:rsid w:val="00EB6B9D"/>
    <w:rsid w:val="00EC0FA1"/>
    <w:rsid w:val="00EC11AD"/>
    <w:rsid w:val="00EC186F"/>
    <w:rsid w:val="00EC1A7B"/>
    <w:rsid w:val="00EC1C51"/>
    <w:rsid w:val="00EC21E5"/>
    <w:rsid w:val="00EC2DE5"/>
    <w:rsid w:val="00EC3DEA"/>
    <w:rsid w:val="00EC40F0"/>
    <w:rsid w:val="00EC5C43"/>
    <w:rsid w:val="00EC6F86"/>
    <w:rsid w:val="00ED1702"/>
    <w:rsid w:val="00ED1F82"/>
    <w:rsid w:val="00ED3475"/>
    <w:rsid w:val="00ED371C"/>
    <w:rsid w:val="00ED3FD7"/>
    <w:rsid w:val="00ED42F2"/>
    <w:rsid w:val="00ED4C65"/>
    <w:rsid w:val="00ED4E64"/>
    <w:rsid w:val="00ED590D"/>
    <w:rsid w:val="00ED598F"/>
    <w:rsid w:val="00ED6117"/>
    <w:rsid w:val="00ED62BD"/>
    <w:rsid w:val="00ED6C09"/>
    <w:rsid w:val="00ED7CDC"/>
    <w:rsid w:val="00EE079A"/>
    <w:rsid w:val="00EE27B4"/>
    <w:rsid w:val="00EE2B12"/>
    <w:rsid w:val="00EE329B"/>
    <w:rsid w:val="00EE3386"/>
    <w:rsid w:val="00EE38AA"/>
    <w:rsid w:val="00EE3C88"/>
    <w:rsid w:val="00EE3EE2"/>
    <w:rsid w:val="00EE41D2"/>
    <w:rsid w:val="00EE4778"/>
    <w:rsid w:val="00EE4D7F"/>
    <w:rsid w:val="00EE5021"/>
    <w:rsid w:val="00EE5B46"/>
    <w:rsid w:val="00EE686E"/>
    <w:rsid w:val="00EF1B45"/>
    <w:rsid w:val="00EF1BE7"/>
    <w:rsid w:val="00EF1C8B"/>
    <w:rsid w:val="00EF237C"/>
    <w:rsid w:val="00EF23DE"/>
    <w:rsid w:val="00EF38CE"/>
    <w:rsid w:val="00EF46D1"/>
    <w:rsid w:val="00EF48C6"/>
    <w:rsid w:val="00EF4F4E"/>
    <w:rsid w:val="00EF5616"/>
    <w:rsid w:val="00EF6F85"/>
    <w:rsid w:val="00EF7739"/>
    <w:rsid w:val="00EF7A10"/>
    <w:rsid w:val="00F01D95"/>
    <w:rsid w:val="00F04903"/>
    <w:rsid w:val="00F0576A"/>
    <w:rsid w:val="00F05979"/>
    <w:rsid w:val="00F06BA3"/>
    <w:rsid w:val="00F06CEF"/>
    <w:rsid w:val="00F07059"/>
    <w:rsid w:val="00F073C5"/>
    <w:rsid w:val="00F07990"/>
    <w:rsid w:val="00F10820"/>
    <w:rsid w:val="00F10877"/>
    <w:rsid w:val="00F115DD"/>
    <w:rsid w:val="00F11A79"/>
    <w:rsid w:val="00F128AB"/>
    <w:rsid w:val="00F13573"/>
    <w:rsid w:val="00F137DB"/>
    <w:rsid w:val="00F1397A"/>
    <w:rsid w:val="00F13CEE"/>
    <w:rsid w:val="00F154F7"/>
    <w:rsid w:val="00F15C0E"/>
    <w:rsid w:val="00F15CC1"/>
    <w:rsid w:val="00F1678F"/>
    <w:rsid w:val="00F16963"/>
    <w:rsid w:val="00F17889"/>
    <w:rsid w:val="00F179DA"/>
    <w:rsid w:val="00F21868"/>
    <w:rsid w:val="00F22DB3"/>
    <w:rsid w:val="00F233E5"/>
    <w:rsid w:val="00F23E80"/>
    <w:rsid w:val="00F241CC"/>
    <w:rsid w:val="00F25791"/>
    <w:rsid w:val="00F273B2"/>
    <w:rsid w:val="00F30869"/>
    <w:rsid w:val="00F30990"/>
    <w:rsid w:val="00F30B72"/>
    <w:rsid w:val="00F30CB4"/>
    <w:rsid w:val="00F30DD8"/>
    <w:rsid w:val="00F31DA4"/>
    <w:rsid w:val="00F32440"/>
    <w:rsid w:val="00F327C7"/>
    <w:rsid w:val="00F32C70"/>
    <w:rsid w:val="00F3317B"/>
    <w:rsid w:val="00F34991"/>
    <w:rsid w:val="00F34A12"/>
    <w:rsid w:val="00F353F6"/>
    <w:rsid w:val="00F35B80"/>
    <w:rsid w:val="00F36ABD"/>
    <w:rsid w:val="00F37819"/>
    <w:rsid w:val="00F40352"/>
    <w:rsid w:val="00F407C7"/>
    <w:rsid w:val="00F4081F"/>
    <w:rsid w:val="00F43B0C"/>
    <w:rsid w:val="00F448D8"/>
    <w:rsid w:val="00F44FF5"/>
    <w:rsid w:val="00F46153"/>
    <w:rsid w:val="00F463A5"/>
    <w:rsid w:val="00F468DE"/>
    <w:rsid w:val="00F46A43"/>
    <w:rsid w:val="00F471E4"/>
    <w:rsid w:val="00F50D20"/>
    <w:rsid w:val="00F52475"/>
    <w:rsid w:val="00F52FD6"/>
    <w:rsid w:val="00F53A1B"/>
    <w:rsid w:val="00F53BF4"/>
    <w:rsid w:val="00F5459A"/>
    <w:rsid w:val="00F55C01"/>
    <w:rsid w:val="00F56A21"/>
    <w:rsid w:val="00F57F9A"/>
    <w:rsid w:val="00F61455"/>
    <w:rsid w:val="00F63592"/>
    <w:rsid w:val="00F63D40"/>
    <w:rsid w:val="00F65813"/>
    <w:rsid w:val="00F65F33"/>
    <w:rsid w:val="00F66EC0"/>
    <w:rsid w:val="00F70530"/>
    <w:rsid w:val="00F70FFD"/>
    <w:rsid w:val="00F7154A"/>
    <w:rsid w:val="00F73443"/>
    <w:rsid w:val="00F7390A"/>
    <w:rsid w:val="00F73AD3"/>
    <w:rsid w:val="00F74A75"/>
    <w:rsid w:val="00F75287"/>
    <w:rsid w:val="00F775EF"/>
    <w:rsid w:val="00F803AF"/>
    <w:rsid w:val="00F820C2"/>
    <w:rsid w:val="00F83F6B"/>
    <w:rsid w:val="00F84CC5"/>
    <w:rsid w:val="00F85500"/>
    <w:rsid w:val="00F85DAE"/>
    <w:rsid w:val="00F86DDB"/>
    <w:rsid w:val="00F876B0"/>
    <w:rsid w:val="00F87F8C"/>
    <w:rsid w:val="00F900F6"/>
    <w:rsid w:val="00F90E3B"/>
    <w:rsid w:val="00F91613"/>
    <w:rsid w:val="00F92034"/>
    <w:rsid w:val="00F926CF"/>
    <w:rsid w:val="00F92C87"/>
    <w:rsid w:val="00F93F6F"/>
    <w:rsid w:val="00F94EA0"/>
    <w:rsid w:val="00F95152"/>
    <w:rsid w:val="00F95E07"/>
    <w:rsid w:val="00F96596"/>
    <w:rsid w:val="00FA0FFD"/>
    <w:rsid w:val="00FA1417"/>
    <w:rsid w:val="00FA15E6"/>
    <w:rsid w:val="00FA16B6"/>
    <w:rsid w:val="00FA2347"/>
    <w:rsid w:val="00FA242E"/>
    <w:rsid w:val="00FA2A22"/>
    <w:rsid w:val="00FA32D1"/>
    <w:rsid w:val="00FA332C"/>
    <w:rsid w:val="00FA3445"/>
    <w:rsid w:val="00FA34ED"/>
    <w:rsid w:val="00FA3A6B"/>
    <w:rsid w:val="00FA4E0D"/>
    <w:rsid w:val="00FA4F31"/>
    <w:rsid w:val="00FA5188"/>
    <w:rsid w:val="00FA622B"/>
    <w:rsid w:val="00FA63F7"/>
    <w:rsid w:val="00FA6855"/>
    <w:rsid w:val="00FA68C7"/>
    <w:rsid w:val="00FA6E79"/>
    <w:rsid w:val="00FB154F"/>
    <w:rsid w:val="00FB335C"/>
    <w:rsid w:val="00FB4393"/>
    <w:rsid w:val="00FB473F"/>
    <w:rsid w:val="00FB5683"/>
    <w:rsid w:val="00FB5BB4"/>
    <w:rsid w:val="00FB5BFF"/>
    <w:rsid w:val="00FB6147"/>
    <w:rsid w:val="00FB67CA"/>
    <w:rsid w:val="00FB7F73"/>
    <w:rsid w:val="00FC2930"/>
    <w:rsid w:val="00FC2F04"/>
    <w:rsid w:val="00FC3171"/>
    <w:rsid w:val="00FC33FA"/>
    <w:rsid w:val="00FC3C9B"/>
    <w:rsid w:val="00FC4695"/>
    <w:rsid w:val="00FC5021"/>
    <w:rsid w:val="00FC59B2"/>
    <w:rsid w:val="00FC5D3B"/>
    <w:rsid w:val="00FC69CF"/>
    <w:rsid w:val="00FC713F"/>
    <w:rsid w:val="00FC726F"/>
    <w:rsid w:val="00FC7C3D"/>
    <w:rsid w:val="00FD1812"/>
    <w:rsid w:val="00FD1857"/>
    <w:rsid w:val="00FD1919"/>
    <w:rsid w:val="00FD199D"/>
    <w:rsid w:val="00FD2143"/>
    <w:rsid w:val="00FD3353"/>
    <w:rsid w:val="00FD4368"/>
    <w:rsid w:val="00FD4935"/>
    <w:rsid w:val="00FD4A49"/>
    <w:rsid w:val="00FD4EC6"/>
    <w:rsid w:val="00FD509D"/>
    <w:rsid w:val="00FD70F0"/>
    <w:rsid w:val="00FD7186"/>
    <w:rsid w:val="00FD7282"/>
    <w:rsid w:val="00FE0D44"/>
    <w:rsid w:val="00FE1CCA"/>
    <w:rsid w:val="00FE23E9"/>
    <w:rsid w:val="00FE2C6E"/>
    <w:rsid w:val="00FE32F9"/>
    <w:rsid w:val="00FE42A9"/>
    <w:rsid w:val="00FE621B"/>
    <w:rsid w:val="00FE69B6"/>
    <w:rsid w:val="00FE71F9"/>
    <w:rsid w:val="00FE7B7F"/>
    <w:rsid w:val="00FE7D9E"/>
    <w:rsid w:val="00FF0B15"/>
    <w:rsid w:val="00FF0DB1"/>
    <w:rsid w:val="00FF1153"/>
    <w:rsid w:val="00FF11DD"/>
    <w:rsid w:val="00FF1295"/>
    <w:rsid w:val="00FF1938"/>
    <w:rsid w:val="00FF2D50"/>
    <w:rsid w:val="00FF3579"/>
    <w:rsid w:val="00FF3C2F"/>
    <w:rsid w:val="00FF430A"/>
    <w:rsid w:val="00FF4FA8"/>
    <w:rsid w:val="00FF5768"/>
    <w:rsid w:val="00FF6867"/>
    <w:rsid w:val="00FF6EA1"/>
    <w:rsid w:val="00FF73CB"/>
    <w:rsid w:val="00FF7B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7A8AF6"/>
  <w15:chartTrackingRefBased/>
  <w15:docId w15:val="{A238370E-B1C4-466C-AFF8-0E5B779E7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54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C4F6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C3B7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B027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027A"/>
    <w:rPr>
      <w:sz w:val="20"/>
      <w:szCs w:val="20"/>
    </w:rPr>
  </w:style>
  <w:style w:type="character" w:styleId="FootnoteReference">
    <w:name w:val="footnote reference"/>
    <w:basedOn w:val="DefaultParagraphFont"/>
    <w:uiPriority w:val="99"/>
    <w:semiHidden/>
    <w:unhideWhenUsed/>
    <w:rsid w:val="00DB027A"/>
    <w:rPr>
      <w:vertAlign w:val="superscript"/>
    </w:rPr>
  </w:style>
  <w:style w:type="character" w:styleId="Hyperlink">
    <w:name w:val="Hyperlink"/>
    <w:basedOn w:val="DefaultParagraphFont"/>
    <w:uiPriority w:val="99"/>
    <w:unhideWhenUsed/>
    <w:rsid w:val="003803C8"/>
    <w:rPr>
      <w:color w:val="0563C1" w:themeColor="hyperlink"/>
      <w:u w:val="single"/>
    </w:rPr>
  </w:style>
  <w:style w:type="character" w:customStyle="1" w:styleId="UnresolvedMention1">
    <w:name w:val="Unresolved Mention1"/>
    <w:basedOn w:val="DefaultParagraphFont"/>
    <w:uiPriority w:val="99"/>
    <w:semiHidden/>
    <w:unhideWhenUsed/>
    <w:rsid w:val="003803C8"/>
    <w:rPr>
      <w:color w:val="605E5C"/>
      <w:shd w:val="clear" w:color="auto" w:fill="E1DFDD"/>
    </w:rPr>
  </w:style>
  <w:style w:type="paragraph" w:styleId="ListParagraph">
    <w:name w:val="List Paragraph"/>
    <w:basedOn w:val="Normal"/>
    <w:uiPriority w:val="34"/>
    <w:qFormat/>
    <w:rsid w:val="000D06FF"/>
    <w:pPr>
      <w:spacing w:line="256" w:lineRule="auto"/>
      <w:ind w:left="720"/>
      <w:contextualSpacing/>
    </w:pPr>
    <w:rPr>
      <w:rFonts w:ascii="Calibri" w:eastAsia="Calibri" w:hAnsi="Calibri" w:cs="Times New Roman"/>
    </w:rPr>
  </w:style>
  <w:style w:type="character" w:customStyle="1" w:styleId="Heading1Char">
    <w:name w:val="Heading 1 Char"/>
    <w:basedOn w:val="DefaultParagraphFont"/>
    <w:link w:val="Heading1"/>
    <w:uiPriority w:val="9"/>
    <w:rsid w:val="00C2541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25419"/>
    <w:pPr>
      <w:outlineLvl w:val="9"/>
    </w:pPr>
    <w:rPr>
      <w:lang w:val="en-US"/>
    </w:rPr>
  </w:style>
  <w:style w:type="paragraph" w:styleId="TOC1">
    <w:name w:val="toc 1"/>
    <w:basedOn w:val="Normal"/>
    <w:next w:val="Normal"/>
    <w:autoRedefine/>
    <w:uiPriority w:val="39"/>
    <w:unhideWhenUsed/>
    <w:rsid w:val="00C25419"/>
    <w:pPr>
      <w:spacing w:after="100"/>
    </w:pPr>
  </w:style>
  <w:style w:type="paragraph" w:styleId="NoSpacing">
    <w:name w:val="No Spacing"/>
    <w:link w:val="NoSpacingChar"/>
    <w:uiPriority w:val="1"/>
    <w:qFormat/>
    <w:rsid w:val="0047564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475649"/>
    <w:rPr>
      <w:rFonts w:eastAsiaTheme="minorEastAsia"/>
      <w:lang w:val="en-US"/>
    </w:rPr>
  </w:style>
  <w:style w:type="paragraph" w:styleId="BalloonText">
    <w:name w:val="Balloon Text"/>
    <w:basedOn w:val="Normal"/>
    <w:link w:val="BalloonTextChar"/>
    <w:uiPriority w:val="99"/>
    <w:semiHidden/>
    <w:unhideWhenUsed/>
    <w:rsid w:val="003F1B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1BF8"/>
    <w:rPr>
      <w:rFonts w:ascii="Segoe UI" w:hAnsi="Segoe UI" w:cs="Segoe UI"/>
      <w:sz w:val="18"/>
      <w:szCs w:val="18"/>
    </w:rPr>
  </w:style>
  <w:style w:type="paragraph" w:styleId="Title">
    <w:name w:val="Title"/>
    <w:basedOn w:val="Normal"/>
    <w:next w:val="Normal"/>
    <w:link w:val="TitleChar"/>
    <w:uiPriority w:val="10"/>
    <w:qFormat/>
    <w:rsid w:val="00717DA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7DA8"/>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5C4F69"/>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D2282D"/>
    <w:pPr>
      <w:tabs>
        <w:tab w:val="left" w:pos="880"/>
        <w:tab w:val="right" w:leader="dot" w:pos="9016"/>
      </w:tabs>
      <w:spacing w:after="100" w:line="360" w:lineRule="auto"/>
      <w:ind w:left="220"/>
      <w:jc w:val="both"/>
    </w:pPr>
    <w:rPr>
      <w:rFonts w:ascii="Book Antiqua" w:eastAsia="Calibri" w:hAnsi="Book Antiqua" w:cs="Times New Roman"/>
      <w:b/>
      <w:bCs/>
      <w:noProof/>
      <w:sz w:val="24"/>
      <w:szCs w:val="24"/>
    </w:rPr>
  </w:style>
  <w:style w:type="paragraph" w:styleId="Header">
    <w:name w:val="header"/>
    <w:basedOn w:val="Normal"/>
    <w:link w:val="HeaderChar"/>
    <w:uiPriority w:val="99"/>
    <w:unhideWhenUsed/>
    <w:rsid w:val="009D2F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2F56"/>
  </w:style>
  <w:style w:type="paragraph" w:styleId="Footer">
    <w:name w:val="footer"/>
    <w:basedOn w:val="Normal"/>
    <w:link w:val="FooterChar"/>
    <w:uiPriority w:val="99"/>
    <w:unhideWhenUsed/>
    <w:rsid w:val="009D2F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2F56"/>
  </w:style>
  <w:style w:type="character" w:customStyle="1" w:styleId="Heading3Char">
    <w:name w:val="Heading 3 Char"/>
    <w:basedOn w:val="DefaultParagraphFont"/>
    <w:link w:val="Heading3"/>
    <w:uiPriority w:val="9"/>
    <w:rsid w:val="007C3B7B"/>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F1BE7"/>
    <w:pPr>
      <w:spacing w:after="100"/>
      <w:ind w:left="440"/>
    </w:pPr>
  </w:style>
  <w:style w:type="character" w:styleId="CommentReference">
    <w:name w:val="annotation reference"/>
    <w:basedOn w:val="DefaultParagraphFont"/>
    <w:uiPriority w:val="99"/>
    <w:semiHidden/>
    <w:unhideWhenUsed/>
    <w:rsid w:val="00493DB2"/>
    <w:rPr>
      <w:sz w:val="16"/>
      <w:szCs w:val="16"/>
    </w:rPr>
  </w:style>
  <w:style w:type="paragraph" w:styleId="CommentText">
    <w:name w:val="annotation text"/>
    <w:basedOn w:val="Normal"/>
    <w:link w:val="CommentTextChar"/>
    <w:uiPriority w:val="99"/>
    <w:semiHidden/>
    <w:unhideWhenUsed/>
    <w:rsid w:val="00493DB2"/>
    <w:pPr>
      <w:spacing w:line="240" w:lineRule="auto"/>
    </w:pPr>
    <w:rPr>
      <w:sz w:val="20"/>
      <w:szCs w:val="20"/>
    </w:rPr>
  </w:style>
  <w:style w:type="character" w:customStyle="1" w:styleId="CommentTextChar">
    <w:name w:val="Comment Text Char"/>
    <w:basedOn w:val="DefaultParagraphFont"/>
    <w:link w:val="CommentText"/>
    <w:uiPriority w:val="99"/>
    <w:semiHidden/>
    <w:rsid w:val="00493DB2"/>
    <w:rPr>
      <w:sz w:val="20"/>
      <w:szCs w:val="20"/>
    </w:rPr>
  </w:style>
  <w:style w:type="paragraph" w:styleId="CommentSubject">
    <w:name w:val="annotation subject"/>
    <w:basedOn w:val="CommentText"/>
    <w:next w:val="CommentText"/>
    <w:link w:val="CommentSubjectChar"/>
    <w:uiPriority w:val="99"/>
    <w:semiHidden/>
    <w:unhideWhenUsed/>
    <w:rsid w:val="00493DB2"/>
    <w:rPr>
      <w:b/>
      <w:bCs/>
    </w:rPr>
  </w:style>
  <w:style w:type="character" w:customStyle="1" w:styleId="CommentSubjectChar">
    <w:name w:val="Comment Subject Char"/>
    <w:basedOn w:val="CommentTextChar"/>
    <w:link w:val="CommentSubject"/>
    <w:uiPriority w:val="99"/>
    <w:semiHidden/>
    <w:rsid w:val="00493DB2"/>
    <w:rPr>
      <w:b/>
      <w:bCs/>
      <w:sz w:val="20"/>
      <w:szCs w:val="20"/>
    </w:rPr>
  </w:style>
  <w:style w:type="character" w:styleId="UnresolvedMention">
    <w:name w:val="Unresolved Mention"/>
    <w:basedOn w:val="DefaultParagraphFont"/>
    <w:uiPriority w:val="99"/>
    <w:semiHidden/>
    <w:unhideWhenUsed/>
    <w:rsid w:val="00402E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190311">
      <w:bodyDiv w:val="1"/>
      <w:marLeft w:val="0"/>
      <w:marRight w:val="0"/>
      <w:marTop w:val="0"/>
      <w:marBottom w:val="0"/>
      <w:divBdr>
        <w:top w:val="none" w:sz="0" w:space="0" w:color="auto"/>
        <w:left w:val="none" w:sz="0" w:space="0" w:color="auto"/>
        <w:bottom w:val="none" w:sz="0" w:space="0" w:color="auto"/>
        <w:right w:val="none" w:sz="0" w:space="0" w:color="auto"/>
      </w:divBdr>
    </w:div>
    <w:div w:id="174003478">
      <w:bodyDiv w:val="1"/>
      <w:marLeft w:val="0"/>
      <w:marRight w:val="0"/>
      <w:marTop w:val="0"/>
      <w:marBottom w:val="0"/>
      <w:divBdr>
        <w:top w:val="none" w:sz="0" w:space="0" w:color="auto"/>
        <w:left w:val="none" w:sz="0" w:space="0" w:color="auto"/>
        <w:bottom w:val="none" w:sz="0" w:space="0" w:color="auto"/>
        <w:right w:val="none" w:sz="0" w:space="0" w:color="auto"/>
      </w:divBdr>
    </w:div>
    <w:div w:id="273949240">
      <w:bodyDiv w:val="1"/>
      <w:marLeft w:val="0"/>
      <w:marRight w:val="0"/>
      <w:marTop w:val="0"/>
      <w:marBottom w:val="0"/>
      <w:divBdr>
        <w:top w:val="none" w:sz="0" w:space="0" w:color="auto"/>
        <w:left w:val="none" w:sz="0" w:space="0" w:color="auto"/>
        <w:bottom w:val="none" w:sz="0" w:space="0" w:color="auto"/>
        <w:right w:val="none" w:sz="0" w:space="0" w:color="auto"/>
      </w:divBdr>
    </w:div>
    <w:div w:id="520052639">
      <w:bodyDiv w:val="1"/>
      <w:marLeft w:val="0"/>
      <w:marRight w:val="0"/>
      <w:marTop w:val="0"/>
      <w:marBottom w:val="0"/>
      <w:divBdr>
        <w:top w:val="none" w:sz="0" w:space="0" w:color="auto"/>
        <w:left w:val="none" w:sz="0" w:space="0" w:color="auto"/>
        <w:bottom w:val="none" w:sz="0" w:space="0" w:color="auto"/>
        <w:right w:val="none" w:sz="0" w:space="0" w:color="auto"/>
      </w:divBdr>
    </w:div>
    <w:div w:id="524246196">
      <w:bodyDiv w:val="1"/>
      <w:marLeft w:val="0"/>
      <w:marRight w:val="0"/>
      <w:marTop w:val="0"/>
      <w:marBottom w:val="0"/>
      <w:divBdr>
        <w:top w:val="none" w:sz="0" w:space="0" w:color="auto"/>
        <w:left w:val="none" w:sz="0" w:space="0" w:color="auto"/>
        <w:bottom w:val="none" w:sz="0" w:space="0" w:color="auto"/>
        <w:right w:val="none" w:sz="0" w:space="0" w:color="auto"/>
      </w:divBdr>
    </w:div>
    <w:div w:id="824246636">
      <w:bodyDiv w:val="1"/>
      <w:marLeft w:val="0"/>
      <w:marRight w:val="0"/>
      <w:marTop w:val="0"/>
      <w:marBottom w:val="0"/>
      <w:divBdr>
        <w:top w:val="none" w:sz="0" w:space="0" w:color="auto"/>
        <w:left w:val="none" w:sz="0" w:space="0" w:color="auto"/>
        <w:bottom w:val="none" w:sz="0" w:space="0" w:color="auto"/>
        <w:right w:val="none" w:sz="0" w:space="0" w:color="auto"/>
      </w:divBdr>
    </w:div>
    <w:div w:id="836116282">
      <w:bodyDiv w:val="1"/>
      <w:marLeft w:val="0"/>
      <w:marRight w:val="0"/>
      <w:marTop w:val="0"/>
      <w:marBottom w:val="0"/>
      <w:divBdr>
        <w:top w:val="none" w:sz="0" w:space="0" w:color="auto"/>
        <w:left w:val="none" w:sz="0" w:space="0" w:color="auto"/>
        <w:bottom w:val="none" w:sz="0" w:space="0" w:color="auto"/>
        <w:right w:val="none" w:sz="0" w:space="0" w:color="auto"/>
      </w:divBdr>
    </w:div>
    <w:div w:id="875700778">
      <w:bodyDiv w:val="1"/>
      <w:marLeft w:val="0"/>
      <w:marRight w:val="0"/>
      <w:marTop w:val="0"/>
      <w:marBottom w:val="0"/>
      <w:divBdr>
        <w:top w:val="none" w:sz="0" w:space="0" w:color="auto"/>
        <w:left w:val="none" w:sz="0" w:space="0" w:color="auto"/>
        <w:bottom w:val="none" w:sz="0" w:space="0" w:color="auto"/>
        <w:right w:val="none" w:sz="0" w:space="0" w:color="auto"/>
      </w:divBdr>
    </w:div>
    <w:div w:id="921571618">
      <w:bodyDiv w:val="1"/>
      <w:marLeft w:val="0"/>
      <w:marRight w:val="0"/>
      <w:marTop w:val="0"/>
      <w:marBottom w:val="0"/>
      <w:divBdr>
        <w:top w:val="none" w:sz="0" w:space="0" w:color="auto"/>
        <w:left w:val="none" w:sz="0" w:space="0" w:color="auto"/>
        <w:bottom w:val="none" w:sz="0" w:space="0" w:color="auto"/>
        <w:right w:val="none" w:sz="0" w:space="0" w:color="auto"/>
      </w:divBdr>
    </w:div>
    <w:div w:id="928344917">
      <w:bodyDiv w:val="1"/>
      <w:marLeft w:val="0"/>
      <w:marRight w:val="0"/>
      <w:marTop w:val="0"/>
      <w:marBottom w:val="0"/>
      <w:divBdr>
        <w:top w:val="none" w:sz="0" w:space="0" w:color="auto"/>
        <w:left w:val="none" w:sz="0" w:space="0" w:color="auto"/>
        <w:bottom w:val="none" w:sz="0" w:space="0" w:color="auto"/>
        <w:right w:val="none" w:sz="0" w:space="0" w:color="auto"/>
      </w:divBdr>
    </w:div>
    <w:div w:id="1003627468">
      <w:bodyDiv w:val="1"/>
      <w:marLeft w:val="0"/>
      <w:marRight w:val="0"/>
      <w:marTop w:val="0"/>
      <w:marBottom w:val="0"/>
      <w:divBdr>
        <w:top w:val="none" w:sz="0" w:space="0" w:color="auto"/>
        <w:left w:val="none" w:sz="0" w:space="0" w:color="auto"/>
        <w:bottom w:val="none" w:sz="0" w:space="0" w:color="auto"/>
        <w:right w:val="none" w:sz="0" w:space="0" w:color="auto"/>
      </w:divBdr>
    </w:div>
    <w:div w:id="1007632129">
      <w:bodyDiv w:val="1"/>
      <w:marLeft w:val="0"/>
      <w:marRight w:val="0"/>
      <w:marTop w:val="0"/>
      <w:marBottom w:val="0"/>
      <w:divBdr>
        <w:top w:val="none" w:sz="0" w:space="0" w:color="auto"/>
        <w:left w:val="none" w:sz="0" w:space="0" w:color="auto"/>
        <w:bottom w:val="none" w:sz="0" w:space="0" w:color="auto"/>
        <w:right w:val="none" w:sz="0" w:space="0" w:color="auto"/>
      </w:divBdr>
    </w:div>
    <w:div w:id="1037581198">
      <w:bodyDiv w:val="1"/>
      <w:marLeft w:val="0"/>
      <w:marRight w:val="0"/>
      <w:marTop w:val="0"/>
      <w:marBottom w:val="0"/>
      <w:divBdr>
        <w:top w:val="none" w:sz="0" w:space="0" w:color="auto"/>
        <w:left w:val="none" w:sz="0" w:space="0" w:color="auto"/>
        <w:bottom w:val="none" w:sz="0" w:space="0" w:color="auto"/>
        <w:right w:val="none" w:sz="0" w:space="0" w:color="auto"/>
      </w:divBdr>
    </w:div>
    <w:div w:id="1134173598">
      <w:bodyDiv w:val="1"/>
      <w:marLeft w:val="0"/>
      <w:marRight w:val="0"/>
      <w:marTop w:val="0"/>
      <w:marBottom w:val="0"/>
      <w:divBdr>
        <w:top w:val="none" w:sz="0" w:space="0" w:color="auto"/>
        <w:left w:val="none" w:sz="0" w:space="0" w:color="auto"/>
        <w:bottom w:val="none" w:sz="0" w:space="0" w:color="auto"/>
        <w:right w:val="none" w:sz="0" w:space="0" w:color="auto"/>
      </w:divBdr>
    </w:div>
    <w:div w:id="1208490712">
      <w:bodyDiv w:val="1"/>
      <w:marLeft w:val="0"/>
      <w:marRight w:val="0"/>
      <w:marTop w:val="0"/>
      <w:marBottom w:val="0"/>
      <w:divBdr>
        <w:top w:val="none" w:sz="0" w:space="0" w:color="auto"/>
        <w:left w:val="none" w:sz="0" w:space="0" w:color="auto"/>
        <w:bottom w:val="none" w:sz="0" w:space="0" w:color="auto"/>
        <w:right w:val="none" w:sz="0" w:space="0" w:color="auto"/>
      </w:divBdr>
    </w:div>
    <w:div w:id="1391153788">
      <w:bodyDiv w:val="1"/>
      <w:marLeft w:val="0"/>
      <w:marRight w:val="0"/>
      <w:marTop w:val="0"/>
      <w:marBottom w:val="0"/>
      <w:divBdr>
        <w:top w:val="none" w:sz="0" w:space="0" w:color="auto"/>
        <w:left w:val="none" w:sz="0" w:space="0" w:color="auto"/>
        <w:bottom w:val="none" w:sz="0" w:space="0" w:color="auto"/>
        <w:right w:val="none" w:sz="0" w:space="0" w:color="auto"/>
      </w:divBdr>
    </w:div>
    <w:div w:id="1572226687">
      <w:bodyDiv w:val="1"/>
      <w:marLeft w:val="0"/>
      <w:marRight w:val="0"/>
      <w:marTop w:val="0"/>
      <w:marBottom w:val="0"/>
      <w:divBdr>
        <w:top w:val="none" w:sz="0" w:space="0" w:color="auto"/>
        <w:left w:val="none" w:sz="0" w:space="0" w:color="auto"/>
        <w:bottom w:val="none" w:sz="0" w:space="0" w:color="auto"/>
        <w:right w:val="none" w:sz="0" w:space="0" w:color="auto"/>
      </w:divBdr>
    </w:div>
    <w:div w:id="1996033767">
      <w:bodyDiv w:val="1"/>
      <w:marLeft w:val="0"/>
      <w:marRight w:val="0"/>
      <w:marTop w:val="0"/>
      <w:marBottom w:val="0"/>
      <w:divBdr>
        <w:top w:val="none" w:sz="0" w:space="0" w:color="auto"/>
        <w:left w:val="none" w:sz="0" w:space="0" w:color="auto"/>
        <w:bottom w:val="none" w:sz="0" w:space="0" w:color="auto"/>
        <w:right w:val="none" w:sz="0" w:space="0" w:color="auto"/>
      </w:divBdr>
    </w:div>
    <w:div w:id="2032560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F0255-E559-46DE-95AD-E8662AA9F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47</Pages>
  <Words>15881</Words>
  <Characters>90526</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Kiai Gachanja</dc:creator>
  <cp:keywords/>
  <dc:description/>
  <cp:lastModifiedBy>Kiai Gachanja</cp:lastModifiedBy>
  <cp:revision>65</cp:revision>
  <dcterms:created xsi:type="dcterms:W3CDTF">2021-03-01T07:02:00Z</dcterms:created>
  <dcterms:modified xsi:type="dcterms:W3CDTF">2021-03-01T16:48:00Z</dcterms:modified>
</cp:coreProperties>
</file>