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B0A789" w14:textId="77777777" w:rsidR="00CB0B81" w:rsidRPr="005B66DE" w:rsidRDefault="00CB0B81" w:rsidP="0068565D">
      <w:pPr>
        <w:jc w:val="center"/>
        <w:rPr>
          <w:rFonts w:cs="Times New Roman"/>
          <w:b/>
          <w:sz w:val="28"/>
          <w:szCs w:val="28"/>
          <w:lang w:val="en-GB"/>
        </w:rPr>
      </w:pPr>
      <w:bookmarkStart w:id="0" w:name="_Toc36098959"/>
    </w:p>
    <w:p w14:paraId="4F182A6E" w14:textId="09B520D8" w:rsidR="0068565D" w:rsidRPr="005B66DE" w:rsidRDefault="005B66DE" w:rsidP="005B66DE">
      <w:pPr>
        <w:spacing w:line="360" w:lineRule="auto"/>
        <w:jc w:val="center"/>
        <w:rPr>
          <w:rFonts w:cs="Times New Roman"/>
          <w:b/>
          <w:sz w:val="28"/>
          <w:szCs w:val="28"/>
          <w:lang w:val="en-GB"/>
        </w:rPr>
      </w:pPr>
      <w:r w:rsidRPr="005B66DE">
        <w:rPr>
          <w:rFonts w:cs="Times New Roman"/>
          <w:b/>
          <w:sz w:val="28"/>
          <w:szCs w:val="28"/>
          <w:lang w:val="en-GB"/>
        </w:rPr>
        <w:t xml:space="preserve">AN EXAMINATION OF </w:t>
      </w:r>
      <w:r w:rsidR="00B939B7" w:rsidRPr="005B66DE">
        <w:rPr>
          <w:rFonts w:cs="Times New Roman"/>
          <w:b/>
          <w:sz w:val="28"/>
          <w:szCs w:val="28"/>
          <w:lang w:val="en-GB"/>
        </w:rPr>
        <w:t xml:space="preserve">THE KENYAN REGULATORY FRAMEWORK IN PROMOTING TBTF </w:t>
      </w:r>
      <w:r w:rsidRPr="005B66DE">
        <w:rPr>
          <w:rFonts w:cs="Times New Roman"/>
          <w:b/>
          <w:sz w:val="28"/>
          <w:szCs w:val="28"/>
          <w:lang w:val="en-GB"/>
        </w:rPr>
        <w:t>IN RELATION TO</w:t>
      </w:r>
      <w:r w:rsidR="004C62EF">
        <w:rPr>
          <w:rFonts w:cs="Times New Roman"/>
          <w:b/>
          <w:sz w:val="28"/>
          <w:szCs w:val="28"/>
          <w:lang w:val="en-GB"/>
        </w:rPr>
        <w:t xml:space="preserve"> BANK MERGERS</w:t>
      </w:r>
    </w:p>
    <w:p w14:paraId="6D209AF2" w14:textId="77777777" w:rsidR="005B66DE" w:rsidRDefault="005B66DE" w:rsidP="005B66DE">
      <w:pPr>
        <w:spacing w:line="360" w:lineRule="auto"/>
        <w:jc w:val="center"/>
        <w:rPr>
          <w:rFonts w:cs="Times New Roman"/>
          <w:b/>
          <w:sz w:val="28"/>
          <w:szCs w:val="28"/>
          <w:lang w:val="en-GB"/>
        </w:rPr>
      </w:pPr>
    </w:p>
    <w:p w14:paraId="09D70632" w14:textId="77777777" w:rsidR="00D75953" w:rsidRPr="005B66DE" w:rsidRDefault="00D75953" w:rsidP="005B66DE">
      <w:pPr>
        <w:spacing w:line="360" w:lineRule="auto"/>
        <w:jc w:val="center"/>
        <w:rPr>
          <w:rFonts w:cs="Times New Roman"/>
          <w:b/>
          <w:sz w:val="28"/>
          <w:szCs w:val="28"/>
          <w:lang w:val="en-GB"/>
        </w:rPr>
      </w:pPr>
    </w:p>
    <w:p w14:paraId="16E51FB7" w14:textId="77777777" w:rsidR="0068565D" w:rsidRDefault="0068565D" w:rsidP="005B66DE">
      <w:pPr>
        <w:spacing w:line="360" w:lineRule="auto"/>
        <w:jc w:val="center"/>
        <w:rPr>
          <w:rFonts w:cs="Times New Roman"/>
          <w:szCs w:val="24"/>
        </w:rPr>
      </w:pPr>
      <w:r w:rsidRPr="005B66DE">
        <w:rPr>
          <w:rFonts w:cs="Times New Roman"/>
          <w:szCs w:val="24"/>
        </w:rPr>
        <w:t>Submitted in partial fulfillment of the requirements of the Bachelor of Laws Degree, Strathmore University Law School</w:t>
      </w:r>
    </w:p>
    <w:p w14:paraId="68D1DB99" w14:textId="77777777" w:rsidR="00D75953" w:rsidRPr="005B66DE" w:rsidRDefault="00D75953" w:rsidP="005B66DE">
      <w:pPr>
        <w:spacing w:line="360" w:lineRule="auto"/>
        <w:jc w:val="center"/>
        <w:rPr>
          <w:rFonts w:cs="Times New Roman"/>
          <w:szCs w:val="24"/>
        </w:rPr>
      </w:pPr>
    </w:p>
    <w:p w14:paraId="6EFE753C" w14:textId="77777777" w:rsidR="005B66DE" w:rsidRPr="005B66DE" w:rsidRDefault="005B66DE" w:rsidP="005B66DE">
      <w:pPr>
        <w:spacing w:line="360" w:lineRule="auto"/>
        <w:jc w:val="left"/>
        <w:rPr>
          <w:rFonts w:cs="Times New Roman"/>
          <w:b/>
          <w:szCs w:val="24"/>
        </w:rPr>
      </w:pPr>
    </w:p>
    <w:p w14:paraId="32E4831F" w14:textId="77777777" w:rsidR="0068565D" w:rsidRPr="005B66DE" w:rsidRDefault="0068565D" w:rsidP="005B66DE">
      <w:pPr>
        <w:spacing w:line="360" w:lineRule="auto"/>
        <w:jc w:val="center"/>
        <w:rPr>
          <w:rFonts w:cs="Times New Roman"/>
          <w:b/>
          <w:szCs w:val="24"/>
        </w:rPr>
      </w:pPr>
      <w:r w:rsidRPr="005B66DE">
        <w:rPr>
          <w:rFonts w:cs="Times New Roman"/>
          <w:b/>
          <w:szCs w:val="24"/>
        </w:rPr>
        <w:t>By</w:t>
      </w:r>
    </w:p>
    <w:p w14:paraId="03870DB6" w14:textId="77777777" w:rsidR="0068565D" w:rsidRPr="005B66DE" w:rsidRDefault="00CB0B81" w:rsidP="005B66DE">
      <w:pPr>
        <w:spacing w:line="360" w:lineRule="auto"/>
        <w:jc w:val="center"/>
        <w:rPr>
          <w:rFonts w:cs="Times New Roman"/>
          <w:b/>
          <w:szCs w:val="24"/>
        </w:rPr>
      </w:pPr>
      <w:r w:rsidRPr="005B66DE">
        <w:rPr>
          <w:rFonts w:cs="Times New Roman"/>
          <w:b/>
          <w:szCs w:val="24"/>
        </w:rPr>
        <w:t>NGUGI SAMUEL THEURI</w:t>
      </w:r>
    </w:p>
    <w:p w14:paraId="6F25C399" w14:textId="77777777" w:rsidR="0068565D" w:rsidRPr="005B66DE" w:rsidRDefault="00CB0B81" w:rsidP="005B66DE">
      <w:pPr>
        <w:spacing w:line="360" w:lineRule="auto"/>
        <w:jc w:val="center"/>
        <w:rPr>
          <w:rFonts w:cs="Times New Roman"/>
          <w:b/>
          <w:szCs w:val="24"/>
        </w:rPr>
      </w:pPr>
      <w:r w:rsidRPr="005B66DE">
        <w:rPr>
          <w:rFonts w:cs="Times New Roman"/>
          <w:b/>
          <w:szCs w:val="24"/>
        </w:rPr>
        <w:t>091955</w:t>
      </w:r>
    </w:p>
    <w:p w14:paraId="16CDC589" w14:textId="77777777" w:rsidR="0068565D" w:rsidRDefault="0068565D" w:rsidP="005B66DE">
      <w:pPr>
        <w:spacing w:line="360" w:lineRule="auto"/>
        <w:jc w:val="left"/>
        <w:rPr>
          <w:rFonts w:cs="Times New Roman"/>
          <w:b/>
          <w:szCs w:val="24"/>
        </w:rPr>
      </w:pPr>
    </w:p>
    <w:p w14:paraId="55E26F39" w14:textId="77777777" w:rsidR="00D75953" w:rsidRPr="005B66DE" w:rsidRDefault="00D75953" w:rsidP="005B66DE">
      <w:pPr>
        <w:spacing w:line="360" w:lineRule="auto"/>
        <w:jc w:val="left"/>
        <w:rPr>
          <w:rFonts w:cs="Times New Roman"/>
          <w:b/>
          <w:szCs w:val="24"/>
        </w:rPr>
      </w:pPr>
    </w:p>
    <w:p w14:paraId="6F1FE378" w14:textId="77777777" w:rsidR="0068565D" w:rsidRPr="005B66DE" w:rsidRDefault="0068565D" w:rsidP="005B66DE">
      <w:pPr>
        <w:spacing w:line="360" w:lineRule="auto"/>
        <w:jc w:val="center"/>
        <w:rPr>
          <w:rFonts w:cs="Times New Roman"/>
          <w:szCs w:val="24"/>
        </w:rPr>
      </w:pPr>
      <w:r w:rsidRPr="005B66DE">
        <w:rPr>
          <w:rFonts w:cs="Times New Roman"/>
          <w:szCs w:val="24"/>
        </w:rPr>
        <w:t>Prepared under the supervision of</w:t>
      </w:r>
    </w:p>
    <w:p w14:paraId="35667678" w14:textId="77777777" w:rsidR="000B65FE" w:rsidRPr="005B66DE" w:rsidRDefault="005B66DE" w:rsidP="005B66DE">
      <w:pPr>
        <w:spacing w:line="360" w:lineRule="auto"/>
        <w:jc w:val="center"/>
        <w:rPr>
          <w:rFonts w:cs="Times New Roman"/>
          <w:b/>
          <w:szCs w:val="24"/>
        </w:rPr>
      </w:pPr>
      <w:r w:rsidRPr="005B66DE">
        <w:rPr>
          <w:rFonts w:cs="Times New Roman"/>
          <w:b/>
          <w:szCs w:val="24"/>
        </w:rPr>
        <w:t>MR. MARVIN OLIECH</w:t>
      </w:r>
    </w:p>
    <w:p w14:paraId="36DBA772" w14:textId="77777777" w:rsidR="005B66DE" w:rsidRPr="005B66DE" w:rsidRDefault="005B66DE" w:rsidP="005B66DE">
      <w:pPr>
        <w:spacing w:line="360" w:lineRule="auto"/>
        <w:jc w:val="center"/>
        <w:rPr>
          <w:rFonts w:cs="Times New Roman"/>
          <w:b/>
          <w:szCs w:val="24"/>
        </w:rPr>
      </w:pPr>
    </w:p>
    <w:p w14:paraId="23B38FB1" w14:textId="77777777" w:rsidR="000B65FE" w:rsidRPr="005B66DE" w:rsidRDefault="000B65FE" w:rsidP="005B66DE">
      <w:pPr>
        <w:spacing w:line="360" w:lineRule="auto"/>
        <w:jc w:val="center"/>
        <w:rPr>
          <w:rFonts w:cs="Times New Roman"/>
          <w:b/>
          <w:szCs w:val="24"/>
        </w:rPr>
      </w:pPr>
    </w:p>
    <w:p w14:paraId="3A9C3385" w14:textId="77777777" w:rsidR="0068565D" w:rsidRPr="005B66DE" w:rsidRDefault="005B66DE" w:rsidP="005B66DE">
      <w:pPr>
        <w:spacing w:line="360" w:lineRule="auto"/>
        <w:jc w:val="center"/>
        <w:rPr>
          <w:rFonts w:cs="Times New Roman"/>
          <w:b/>
          <w:szCs w:val="24"/>
        </w:rPr>
      </w:pPr>
      <w:r w:rsidRPr="005B66DE">
        <w:rPr>
          <w:rFonts w:cs="Times New Roman"/>
          <w:b/>
          <w:szCs w:val="24"/>
        </w:rPr>
        <w:t>25</w:t>
      </w:r>
      <w:r w:rsidRPr="005B66DE">
        <w:rPr>
          <w:rFonts w:cs="Times New Roman"/>
          <w:b/>
          <w:szCs w:val="24"/>
          <w:vertAlign w:val="superscript"/>
        </w:rPr>
        <w:t xml:space="preserve">TH </w:t>
      </w:r>
      <w:r w:rsidRPr="005B66DE">
        <w:rPr>
          <w:rFonts w:cs="Times New Roman"/>
          <w:b/>
          <w:szCs w:val="24"/>
        </w:rPr>
        <w:t>JANUARY 2021</w:t>
      </w:r>
    </w:p>
    <w:p w14:paraId="15715454" w14:textId="5CFDC905" w:rsidR="0068565D" w:rsidRPr="005B66DE" w:rsidRDefault="005B66DE" w:rsidP="00D75953">
      <w:pPr>
        <w:jc w:val="center"/>
        <w:rPr>
          <w:b/>
        </w:rPr>
      </w:pPr>
      <w:r w:rsidRPr="005B66DE">
        <w:rPr>
          <w:b/>
        </w:rPr>
        <w:t>WORD COUNT:</w:t>
      </w:r>
    </w:p>
    <w:p w14:paraId="37BCDA48" w14:textId="77777777" w:rsidR="000B65FE" w:rsidRPr="005B66DE" w:rsidRDefault="000B65FE" w:rsidP="00022A9A">
      <w:pPr>
        <w:pStyle w:val="Heading1"/>
        <w:jc w:val="left"/>
        <w:rPr>
          <w:color w:val="5B9BD5" w:themeColor="accent1"/>
          <w:szCs w:val="24"/>
        </w:rPr>
      </w:pPr>
      <w:bookmarkStart w:id="1" w:name="_Toc462039162"/>
      <w:bookmarkStart w:id="2" w:name="_Toc463464662"/>
      <w:bookmarkStart w:id="3" w:name="_Toc15630523"/>
    </w:p>
    <w:sdt>
      <w:sdtPr>
        <w:rPr>
          <w:rFonts w:ascii="Times New Roman" w:eastAsiaTheme="minorHAnsi" w:hAnsi="Times New Roman" w:cstheme="minorBidi"/>
          <w:noProof w:val="0"/>
          <w:color w:val="auto"/>
          <w:sz w:val="22"/>
          <w:szCs w:val="22"/>
        </w:rPr>
        <w:id w:val="1167289360"/>
        <w:docPartObj>
          <w:docPartGallery w:val="Table of Contents"/>
          <w:docPartUnique/>
        </w:docPartObj>
      </w:sdtPr>
      <w:sdtEndPr>
        <w:rPr>
          <w:bCs/>
          <w:sz w:val="24"/>
        </w:rPr>
      </w:sdtEndPr>
      <w:sdtContent>
        <w:p w14:paraId="630EC5BC" w14:textId="77777777" w:rsidR="00777BBC" w:rsidRPr="004C62EF" w:rsidRDefault="005B66DE">
          <w:pPr>
            <w:pStyle w:val="TOCHeading"/>
            <w:rPr>
              <w:rFonts w:ascii="Times New Roman" w:hAnsi="Times New Roman"/>
              <w:b/>
              <w:color w:val="0070C0"/>
            </w:rPr>
          </w:pPr>
          <w:r w:rsidRPr="004C62EF">
            <w:rPr>
              <w:rFonts w:ascii="Times New Roman" w:hAnsi="Times New Roman"/>
              <w:b/>
              <w:color w:val="0070C0"/>
            </w:rPr>
            <w:t>TABLE OF CONTENTS</w:t>
          </w:r>
        </w:p>
        <w:p w14:paraId="3413624F" w14:textId="77777777" w:rsidR="007B3ADB" w:rsidRDefault="00777BBC" w:rsidP="00182E55">
          <w:pPr>
            <w:pStyle w:val="TOC1"/>
            <w:ind w:left="360"/>
            <w:rPr>
              <w:rFonts w:asciiTheme="minorHAnsi" w:hAnsiTheme="minorHAnsi" w:cstheme="minorBidi"/>
              <w:szCs w:val="24"/>
            </w:rPr>
          </w:pPr>
          <w:r w:rsidRPr="005B66DE">
            <w:rPr>
              <w:szCs w:val="24"/>
            </w:rPr>
            <w:fldChar w:fldCharType="begin"/>
          </w:r>
          <w:r w:rsidRPr="005B66DE">
            <w:rPr>
              <w:szCs w:val="24"/>
            </w:rPr>
            <w:instrText xml:space="preserve"> TOC \o "1-3" \h \z \u </w:instrText>
          </w:r>
          <w:r w:rsidRPr="005B66DE">
            <w:rPr>
              <w:szCs w:val="24"/>
            </w:rPr>
            <w:fldChar w:fldCharType="separate"/>
          </w:r>
          <w:hyperlink w:anchor="_Toc62552864" w:history="1">
            <w:r w:rsidR="007B3ADB" w:rsidRPr="008E6E89">
              <w:rPr>
                <w:rStyle w:val="Hyperlink"/>
              </w:rPr>
              <w:t>DECLARATION</w:t>
            </w:r>
            <w:r w:rsidR="007B3ADB">
              <w:rPr>
                <w:webHidden/>
              </w:rPr>
              <w:tab/>
            </w:r>
            <w:r w:rsidR="007B3ADB">
              <w:rPr>
                <w:webHidden/>
              </w:rPr>
              <w:fldChar w:fldCharType="begin"/>
            </w:r>
            <w:r w:rsidR="007B3ADB">
              <w:rPr>
                <w:webHidden/>
              </w:rPr>
              <w:instrText xml:space="preserve"> PAGEREF _Toc62552864 \h </w:instrText>
            </w:r>
            <w:r w:rsidR="007B3ADB">
              <w:rPr>
                <w:webHidden/>
              </w:rPr>
            </w:r>
            <w:r w:rsidR="007B3ADB">
              <w:rPr>
                <w:webHidden/>
              </w:rPr>
              <w:fldChar w:fldCharType="separate"/>
            </w:r>
            <w:r w:rsidR="007B3ADB">
              <w:rPr>
                <w:webHidden/>
              </w:rPr>
              <w:t>4</w:t>
            </w:r>
            <w:r w:rsidR="007B3ADB">
              <w:rPr>
                <w:webHidden/>
              </w:rPr>
              <w:fldChar w:fldCharType="end"/>
            </w:r>
          </w:hyperlink>
        </w:p>
        <w:p w14:paraId="66AF3495" w14:textId="39B294BC" w:rsidR="007B3ADB" w:rsidRDefault="004A5F49" w:rsidP="00182E55">
          <w:pPr>
            <w:pStyle w:val="TOC1"/>
            <w:ind w:left="360"/>
            <w:rPr>
              <w:rFonts w:asciiTheme="minorHAnsi" w:hAnsiTheme="minorHAnsi" w:cstheme="minorBidi"/>
              <w:szCs w:val="24"/>
            </w:rPr>
          </w:pPr>
          <w:hyperlink w:anchor="_Toc62552865" w:history="1">
            <w:r w:rsidR="007B3ADB" w:rsidRPr="008E6E89">
              <w:rPr>
                <w:rStyle w:val="Hyperlink"/>
              </w:rPr>
              <w:t>DEDICATION</w:t>
            </w:r>
            <w:r w:rsidR="007B3ADB">
              <w:rPr>
                <w:webHidden/>
              </w:rPr>
              <w:tab/>
            </w:r>
            <w:r w:rsidR="007B3ADB">
              <w:rPr>
                <w:webHidden/>
              </w:rPr>
              <w:fldChar w:fldCharType="begin"/>
            </w:r>
            <w:r w:rsidR="007B3ADB">
              <w:rPr>
                <w:webHidden/>
              </w:rPr>
              <w:instrText xml:space="preserve"> PAGEREF _Toc62552865 \h </w:instrText>
            </w:r>
            <w:r w:rsidR="007B3ADB">
              <w:rPr>
                <w:webHidden/>
              </w:rPr>
            </w:r>
            <w:r w:rsidR="007B3ADB">
              <w:rPr>
                <w:webHidden/>
              </w:rPr>
              <w:fldChar w:fldCharType="separate"/>
            </w:r>
            <w:r w:rsidR="007B3ADB">
              <w:rPr>
                <w:webHidden/>
              </w:rPr>
              <w:t>5</w:t>
            </w:r>
            <w:r w:rsidR="007B3ADB">
              <w:rPr>
                <w:webHidden/>
              </w:rPr>
              <w:fldChar w:fldCharType="end"/>
            </w:r>
          </w:hyperlink>
        </w:p>
        <w:p w14:paraId="6A8127B2" w14:textId="77777777" w:rsidR="007B3ADB" w:rsidRDefault="004A5F49" w:rsidP="00182E55">
          <w:pPr>
            <w:pStyle w:val="TOC1"/>
            <w:ind w:left="360"/>
            <w:rPr>
              <w:rFonts w:asciiTheme="minorHAnsi" w:hAnsiTheme="minorHAnsi" w:cstheme="minorBidi"/>
              <w:szCs w:val="24"/>
            </w:rPr>
          </w:pPr>
          <w:hyperlink w:anchor="_Toc62552866" w:history="1">
            <w:r w:rsidR="007B3ADB" w:rsidRPr="008E6E89">
              <w:rPr>
                <w:rStyle w:val="Hyperlink"/>
              </w:rPr>
              <w:t>ACKNOWLEDGMENTS</w:t>
            </w:r>
            <w:r w:rsidR="007B3ADB">
              <w:rPr>
                <w:webHidden/>
              </w:rPr>
              <w:tab/>
            </w:r>
            <w:r w:rsidR="007B3ADB">
              <w:rPr>
                <w:webHidden/>
              </w:rPr>
              <w:fldChar w:fldCharType="begin"/>
            </w:r>
            <w:r w:rsidR="007B3ADB">
              <w:rPr>
                <w:webHidden/>
              </w:rPr>
              <w:instrText xml:space="preserve"> PAGEREF _Toc62552866 \h </w:instrText>
            </w:r>
            <w:r w:rsidR="007B3ADB">
              <w:rPr>
                <w:webHidden/>
              </w:rPr>
            </w:r>
            <w:r w:rsidR="007B3ADB">
              <w:rPr>
                <w:webHidden/>
              </w:rPr>
              <w:fldChar w:fldCharType="separate"/>
            </w:r>
            <w:r w:rsidR="007B3ADB">
              <w:rPr>
                <w:webHidden/>
              </w:rPr>
              <w:t>6</w:t>
            </w:r>
            <w:r w:rsidR="007B3ADB">
              <w:rPr>
                <w:webHidden/>
              </w:rPr>
              <w:fldChar w:fldCharType="end"/>
            </w:r>
          </w:hyperlink>
        </w:p>
        <w:p w14:paraId="77DCC342" w14:textId="77777777" w:rsidR="007B3ADB" w:rsidRDefault="004A5F49" w:rsidP="00182E55">
          <w:pPr>
            <w:pStyle w:val="TOC1"/>
            <w:ind w:left="360"/>
            <w:rPr>
              <w:rFonts w:asciiTheme="minorHAnsi" w:hAnsiTheme="minorHAnsi" w:cstheme="minorBidi"/>
              <w:szCs w:val="24"/>
            </w:rPr>
          </w:pPr>
          <w:hyperlink w:anchor="_Toc62552867" w:history="1">
            <w:r w:rsidR="007B3ADB" w:rsidRPr="008E6E89">
              <w:rPr>
                <w:rStyle w:val="Hyperlink"/>
              </w:rPr>
              <w:t>ABSTRACT</w:t>
            </w:r>
            <w:r w:rsidR="007B3ADB">
              <w:rPr>
                <w:webHidden/>
              </w:rPr>
              <w:tab/>
            </w:r>
            <w:r w:rsidR="007B3ADB">
              <w:rPr>
                <w:webHidden/>
              </w:rPr>
              <w:fldChar w:fldCharType="begin"/>
            </w:r>
            <w:r w:rsidR="007B3ADB">
              <w:rPr>
                <w:webHidden/>
              </w:rPr>
              <w:instrText xml:space="preserve"> PAGEREF _Toc62552867 \h </w:instrText>
            </w:r>
            <w:r w:rsidR="007B3ADB">
              <w:rPr>
                <w:webHidden/>
              </w:rPr>
            </w:r>
            <w:r w:rsidR="007B3ADB">
              <w:rPr>
                <w:webHidden/>
              </w:rPr>
              <w:fldChar w:fldCharType="separate"/>
            </w:r>
            <w:r w:rsidR="007B3ADB">
              <w:rPr>
                <w:webHidden/>
              </w:rPr>
              <w:t>7</w:t>
            </w:r>
            <w:r w:rsidR="007B3ADB">
              <w:rPr>
                <w:webHidden/>
              </w:rPr>
              <w:fldChar w:fldCharType="end"/>
            </w:r>
          </w:hyperlink>
        </w:p>
        <w:p w14:paraId="6B3BB4E2" w14:textId="77777777" w:rsidR="007B3ADB" w:rsidRDefault="004A5F49" w:rsidP="00182E55">
          <w:pPr>
            <w:pStyle w:val="TOC1"/>
            <w:ind w:left="360"/>
            <w:rPr>
              <w:rFonts w:asciiTheme="minorHAnsi" w:hAnsiTheme="minorHAnsi" w:cstheme="minorBidi"/>
              <w:szCs w:val="24"/>
            </w:rPr>
          </w:pPr>
          <w:hyperlink w:anchor="_Toc62552868" w:history="1">
            <w:r w:rsidR="007B3ADB" w:rsidRPr="008E6E89">
              <w:rPr>
                <w:rStyle w:val="Hyperlink"/>
              </w:rPr>
              <w:t>LIST OF ABBREVIATIONS</w:t>
            </w:r>
            <w:r w:rsidR="007B3ADB">
              <w:rPr>
                <w:webHidden/>
              </w:rPr>
              <w:tab/>
            </w:r>
            <w:r w:rsidR="007B3ADB">
              <w:rPr>
                <w:webHidden/>
              </w:rPr>
              <w:fldChar w:fldCharType="begin"/>
            </w:r>
            <w:r w:rsidR="007B3ADB">
              <w:rPr>
                <w:webHidden/>
              </w:rPr>
              <w:instrText xml:space="preserve"> PAGEREF _Toc62552868 \h </w:instrText>
            </w:r>
            <w:r w:rsidR="007B3ADB">
              <w:rPr>
                <w:webHidden/>
              </w:rPr>
            </w:r>
            <w:r w:rsidR="007B3ADB">
              <w:rPr>
                <w:webHidden/>
              </w:rPr>
              <w:fldChar w:fldCharType="separate"/>
            </w:r>
            <w:r w:rsidR="007B3ADB">
              <w:rPr>
                <w:webHidden/>
              </w:rPr>
              <w:t>8</w:t>
            </w:r>
            <w:r w:rsidR="007B3ADB">
              <w:rPr>
                <w:webHidden/>
              </w:rPr>
              <w:fldChar w:fldCharType="end"/>
            </w:r>
          </w:hyperlink>
        </w:p>
        <w:p w14:paraId="6C973052" w14:textId="77777777" w:rsidR="007B3ADB" w:rsidRDefault="004A5F49" w:rsidP="00182E55">
          <w:pPr>
            <w:pStyle w:val="TOC1"/>
            <w:ind w:left="360"/>
            <w:rPr>
              <w:rFonts w:asciiTheme="minorHAnsi" w:hAnsiTheme="minorHAnsi" w:cstheme="minorBidi"/>
              <w:szCs w:val="24"/>
            </w:rPr>
          </w:pPr>
          <w:hyperlink w:anchor="_Toc62552869" w:history="1">
            <w:r w:rsidR="007B3ADB" w:rsidRPr="008E6E89">
              <w:rPr>
                <w:rStyle w:val="Hyperlink"/>
              </w:rPr>
              <w:t>DEFINITIONS</w:t>
            </w:r>
            <w:r w:rsidR="007B3ADB">
              <w:rPr>
                <w:webHidden/>
              </w:rPr>
              <w:tab/>
            </w:r>
            <w:r w:rsidR="007B3ADB">
              <w:rPr>
                <w:webHidden/>
              </w:rPr>
              <w:fldChar w:fldCharType="begin"/>
            </w:r>
            <w:r w:rsidR="007B3ADB">
              <w:rPr>
                <w:webHidden/>
              </w:rPr>
              <w:instrText xml:space="preserve"> PAGEREF _Toc62552869 \h </w:instrText>
            </w:r>
            <w:r w:rsidR="007B3ADB">
              <w:rPr>
                <w:webHidden/>
              </w:rPr>
            </w:r>
            <w:r w:rsidR="007B3ADB">
              <w:rPr>
                <w:webHidden/>
              </w:rPr>
              <w:fldChar w:fldCharType="separate"/>
            </w:r>
            <w:r w:rsidR="007B3ADB">
              <w:rPr>
                <w:webHidden/>
              </w:rPr>
              <w:t>9</w:t>
            </w:r>
            <w:r w:rsidR="007B3ADB">
              <w:rPr>
                <w:webHidden/>
              </w:rPr>
              <w:fldChar w:fldCharType="end"/>
            </w:r>
          </w:hyperlink>
        </w:p>
        <w:p w14:paraId="7F259B1E" w14:textId="77777777" w:rsidR="007B3ADB" w:rsidRDefault="004A5F49" w:rsidP="00182E55">
          <w:pPr>
            <w:pStyle w:val="TOC1"/>
            <w:ind w:left="360"/>
            <w:rPr>
              <w:rFonts w:asciiTheme="minorHAnsi" w:hAnsiTheme="minorHAnsi" w:cstheme="minorBidi"/>
              <w:szCs w:val="24"/>
            </w:rPr>
          </w:pPr>
          <w:hyperlink w:anchor="_Toc62552870" w:history="1">
            <w:r w:rsidR="007B3ADB" w:rsidRPr="008E6E89">
              <w:rPr>
                <w:rStyle w:val="Hyperlink"/>
              </w:rPr>
              <w:t>CHAPTER 1: INTRODUCTION</w:t>
            </w:r>
            <w:r w:rsidR="007B3ADB">
              <w:rPr>
                <w:webHidden/>
              </w:rPr>
              <w:tab/>
            </w:r>
            <w:r w:rsidR="007B3ADB">
              <w:rPr>
                <w:webHidden/>
              </w:rPr>
              <w:fldChar w:fldCharType="begin"/>
            </w:r>
            <w:r w:rsidR="007B3ADB">
              <w:rPr>
                <w:webHidden/>
              </w:rPr>
              <w:instrText xml:space="preserve"> PAGEREF _Toc62552870 \h </w:instrText>
            </w:r>
            <w:r w:rsidR="007B3ADB">
              <w:rPr>
                <w:webHidden/>
              </w:rPr>
            </w:r>
            <w:r w:rsidR="007B3ADB">
              <w:rPr>
                <w:webHidden/>
              </w:rPr>
              <w:fldChar w:fldCharType="separate"/>
            </w:r>
            <w:r w:rsidR="007B3ADB">
              <w:rPr>
                <w:webHidden/>
              </w:rPr>
              <w:t>10</w:t>
            </w:r>
            <w:r w:rsidR="007B3ADB">
              <w:rPr>
                <w:webHidden/>
              </w:rPr>
              <w:fldChar w:fldCharType="end"/>
            </w:r>
          </w:hyperlink>
        </w:p>
        <w:p w14:paraId="60BCCC4D"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1" w:history="1">
            <w:r w:rsidR="007B3ADB" w:rsidRPr="008E6E89">
              <w:rPr>
                <w:rStyle w:val="Hyperlink"/>
                <w:noProof/>
              </w:rPr>
              <w:t>1.1.</w:t>
            </w:r>
            <w:r w:rsidR="007B3ADB">
              <w:rPr>
                <w:rFonts w:asciiTheme="minorHAnsi" w:hAnsiTheme="minorHAnsi" w:cstheme="minorBidi"/>
                <w:noProof/>
                <w:szCs w:val="24"/>
              </w:rPr>
              <w:tab/>
            </w:r>
            <w:r w:rsidR="007B3ADB" w:rsidRPr="008E6E89">
              <w:rPr>
                <w:rStyle w:val="Hyperlink"/>
                <w:noProof/>
              </w:rPr>
              <w:t>BACKGROUND</w:t>
            </w:r>
            <w:r w:rsidR="007B3ADB">
              <w:rPr>
                <w:noProof/>
                <w:webHidden/>
              </w:rPr>
              <w:tab/>
            </w:r>
            <w:r w:rsidR="007B3ADB">
              <w:rPr>
                <w:noProof/>
                <w:webHidden/>
              </w:rPr>
              <w:fldChar w:fldCharType="begin"/>
            </w:r>
            <w:r w:rsidR="007B3ADB">
              <w:rPr>
                <w:noProof/>
                <w:webHidden/>
              </w:rPr>
              <w:instrText xml:space="preserve"> PAGEREF _Toc62552871 \h </w:instrText>
            </w:r>
            <w:r w:rsidR="007B3ADB">
              <w:rPr>
                <w:noProof/>
                <w:webHidden/>
              </w:rPr>
            </w:r>
            <w:r w:rsidR="007B3ADB">
              <w:rPr>
                <w:noProof/>
                <w:webHidden/>
              </w:rPr>
              <w:fldChar w:fldCharType="separate"/>
            </w:r>
            <w:r w:rsidR="007B3ADB">
              <w:rPr>
                <w:noProof/>
                <w:webHidden/>
              </w:rPr>
              <w:t>10</w:t>
            </w:r>
            <w:r w:rsidR="007B3ADB">
              <w:rPr>
                <w:noProof/>
                <w:webHidden/>
              </w:rPr>
              <w:fldChar w:fldCharType="end"/>
            </w:r>
          </w:hyperlink>
        </w:p>
        <w:p w14:paraId="45F6904C" w14:textId="6FAACC26" w:rsidR="007B3ADB" w:rsidRPr="007B3ADB" w:rsidRDefault="004A5F49" w:rsidP="00182E55">
          <w:pPr>
            <w:pStyle w:val="TOC1"/>
            <w:ind w:left="360"/>
            <w:rPr>
              <w:rFonts w:asciiTheme="minorHAnsi" w:hAnsiTheme="minorHAnsi" w:cstheme="minorBidi"/>
              <w:szCs w:val="24"/>
            </w:rPr>
          </w:pPr>
          <w:hyperlink w:anchor="_Toc62552872" w:history="1">
            <w:r w:rsidR="007B3ADB" w:rsidRPr="007B3ADB">
              <w:rPr>
                <w:rStyle w:val="Hyperlink"/>
                <w:b w:val="0"/>
              </w:rPr>
              <w:t>1.2.</w:t>
            </w:r>
            <w:r w:rsidR="007B3ADB">
              <w:rPr>
                <w:rFonts w:asciiTheme="minorHAnsi" w:hAnsiTheme="minorHAnsi" w:cstheme="minorBidi"/>
                <w:szCs w:val="24"/>
              </w:rPr>
              <w:t xml:space="preserve">    </w:t>
            </w:r>
            <w:r w:rsidR="007B3ADB" w:rsidRPr="007B3ADB">
              <w:rPr>
                <w:rStyle w:val="Hyperlink"/>
                <w:rFonts w:cstheme="majorBidi"/>
                <w:b w:val="0"/>
              </w:rPr>
              <w:t>STATEMENT OF PROBLEM</w:t>
            </w:r>
            <w:r w:rsidR="00D237AB">
              <w:rPr>
                <w:rStyle w:val="Hyperlink"/>
                <w:rFonts w:cstheme="majorBidi"/>
                <w:b w:val="0"/>
              </w:rPr>
              <w:t xml:space="preserve"> ………………………………………………………..</w:t>
            </w:r>
            <w:r w:rsidR="007B3ADB" w:rsidRPr="007B3ADB">
              <w:rPr>
                <w:webHidden/>
              </w:rPr>
              <w:fldChar w:fldCharType="begin"/>
            </w:r>
            <w:r w:rsidR="007B3ADB" w:rsidRPr="007B3ADB">
              <w:rPr>
                <w:webHidden/>
              </w:rPr>
              <w:instrText xml:space="preserve"> PAGEREF _Toc62552872 \h </w:instrText>
            </w:r>
            <w:r w:rsidR="007B3ADB" w:rsidRPr="007B3ADB">
              <w:rPr>
                <w:webHidden/>
              </w:rPr>
            </w:r>
            <w:r w:rsidR="007B3ADB" w:rsidRPr="007B3ADB">
              <w:rPr>
                <w:webHidden/>
              </w:rPr>
              <w:fldChar w:fldCharType="separate"/>
            </w:r>
            <w:r w:rsidR="007B3ADB" w:rsidRPr="007B3ADB">
              <w:rPr>
                <w:webHidden/>
              </w:rPr>
              <w:t>12</w:t>
            </w:r>
            <w:r w:rsidR="007B3ADB" w:rsidRPr="007B3ADB">
              <w:rPr>
                <w:webHidden/>
              </w:rPr>
              <w:fldChar w:fldCharType="end"/>
            </w:r>
          </w:hyperlink>
        </w:p>
        <w:p w14:paraId="1F0A83C9"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3" w:history="1">
            <w:r w:rsidR="007B3ADB" w:rsidRPr="008E6E89">
              <w:rPr>
                <w:rStyle w:val="Hyperlink"/>
                <w:noProof/>
              </w:rPr>
              <w:t>1.3.</w:t>
            </w:r>
            <w:r w:rsidR="007B3ADB">
              <w:rPr>
                <w:rFonts w:asciiTheme="minorHAnsi" w:hAnsiTheme="minorHAnsi" w:cstheme="minorBidi"/>
                <w:noProof/>
                <w:szCs w:val="24"/>
              </w:rPr>
              <w:tab/>
            </w:r>
            <w:r w:rsidR="007B3ADB" w:rsidRPr="008E6E89">
              <w:rPr>
                <w:rStyle w:val="Hyperlink"/>
                <w:noProof/>
              </w:rPr>
              <w:t>STATEMENT OF AIM &amp; OBJECTIVES</w:t>
            </w:r>
            <w:r w:rsidR="007B3ADB">
              <w:rPr>
                <w:noProof/>
                <w:webHidden/>
              </w:rPr>
              <w:tab/>
            </w:r>
            <w:r w:rsidR="007B3ADB">
              <w:rPr>
                <w:noProof/>
                <w:webHidden/>
              </w:rPr>
              <w:fldChar w:fldCharType="begin"/>
            </w:r>
            <w:r w:rsidR="007B3ADB">
              <w:rPr>
                <w:noProof/>
                <w:webHidden/>
              </w:rPr>
              <w:instrText xml:space="preserve"> PAGEREF _Toc62552873 \h </w:instrText>
            </w:r>
            <w:r w:rsidR="007B3ADB">
              <w:rPr>
                <w:noProof/>
                <w:webHidden/>
              </w:rPr>
            </w:r>
            <w:r w:rsidR="007B3ADB">
              <w:rPr>
                <w:noProof/>
                <w:webHidden/>
              </w:rPr>
              <w:fldChar w:fldCharType="separate"/>
            </w:r>
            <w:r w:rsidR="007B3ADB">
              <w:rPr>
                <w:noProof/>
                <w:webHidden/>
              </w:rPr>
              <w:t>13</w:t>
            </w:r>
            <w:r w:rsidR="007B3ADB">
              <w:rPr>
                <w:noProof/>
                <w:webHidden/>
              </w:rPr>
              <w:fldChar w:fldCharType="end"/>
            </w:r>
          </w:hyperlink>
        </w:p>
        <w:p w14:paraId="716E7721"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4" w:history="1">
            <w:r w:rsidR="007B3ADB" w:rsidRPr="008E6E89">
              <w:rPr>
                <w:rStyle w:val="Hyperlink"/>
                <w:rFonts w:eastAsia="Times New Roman"/>
                <w:noProof/>
                <w:kern w:val="3"/>
              </w:rPr>
              <w:t>1.4.</w:t>
            </w:r>
            <w:r w:rsidR="007B3ADB">
              <w:rPr>
                <w:rFonts w:asciiTheme="minorHAnsi" w:hAnsiTheme="minorHAnsi" w:cstheme="minorBidi"/>
                <w:noProof/>
                <w:szCs w:val="24"/>
              </w:rPr>
              <w:tab/>
            </w:r>
            <w:r w:rsidR="007B3ADB" w:rsidRPr="008E6E89">
              <w:rPr>
                <w:rStyle w:val="Hyperlink"/>
                <w:noProof/>
              </w:rPr>
              <w:t>RESEARCH QUESTIONS</w:t>
            </w:r>
            <w:r w:rsidR="007B3ADB">
              <w:rPr>
                <w:noProof/>
                <w:webHidden/>
              </w:rPr>
              <w:tab/>
            </w:r>
            <w:r w:rsidR="007B3ADB">
              <w:rPr>
                <w:noProof/>
                <w:webHidden/>
              </w:rPr>
              <w:fldChar w:fldCharType="begin"/>
            </w:r>
            <w:r w:rsidR="007B3ADB">
              <w:rPr>
                <w:noProof/>
                <w:webHidden/>
              </w:rPr>
              <w:instrText xml:space="preserve"> PAGEREF _Toc62552874 \h </w:instrText>
            </w:r>
            <w:r w:rsidR="007B3ADB">
              <w:rPr>
                <w:noProof/>
                <w:webHidden/>
              </w:rPr>
            </w:r>
            <w:r w:rsidR="007B3ADB">
              <w:rPr>
                <w:noProof/>
                <w:webHidden/>
              </w:rPr>
              <w:fldChar w:fldCharType="separate"/>
            </w:r>
            <w:r w:rsidR="007B3ADB">
              <w:rPr>
                <w:noProof/>
                <w:webHidden/>
              </w:rPr>
              <w:t>13</w:t>
            </w:r>
            <w:r w:rsidR="007B3ADB">
              <w:rPr>
                <w:noProof/>
                <w:webHidden/>
              </w:rPr>
              <w:fldChar w:fldCharType="end"/>
            </w:r>
          </w:hyperlink>
        </w:p>
        <w:p w14:paraId="35DD2746"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5" w:history="1">
            <w:r w:rsidR="007B3ADB" w:rsidRPr="008E6E89">
              <w:rPr>
                <w:rStyle w:val="Hyperlink"/>
                <w:noProof/>
              </w:rPr>
              <w:t>1.6.</w:t>
            </w:r>
            <w:r w:rsidR="007B3ADB">
              <w:rPr>
                <w:rFonts w:asciiTheme="minorHAnsi" w:hAnsiTheme="minorHAnsi" w:cstheme="minorBidi"/>
                <w:noProof/>
                <w:szCs w:val="24"/>
              </w:rPr>
              <w:tab/>
            </w:r>
            <w:r w:rsidR="007B3ADB" w:rsidRPr="008E6E89">
              <w:rPr>
                <w:rStyle w:val="Hyperlink"/>
                <w:rFonts w:eastAsia="Times New Roman"/>
                <w:noProof/>
              </w:rPr>
              <w:t>RESEARCH METHODOLOGY</w:t>
            </w:r>
            <w:r w:rsidR="007B3ADB">
              <w:rPr>
                <w:noProof/>
                <w:webHidden/>
              </w:rPr>
              <w:tab/>
            </w:r>
            <w:r w:rsidR="007B3ADB">
              <w:rPr>
                <w:noProof/>
                <w:webHidden/>
              </w:rPr>
              <w:fldChar w:fldCharType="begin"/>
            </w:r>
            <w:r w:rsidR="007B3ADB">
              <w:rPr>
                <w:noProof/>
                <w:webHidden/>
              </w:rPr>
              <w:instrText xml:space="preserve"> PAGEREF _Toc62552875 \h </w:instrText>
            </w:r>
            <w:r w:rsidR="007B3ADB">
              <w:rPr>
                <w:noProof/>
                <w:webHidden/>
              </w:rPr>
            </w:r>
            <w:r w:rsidR="007B3ADB">
              <w:rPr>
                <w:noProof/>
                <w:webHidden/>
              </w:rPr>
              <w:fldChar w:fldCharType="separate"/>
            </w:r>
            <w:r w:rsidR="007B3ADB">
              <w:rPr>
                <w:noProof/>
                <w:webHidden/>
              </w:rPr>
              <w:t>14</w:t>
            </w:r>
            <w:r w:rsidR="007B3ADB">
              <w:rPr>
                <w:noProof/>
                <w:webHidden/>
              </w:rPr>
              <w:fldChar w:fldCharType="end"/>
            </w:r>
          </w:hyperlink>
        </w:p>
        <w:p w14:paraId="00386CB2"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6" w:history="1">
            <w:r w:rsidR="007B3ADB" w:rsidRPr="008E6E89">
              <w:rPr>
                <w:rStyle w:val="Hyperlink"/>
                <w:noProof/>
              </w:rPr>
              <w:t>1.7.</w:t>
            </w:r>
            <w:r w:rsidR="007B3ADB">
              <w:rPr>
                <w:rFonts w:asciiTheme="minorHAnsi" w:hAnsiTheme="minorHAnsi" w:cstheme="minorBidi"/>
                <w:noProof/>
                <w:szCs w:val="24"/>
              </w:rPr>
              <w:tab/>
            </w:r>
            <w:r w:rsidR="007B3ADB" w:rsidRPr="008E6E89">
              <w:rPr>
                <w:rStyle w:val="Hyperlink"/>
                <w:noProof/>
              </w:rPr>
              <w:t>LITERATURE REVIEW</w:t>
            </w:r>
            <w:r w:rsidR="007B3ADB">
              <w:rPr>
                <w:noProof/>
                <w:webHidden/>
              </w:rPr>
              <w:tab/>
            </w:r>
            <w:r w:rsidR="007B3ADB">
              <w:rPr>
                <w:noProof/>
                <w:webHidden/>
              </w:rPr>
              <w:fldChar w:fldCharType="begin"/>
            </w:r>
            <w:r w:rsidR="007B3ADB">
              <w:rPr>
                <w:noProof/>
                <w:webHidden/>
              </w:rPr>
              <w:instrText xml:space="preserve"> PAGEREF _Toc62552876 \h </w:instrText>
            </w:r>
            <w:r w:rsidR="007B3ADB">
              <w:rPr>
                <w:noProof/>
                <w:webHidden/>
              </w:rPr>
            </w:r>
            <w:r w:rsidR="007B3ADB">
              <w:rPr>
                <w:noProof/>
                <w:webHidden/>
              </w:rPr>
              <w:fldChar w:fldCharType="separate"/>
            </w:r>
            <w:r w:rsidR="007B3ADB">
              <w:rPr>
                <w:noProof/>
                <w:webHidden/>
              </w:rPr>
              <w:t>14</w:t>
            </w:r>
            <w:r w:rsidR="007B3ADB">
              <w:rPr>
                <w:noProof/>
                <w:webHidden/>
              </w:rPr>
              <w:fldChar w:fldCharType="end"/>
            </w:r>
          </w:hyperlink>
        </w:p>
        <w:p w14:paraId="0FAE87FD" w14:textId="77777777" w:rsidR="007B3ADB" w:rsidRDefault="004A5F49" w:rsidP="00182E55">
          <w:pPr>
            <w:pStyle w:val="TOC2"/>
            <w:tabs>
              <w:tab w:val="right" w:leader="dot" w:pos="9350"/>
            </w:tabs>
            <w:ind w:left="360"/>
            <w:rPr>
              <w:rFonts w:asciiTheme="minorHAnsi" w:hAnsiTheme="minorHAnsi" w:cstheme="minorBidi"/>
              <w:noProof/>
              <w:szCs w:val="24"/>
            </w:rPr>
          </w:pPr>
          <w:hyperlink w:anchor="_Toc62552877" w:history="1">
            <w:r w:rsidR="007B3ADB" w:rsidRPr="008E6E89">
              <w:rPr>
                <w:rStyle w:val="Hyperlink"/>
                <w:noProof/>
              </w:rPr>
              <w:t>1.8       THEORETICAL FRAMEWORK</w:t>
            </w:r>
            <w:r w:rsidR="007B3ADB">
              <w:rPr>
                <w:noProof/>
                <w:webHidden/>
              </w:rPr>
              <w:tab/>
            </w:r>
            <w:r w:rsidR="007B3ADB">
              <w:rPr>
                <w:noProof/>
                <w:webHidden/>
              </w:rPr>
              <w:fldChar w:fldCharType="begin"/>
            </w:r>
            <w:r w:rsidR="007B3ADB">
              <w:rPr>
                <w:noProof/>
                <w:webHidden/>
              </w:rPr>
              <w:instrText xml:space="preserve"> PAGEREF _Toc62552877 \h </w:instrText>
            </w:r>
            <w:r w:rsidR="007B3ADB">
              <w:rPr>
                <w:noProof/>
                <w:webHidden/>
              </w:rPr>
            </w:r>
            <w:r w:rsidR="007B3ADB">
              <w:rPr>
                <w:noProof/>
                <w:webHidden/>
              </w:rPr>
              <w:fldChar w:fldCharType="separate"/>
            </w:r>
            <w:r w:rsidR="007B3ADB">
              <w:rPr>
                <w:noProof/>
                <w:webHidden/>
              </w:rPr>
              <w:t>16</w:t>
            </w:r>
            <w:r w:rsidR="007B3ADB">
              <w:rPr>
                <w:noProof/>
                <w:webHidden/>
              </w:rPr>
              <w:fldChar w:fldCharType="end"/>
            </w:r>
          </w:hyperlink>
        </w:p>
        <w:p w14:paraId="35A3A58B"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8" w:history="1">
            <w:r w:rsidR="007B3ADB" w:rsidRPr="008E6E89">
              <w:rPr>
                <w:rStyle w:val="Hyperlink"/>
                <w:noProof/>
              </w:rPr>
              <w:t>1.9</w:t>
            </w:r>
            <w:r w:rsidR="007B3ADB">
              <w:rPr>
                <w:rFonts w:asciiTheme="minorHAnsi" w:hAnsiTheme="minorHAnsi" w:cstheme="minorBidi"/>
                <w:noProof/>
                <w:szCs w:val="24"/>
              </w:rPr>
              <w:tab/>
            </w:r>
            <w:r w:rsidR="007B3ADB" w:rsidRPr="008E6E89">
              <w:rPr>
                <w:rStyle w:val="Hyperlink"/>
                <w:noProof/>
              </w:rPr>
              <w:t>HYPOTHESES</w:t>
            </w:r>
            <w:r w:rsidR="007B3ADB">
              <w:rPr>
                <w:noProof/>
                <w:webHidden/>
              </w:rPr>
              <w:tab/>
            </w:r>
            <w:r w:rsidR="007B3ADB">
              <w:rPr>
                <w:noProof/>
                <w:webHidden/>
              </w:rPr>
              <w:fldChar w:fldCharType="begin"/>
            </w:r>
            <w:r w:rsidR="007B3ADB">
              <w:rPr>
                <w:noProof/>
                <w:webHidden/>
              </w:rPr>
              <w:instrText xml:space="preserve"> PAGEREF _Toc62552878 \h </w:instrText>
            </w:r>
            <w:r w:rsidR="007B3ADB">
              <w:rPr>
                <w:noProof/>
                <w:webHidden/>
              </w:rPr>
            </w:r>
            <w:r w:rsidR="007B3ADB">
              <w:rPr>
                <w:noProof/>
                <w:webHidden/>
              </w:rPr>
              <w:fldChar w:fldCharType="separate"/>
            </w:r>
            <w:r w:rsidR="007B3ADB">
              <w:rPr>
                <w:noProof/>
                <w:webHidden/>
              </w:rPr>
              <w:t>17</w:t>
            </w:r>
            <w:r w:rsidR="007B3ADB">
              <w:rPr>
                <w:noProof/>
                <w:webHidden/>
              </w:rPr>
              <w:fldChar w:fldCharType="end"/>
            </w:r>
          </w:hyperlink>
        </w:p>
        <w:p w14:paraId="621282EB"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79" w:history="1">
            <w:r w:rsidR="007B3ADB" w:rsidRPr="008E6E89">
              <w:rPr>
                <w:rStyle w:val="Hyperlink"/>
                <w:noProof/>
              </w:rPr>
              <w:t>1.10</w:t>
            </w:r>
            <w:r w:rsidR="007B3ADB">
              <w:rPr>
                <w:rFonts w:asciiTheme="minorHAnsi" w:hAnsiTheme="minorHAnsi" w:cstheme="minorBidi"/>
                <w:noProof/>
                <w:szCs w:val="24"/>
              </w:rPr>
              <w:tab/>
            </w:r>
            <w:r w:rsidR="007B3ADB" w:rsidRPr="008E6E89">
              <w:rPr>
                <w:rStyle w:val="Hyperlink"/>
                <w:noProof/>
              </w:rPr>
              <w:t>CHAPTER BREAKDOWN</w:t>
            </w:r>
            <w:r w:rsidR="007B3ADB">
              <w:rPr>
                <w:noProof/>
                <w:webHidden/>
              </w:rPr>
              <w:tab/>
            </w:r>
            <w:r w:rsidR="007B3ADB">
              <w:rPr>
                <w:noProof/>
                <w:webHidden/>
              </w:rPr>
              <w:fldChar w:fldCharType="begin"/>
            </w:r>
            <w:r w:rsidR="007B3ADB">
              <w:rPr>
                <w:noProof/>
                <w:webHidden/>
              </w:rPr>
              <w:instrText xml:space="preserve"> PAGEREF _Toc62552879 \h </w:instrText>
            </w:r>
            <w:r w:rsidR="007B3ADB">
              <w:rPr>
                <w:noProof/>
                <w:webHidden/>
              </w:rPr>
            </w:r>
            <w:r w:rsidR="007B3ADB">
              <w:rPr>
                <w:noProof/>
                <w:webHidden/>
              </w:rPr>
              <w:fldChar w:fldCharType="separate"/>
            </w:r>
            <w:r w:rsidR="007B3ADB">
              <w:rPr>
                <w:noProof/>
                <w:webHidden/>
              </w:rPr>
              <w:t>17</w:t>
            </w:r>
            <w:r w:rsidR="007B3ADB">
              <w:rPr>
                <w:noProof/>
                <w:webHidden/>
              </w:rPr>
              <w:fldChar w:fldCharType="end"/>
            </w:r>
          </w:hyperlink>
        </w:p>
        <w:p w14:paraId="7B3550FA" w14:textId="77777777" w:rsidR="007B3ADB" w:rsidRDefault="004A5F49" w:rsidP="00182E55">
          <w:pPr>
            <w:pStyle w:val="TOC1"/>
            <w:ind w:left="360"/>
            <w:rPr>
              <w:rFonts w:asciiTheme="minorHAnsi" w:hAnsiTheme="minorHAnsi" w:cstheme="minorBidi"/>
              <w:szCs w:val="24"/>
            </w:rPr>
          </w:pPr>
          <w:hyperlink w:anchor="_Toc62552880" w:history="1">
            <w:r w:rsidR="007B3ADB" w:rsidRPr="008E6E89">
              <w:rPr>
                <w:rStyle w:val="Hyperlink"/>
              </w:rPr>
              <w:t>CHAPTER 2: LEGAL FRAMEWORK GOVERNING BANKS IN RELATION TO BANK MERGERS</w:t>
            </w:r>
            <w:r w:rsidR="007B3ADB">
              <w:rPr>
                <w:webHidden/>
              </w:rPr>
              <w:tab/>
            </w:r>
            <w:r w:rsidR="007B3ADB">
              <w:rPr>
                <w:webHidden/>
              </w:rPr>
              <w:fldChar w:fldCharType="begin"/>
            </w:r>
            <w:r w:rsidR="007B3ADB">
              <w:rPr>
                <w:webHidden/>
              </w:rPr>
              <w:instrText xml:space="preserve"> PAGEREF _Toc62552880 \h </w:instrText>
            </w:r>
            <w:r w:rsidR="007B3ADB">
              <w:rPr>
                <w:webHidden/>
              </w:rPr>
            </w:r>
            <w:r w:rsidR="007B3ADB">
              <w:rPr>
                <w:webHidden/>
              </w:rPr>
              <w:fldChar w:fldCharType="separate"/>
            </w:r>
            <w:r w:rsidR="007B3ADB">
              <w:rPr>
                <w:webHidden/>
              </w:rPr>
              <w:t>19</w:t>
            </w:r>
            <w:r w:rsidR="007B3ADB">
              <w:rPr>
                <w:webHidden/>
              </w:rPr>
              <w:fldChar w:fldCharType="end"/>
            </w:r>
          </w:hyperlink>
        </w:p>
        <w:p w14:paraId="47707E55"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81" w:history="1">
            <w:r w:rsidR="007B3ADB" w:rsidRPr="008E6E89">
              <w:rPr>
                <w:rStyle w:val="Hyperlink"/>
                <w:noProof/>
              </w:rPr>
              <w:t>2.1.</w:t>
            </w:r>
            <w:r w:rsidR="007B3ADB">
              <w:rPr>
                <w:rFonts w:asciiTheme="minorHAnsi" w:hAnsiTheme="minorHAnsi" w:cstheme="minorBidi"/>
                <w:noProof/>
                <w:szCs w:val="24"/>
              </w:rPr>
              <w:tab/>
            </w:r>
            <w:r w:rsidR="007B3ADB" w:rsidRPr="008E6E89">
              <w:rPr>
                <w:rStyle w:val="Hyperlink"/>
                <w:noProof/>
              </w:rPr>
              <w:t>HISTORY OF REGULATION OF BANKS IN KENYA</w:t>
            </w:r>
            <w:r w:rsidR="007B3ADB">
              <w:rPr>
                <w:noProof/>
                <w:webHidden/>
              </w:rPr>
              <w:tab/>
            </w:r>
            <w:r w:rsidR="007B3ADB">
              <w:rPr>
                <w:noProof/>
                <w:webHidden/>
              </w:rPr>
              <w:fldChar w:fldCharType="begin"/>
            </w:r>
            <w:r w:rsidR="007B3ADB">
              <w:rPr>
                <w:noProof/>
                <w:webHidden/>
              </w:rPr>
              <w:instrText xml:space="preserve"> PAGEREF _Toc62552881 \h </w:instrText>
            </w:r>
            <w:r w:rsidR="007B3ADB">
              <w:rPr>
                <w:noProof/>
                <w:webHidden/>
              </w:rPr>
            </w:r>
            <w:r w:rsidR="007B3ADB">
              <w:rPr>
                <w:noProof/>
                <w:webHidden/>
              </w:rPr>
              <w:fldChar w:fldCharType="separate"/>
            </w:r>
            <w:r w:rsidR="007B3ADB">
              <w:rPr>
                <w:noProof/>
                <w:webHidden/>
              </w:rPr>
              <w:t>19</w:t>
            </w:r>
            <w:r w:rsidR="007B3ADB">
              <w:rPr>
                <w:noProof/>
                <w:webHidden/>
              </w:rPr>
              <w:fldChar w:fldCharType="end"/>
            </w:r>
          </w:hyperlink>
        </w:p>
        <w:p w14:paraId="41AB51EE"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82" w:history="1">
            <w:r w:rsidR="007B3ADB" w:rsidRPr="008E6E89">
              <w:rPr>
                <w:rStyle w:val="Hyperlink"/>
                <w:noProof/>
              </w:rPr>
              <w:t>2.2.</w:t>
            </w:r>
            <w:r w:rsidR="007B3ADB">
              <w:rPr>
                <w:rFonts w:asciiTheme="minorHAnsi" w:hAnsiTheme="minorHAnsi" w:cstheme="minorBidi"/>
                <w:noProof/>
                <w:szCs w:val="24"/>
              </w:rPr>
              <w:tab/>
            </w:r>
            <w:r w:rsidR="007B3ADB" w:rsidRPr="008E6E89">
              <w:rPr>
                <w:rStyle w:val="Hyperlink"/>
                <w:noProof/>
              </w:rPr>
              <w:t>BANK MERGERS</w:t>
            </w:r>
            <w:r w:rsidR="007B3ADB">
              <w:rPr>
                <w:noProof/>
                <w:webHidden/>
              </w:rPr>
              <w:tab/>
            </w:r>
            <w:r w:rsidR="007B3ADB">
              <w:rPr>
                <w:noProof/>
                <w:webHidden/>
              </w:rPr>
              <w:fldChar w:fldCharType="begin"/>
            </w:r>
            <w:r w:rsidR="007B3ADB">
              <w:rPr>
                <w:noProof/>
                <w:webHidden/>
              </w:rPr>
              <w:instrText xml:space="preserve"> PAGEREF _Toc62552882 \h </w:instrText>
            </w:r>
            <w:r w:rsidR="007B3ADB">
              <w:rPr>
                <w:noProof/>
                <w:webHidden/>
              </w:rPr>
            </w:r>
            <w:r w:rsidR="007B3ADB">
              <w:rPr>
                <w:noProof/>
                <w:webHidden/>
              </w:rPr>
              <w:fldChar w:fldCharType="separate"/>
            </w:r>
            <w:r w:rsidR="007B3ADB">
              <w:rPr>
                <w:noProof/>
                <w:webHidden/>
              </w:rPr>
              <w:t>21</w:t>
            </w:r>
            <w:r w:rsidR="007B3ADB">
              <w:rPr>
                <w:noProof/>
                <w:webHidden/>
              </w:rPr>
              <w:fldChar w:fldCharType="end"/>
            </w:r>
          </w:hyperlink>
        </w:p>
        <w:p w14:paraId="6472E323"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3" w:history="1">
            <w:r w:rsidR="007B3ADB" w:rsidRPr="008E6E89">
              <w:rPr>
                <w:rStyle w:val="Hyperlink"/>
                <w:i/>
                <w:noProof/>
              </w:rPr>
              <w:t>a.</w:t>
            </w:r>
            <w:r w:rsidR="007B3ADB">
              <w:rPr>
                <w:rFonts w:asciiTheme="minorHAnsi" w:hAnsiTheme="minorHAnsi" w:cstheme="minorBidi"/>
                <w:noProof/>
                <w:szCs w:val="24"/>
              </w:rPr>
              <w:tab/>
            </w:r>
            <w:r w:rsidR="007B3ADB" w:rsidRPr="008E6E89">
              <w:rPr>
                <w:rStyle w:val="Hyperlink"/>
                <w:i/>
                <w:noProof/>
              </w:rPr>
              <w:t>Definition of a merger</w:t>
            </w:r>
            <w:r w:rsidR="007B3ADB">
              <w:rPr>
                <w:noProof/>
                <w:webHidden/>
              </w:rPr>
              <w:tab/>
            </w:r>
            <w:r w:rsidR="007B3ADB">
              <w:rPr>
                <w:noProof/>
                <w:webHidden/>
              </w:rPr>
              <w:fldChar w:fldCharType="begin"/>
            </w:r>
            <w:r w:rsidR="007B3ADB">
              <w:rPr>
                <w:noProof/>
                <w:webHidden/>
              </w:rPr>
              <w:instrText xml:space="preserve"> PAGEREF _Toc62552883 \h </w:instrText>
            </w:r>
            <w:r w:rsidR="007B3ADB">
              <w:rPr>
                <w:noProof/>
                <w:webHidden/>
              </w:rPr>
            </w:r>
            <w:r w:rsidR="007B3ADB">
              <w:rPr>
                <w:noProof/>
                <w:webHidden/>
              </w:rPr>
              <w:fldChar w:fldCharType="separate"/>
            </w:r>
            <w:r w:rsidR="007B3ADB">
              <w:rPr>
                <w:noProof/>
                <w:webHidden/>
              </w:rPr>
              <w:t>21</w:t>
            </w:r>
            <w:r w:rsidR="007B3ADB">
              <w:rPr>
                <w:noProof/>
                <w:webHidden/>
              </w:rPr>
              <w:fldChar w:fldCharType="end"/>
            </w:r>
          </w:hyperlink>
        </w:p>
        <w:p w14:paraId="2680A117"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4" w:history="1">
            <w:r w:rsidR="007B3ADB" w:rsidRPr="008E6E89">
              <w:rPr>
                <w:rStyle w:val="Hyperlink"/>
                <w:rFonts w:eastAsia="Times New Roman"/>
                <w:i/>
                <w:noProof/>
              </w:rPr>
              <w:t>b.</w:t>
            </w:r>
            <w:r w:rsidR="007B3ADB">
              <w:rPr>
                <w:rFonts w:asciiTheme="minorHAnsi" w:hAnsiTheme="minorHAnsi" w:cstheme="minorBidi"/>
                <w:noProof/>
                <w:szCs w:val="24"/>
              </w:rPr>
              <w:tab/>
            </w:r>
            <w:r w:rsidR="007B3ADB" w:rsidRPr="008E6E89">
              <w:rPr>
                <w:rStyle w:val="Hyperlink"/>
                <w:rFonts w:eastAsia="Times New Roman"/>
                <w:i/>
                <w:noProof/>
              </w:rPr>
              <w:t>Why bank mergers?</w:t>
            </w:r>
            <w:r w:rsidR="007B3ADB">
              <w:rPr>
                <w:noProof/>
                <w:webHidden/>
              </w:rPr>
              <w:tab/>
            </w:r>
            <w:r w:rsidR="007B3ADB">
              <w:rPr>
                <w:noProof/>
                <w:webHidden/>
              </w:rPr>
              <w:fldChar w:fldCharType="begin"/>
            </w:r>
            <w:r w:rsidR="007B3ADB">
              <w:rPr>
                <w:noProof/>
                <w:webHidden/>
              </w:rPr>
              <w:instrText xml:space="preserve"> PAGEREF _Toc62552884 \h </w:instrText>
            </w:r>
            <w:r w:rsidR="007B3ADB">
              <w:rPr>
                <w:noProof/>
                <w:webHidden/>
              </w:rPr>
            </w:r>
            <w:r w:rsidR="007B3ADB">
              <w:rPr>
                <w:noProof/>
                <w:webHidden/>
              </w:rPr>
              <w:fldChar w:fldCharType="separate"/>
            </w:r>
            <w:r w:rsidR="007B3ADB">
              <w:rPr>
                <w:noProof/>
                <w:webHidden/>
              </w:rPr>
              <w:t>21</w:t>
            </w:r>
            <w:r w:rsidR="007B3ADB">
              <w:rPr>
                <w:noProof/>
                <w:webHidden/>
              </w:rPr>
              <w:fldChar w:fldCharType="end"/>
            </w:r>
          </w:hyperlink>
        </w:p>
        <w:p w14:paraId="2FB0ADFF"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5" w:history="1">
            <w:r w:rsidR="007B3ADB" w:rsidRPr="008E6E89">
              <w:rPr>
                <w:rStyle w:val="Hyperlink"/>
                <w:i/>
                <w:noProof/>
              </w:rPr>
              <w:t>c.</w:t>
            </w:r>
            <w:r w:rsidR="007B3ADB">
              <w:rPr>
                <w:rFonts w:asciiTheme="minorHAnsi" w:hAnsiTheme="minorHAnsi" w:cstheme="minorBidi"/>
                <w:noProof/>
                <w:szCs w:val="24"/>
              </w:rPr>
              <w:tab/>
            </w:r>
            <w:r w:rsidR="007B3ADB" w:rsidRPr="008E6E89">
              <w:rPr>
                <w:rStyle w:val="Hyperlink"/>
                <w:i/>
                <w:noProof/>
              </w:rPr>
              <w:t>How do bank mergers create TBTF banks?</w:t>
            </w:r>
            <w:r w:rsidR="007B3ADB">
              <w:rPr>
                <w:noProof/>
                <w:webHidden/>
              </w:rPr>
              <w:tab/>
            </w:r>
            <w:r w:rsidR="007B3ADB">
              <w:rPr>
                <w:noProof/>
                <w:webHidden/>
              </w:rPr>
              <w:fldChar w:fldCharType="begin"/>
            </w:r>
            <w:r w:rsidR="007B3ADB">
              <w:rPr>
                <w:noProof/>
                <w:webHidden/>
              </w:rPr>
              <w:instrText xml:space="preserve"> PAGEREF _Toc62552885 \h </w:instrText>
            </w:r>
            <w:r w:rsidR="007B3ADB">
              <w:rPr>
                <w:noProof/>
                <w:webHidden/>
              </w:rPr>
            </w:r>
            <w:r w:rsidR="007B3ADB">
              <w:rPr>
                <w:noProof/>
                <w:webHidden/>
              </w:rPr>
              <w:fldChar w:fldCharType="separate"/>
            </w:r>
            <w:r w:rsidR="007B3ADB">
              <w:rPr>
                <w:noProof/>
                <w:webHidden/>
              </w:rPr>
              <w:t>22</w:t>
            </w:r>
            <w:r w:rsidR="007B3ADB">
              <w:rPr>
                <w:noProof/>
                <w:webHidden/>
              </w:rPr>
              <w:fldChar w:fldCharType="end"/>
            </w:r>
          </w:hyperlink>
        </w:p>
        <w:p w14:paraId="280FE3C8"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86" w:history="1">
            <w:r w:rsidR="007B3ADB" w:rsidRPr="008E6E89">
              <w:rPr>
                <w:rStyle w:val="Hyperlink"/>
                <w:noProof/>
              </w:rPr>
              <w:t>2.3.</w:t>
            </w:r>
            <w:r w:rsidR="007B3ADB">
              <w:rPr>
                <w:rFonts w:asciiTheme="minorHAnsi" w:hAnsiTheme="minorHAnsi" w:cstheme="minorBidi"/>
                <w:noProof/>
                <w:szCs w:val="24"/>
              </w:rPr>
              <w:tab/>
            </w:r>
            <w:r w:rsidR="007B3ADB" w:rsidRPr="008E6E89">
              <w:rPr>
                <w:rStyle w:val="Hyperlink"/>
                <w:noProof/>
              </w:rPr>
              <w:t>LAWS AND INSTITUTIONS GOVERNING BANK MERGERS</w:t>
            </w:r>
            <w:r w:rsidR="007B3ADB">
              <w:rPr>
                <w:noProof/>
                <w:webHidden/>
              </w:rPr>
              <w:tab/>
            </w:r>
            <w:r w:rsidR="007B3ADB">
              <w:rPr>
                <w:noProof/>
                <w:webHidden/>
              </w:rPr>
              <w:fldChar w:fldCharType="begin"/>
            </w:r>
            <w:r w:rsidR="007B3ADB">
              <w:rPr>
                <w:noProof/>
                <w:webHidden/>
              </w:rPr>
              <w:instrText xml:space="preserve"> PAGEREF _Toc62552886 \h </w:instrText>
            </w:r>
            <w:r w:rsidR="007B3ADB">
              <w:rPr>
                <w:noProof/>
                <w:webHidden/>
              </w:rPr>
            </w:r>
            <w:r w:rsidR="007B3ADB">
              <w:rPr>
                <w:noProof/>
                <w:webHidden/>
              </w:rPr>
              <w:fldChar w:fldCharType="separate"/>
            </w:r>
            <w:r w:rsidR="007B3ADB">
              <w:rPr>
                <w:noProof/>
                <w:webHidden/>
              </w:rPr>
              <w:t>23</w:t>
            </w:r>
            <w:r w:rsidR="007B3ADB">
              <w:rPr>
                <w:noProof/>
                <w:webHidden/>
              </w:rPr>
              <w:fldChar w:fldCharType="end"/>
            </w:r>
          </w:hyperlink>
        </w:p>
        <w:p w14:paraId="04A248D3"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7" w:history="1">
            <w:r w:rsidR="007B3ADB" w:rsidRPr="008E6E89">
              <w:rPr>
                <w:rStyle w:val="Hyperlink"/>
                <w:rFonts w:eastAsia="Times New Roman"/>
                <w:i/>
                <w:noProof/>
              </w:rPr>
              <w:t>a.</w:t>
            </w:r>
            <w:r w:rsidR="007B3ADB">
              <w:rPr>
                <w:rFonts w:asciiTheme="minorHAnsi" w:hAnsiTheme="minorHAnsi" w:cstheme="minorBidi"/>
                <w:noProof/>
                <w:szCs w:val="24"/>
              </w:rPr>
              <w:tab/>
            </w:r>
            <w:r w:rsidR="007B3ADB" w:rsidRPr="008E6E89">
              <w:rPr>
                <w:rStyle w:val="Hyperlink"/>
                <w:rFonts w:eastAsia="Times New Roman"/>
                <w:i/>
                <w:noProof/>
              </w:rPr>
              <w:t>Competition Act and the Competition Authority of Kenya (CAK)</w:t>
            </w:r>
            <w:r w:rsidR="007B3ADB">
              <w:rPr>
                <w:noProof/>
                <w:webHidden/>
              </w:rPr>
              <w:tab/>
            </w:r>
            <w:r w:rsidR="007B3ADB">
              <w:rPr>
                <w:noProof/>
                <w:webHidden/>
              </w:rPr>
              <w:fldChar w:fldCharType="begin"/>
            </w:r>
            <w:r w:rsidR="007B3ADB">
              <w:rPr>
                <w:noProof/>
                <w:webHidden/>
              </w:rPr>
              <w:instrText xml:space="preserve"> PAGEREF _Toc62552887 \h </w:instrText>
            </w:r>
            <w:r w:rsidR="007B3ADB">
              <w:rPr>
                <w:noProof/>
                <w:webHidden/>
              </w:rPr>
            </w:r>
            <w:r w:rsidR="007B3ADB">
              <w:rPr>
                <w:noProof/>
                <w:webHidden/>
              </w:rPr>
              <w:fldChar w:fldCharType="separate"/>
            </w:r>
            <w:r w:rsidR="007B3ADB">
              <w:rPr>
                <w:noProof/>
                <w:webHidden/>
              </w:rPr>
              <w:t>23</w:t>
            </w:r>
            <w:r w:rsidR="007B3ADB">
              <w:rPr>
                <w:noProof/>
                <w:webHidden/>
              </w:rPr>
              <w:fldChar w:fldCharType="end"/>
            </w:r>
          </w:hyperlink>
        </w:p>
        <w:p w14:paraId="60D07FF9"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8" w:history="1">
            <w:r w:rsidR="007B3ADB" w:rsidRPr="008E6E89">
              <w:rPr>
                <w:rStyle w:val="Hyperlink"/>
                <w:rFonts w:eastAsia="Times New Roman"/>
                <w:i/>
                <w:noProof/>
              </w:rPr>
              <w:t>b.</w:t>
            </w:r>
            <w:r w:rsidR="007B3ADB">
              <w:rPr>
                <w:rFonts w:asciiTheme="minorHAnsi" w:hAnsiTheme="minorHAnsi" w:cstheme="minorBidi"/>
                <w:noProof/>
                <w:szCs w:val="24"/>
              </w:rPr>
              <w:tab/>
            </w:r>
            <w:r w:rsidR="007B3ADB" w:rsidRPr="008E6E89">
              <w:rPr>
                <w:rStyle w:val="Hyperlink"/>
                <w:rFonts w:eastAsia="Times New Roman"/>
                <w:i/>
                <w:noProof/>
              </w:rPr>
              <w:t>Companies Act and the Registrar of Companies</w:t>
            </w:r>
            <w:r w:rsidR="007B3ADB">
              <w:rPr>
                <w:noProof/>
                <w:webHidden/>
              </w:rPr>
              <w:tab/>
            </w:r>
            <w:r w:rsidR="007B3ADB">
              <w:rPr>
                <w:noProof/>
                <w:webHidden/>
              </w:rPr>
              <w:fldChar w:fldCharType="begin"/>
            </w:r>
            <w:r w:rsidR="007B3ADB">
              <w:rPr>
                <w:noProof/>
                <w:webHidden/>
              </w:rPr>
              <w:instrText xml:space="preserve"> PAGEREF _Toc62552888 \h </w:instrText>
            </w:r>
            <w:r w:rsidR="007B3ADB">
              <w:rPr>
                <w:noProof/>
                <w:webHidden/>
              </w:rPr>
            </w:r>
            <w:r w:rsidR="007B3ADB">
              <w:rPr>
                <w:noProof/>
                <w:webHidden/>
              </w:rPr>
              <w:fldChar w:fldCharType="separate"/>
            </w:r>
            <w:r w:rsidR="007B3ADB">
              <w:rPr>
                <w:noProof/>
                <w:webHidden/>
              </w:rPr>
              <w:t>24</w:t>
            </w:r>
            <w:r w:rsidR="007B3ADB">
              <w:rPr>
                <w:noProof/>
                <w:webHidden/>
              </w:rPr>
              <w:fldChar w:fldCharType="end"/>
            </w:r>
          </w:hyperlink>
        </w:p>
        <w:p w14:paraId="39CA4B93"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89" w:history="1">
            <w:r w:rsidR="007B3ADB" w:rsidRPr="008E6E89">
              <w:rPr>
                <w:rStyle w:val="Hyperlink"/>
                <w:rFonts w:eastAsia="Times New Roman"/>
                <w:i/>
                <w:noProof/>
              </w:rPr>
              <w:t>c.</w:t>
            </w:r>
            <w:r w:rsidR="007B3ADB">
              <w:rPr>
                <w:rFonts w:asciiTheme="minorHAnsi" w:hAnsiTheme="minorHAnsi" w:cstheme="minorBidi"/>
                <w:noProof/>
                <w:szCs w:val="24"/>
              </w:rPr>
              <w:tab/>
            </w:r>
            <w:r w:rsidR="007B3ADB" w:rsidRPr="008E6E89">
              <w:rPr>
                <w:rStyle w:val="Hyperlink"/>
                <w:rFonts w:eastAsia="Times New Roman"/>
                <w:i/>
                <w:noProof/>
              </w:rPr>
              <w:t>Capital Markets Act and the Cabinet Secretary for Finance</w:t>
            </w:r>
            <w:r w:rsidR="007B3ADB">
              <w:rPr>
                <w:noProof/>
                <w:webHidden/>
              </w:rPr>
              <w:tab/>
            </w:r>
            <w:r w:rsidR="007B3ADB">
              <w:rPr>
                <w:noProof/>
                <w:webHidden/>
              </w:rPr>
              <w:fldChar w:fldCharType="begin"/>
            </w:r>
            <w:r w:rsidR="007B3ADB">
              <w:rPr>
                <w:noProof/>
                <w:webHidden/>
              </w:rPr>
              <w:instrText xml:space="preserve"> PAGEREF _Toc62552889 \h </w:instrText>
            </w:r>
            <w:r w:rsidR="007B3ADB">
              <w:rPr>
                <w:noProof/>
                <w:webHidden/>
              </w:rPr>
            </w:r>
            <w:r w:rsidR="007B3ADB">
              <w:rPr>
                <w:noProof/>
                <w:webHidden/>
              </w:rPr>
              <w:fldChar w:fldCharType="separate"/>
            </w:r>
            <w:r w:rsidR="007B3ADB">
              <w:rPr>
                <w:noProof/>
                <w:webHidden/>
              </w:rPr>
              <w:t>24</w:t>
            </w:r>
            <w:r w:rsidR="007B3ADB">
              <w:rPr>
                <w:noProof/>
                <w:webHidden/>
              </w:rPr>
              <w:fldChar w:fldCharType="end"/>
            </w:r>
          </w:hyperlink>
        </w:p>
        <w:p w14:paraId="20C21142"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90" w:history="1">
            <w:r w:rsidR="007B3ADB" w:rsidRPr="008E6E89">
              <w:rPr>
                <w:rStyle w:val="Hyperlink"/>
                <w:rFonts w:eastAsia="Times New Roman"/>
                <w:i/>
                <w:noProof/>
              </w:rPr>
              <w:t>d.</w:t>
            </w:r>
            <w:r w:rsidR="007B3ADB">
              <w:rPr>
                <w:rFonts w:asciiTheme="minorHAnsi" w:hAnsiTheme="minorHAnsi" w:cstheme="minorBidi"/>
                <w:noProof/>
                <w:szCs w:val="24"/>
              </w:rPr>
              <w:tab/>
            </w:r>
            <w:r w:rsidR="007B3ADB" w:rsidRPr="008E6E89">
              <w:rPr>
                <w:rStyle w:val="Hyperlink"/>
                <w:rFonts w:eastAsia="Times New Roman"/>
                <w:i/>
                <w:noProof/>
              </w:rPr>
              <w:t>The Banking Act, the Central Bank of Kenya and the Cabinet Secretary for Finance</w:t>
            </w:r>
            <w:r w:rsidR="007B3ADB">
              <w:rPr>
                <w:noProof/>
                <w:webHidden/>
              </w:rPr>
              <w:tab/>
            </w:r>
            <w:r w:rsidR="007B3ADB">
              <w:rPr>
                <w:noProof/>
                <w:webHidden/>
              </w:rPr>
              <w:fldChar w:fldCharType="begin"/>
            </w:r>
            <w:r w:rsidR="007B3ADB">
              <w:rPr>
                <w:noProof/>
                <w:webHidden/>
              </w:rPr>
              <w:instrText xml:space="preserve"> PAGEREF _Toc62552890 \h </w:instrText>
            </w:r>
            <w:r w:rsidR="007B3ADB">
              <w:rPr>
                <w:noProof/>
                <w:webHidden/>
              </w:rPr>
            </w:r>
            <w:r w:rsidR="007B3ADB">
              <w:rPr>
                <w:noProof/>
                <w:webHidden/>
              </w:rPr>
              <w:fldChar w:fldCharType="separate"/>
            </w:r>
            <w:r w:rsidR="007B3ADB">
              <w:rPr>
                <w:noProof/>
                <w:webHidden/>
              </w:rPr>
              <w:t>24</w:t>
            </w:r>
            <w:r w:rsidR="007B3ADB">
              <w:rPr>
                <w:noProof/>
                <w:webHidden/>
              </w:rPr>
              <w:fldChar w:fldCharType="end"/>
            </w:r>
          </w:hyperlink>
        </w:p>
        <w:p w14:paraId="501CD60F"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91" w:history="1">
            <w:r w:rsidR="007B3ADB" w:rsidRPr="008E6E89">
              <w:rPr>
                <w:rStyle w:val="Hyperlink"/>
                <w:rFonts w:eastAsia="Times New Roman"/>
                <w:i/>
                <w:noProof/>
              </w:rPr>
              <w:t>e.</w:t>
            </w:r>
            <w:r w:rsidR="007B3ADB">
              <w:rPr>
                <w:rFonts w:asciiTheme="minorHAnsi" w:hAnsiTheme="minorHAnsi" w:cstheme="minorBidi"/>
                <w:noProof/>
                <w:szCs w:val="24"/>
              </w:rPr>
              <w:tab/>
            </w:r>
            <w:r w:rsidR="007B3ADB" w:rsidRPr="008E6E89">
              <w:rPr>
                <w:rStyle w:val="Hyperlink"/>
                <w:rFonts w:eastAsia="Times New Roman"/>
                <w:i/>
                <w:noProof/>
              </w:rPr>
              <w:t>East African Community Competition Act and the EAC Competition Authority</w:t>
            </w:r>
            <w:r w:rsidR="007B3ADB">
              <w:rPr>
                <w:noProof/>
                <w:webHidden/>
              </w:rPr>
              <w:tab/>
            </w:r>
            <w:r w:rsidR="007B3ADB">
              <w:rPr>
                <w:noProof/>
                <w:webHidden/>
              </w:rPr>
              <w:fldChar w:fldCharType="begin"/>
            </w:r>
            <w:r w:rsidR="007B3ADB">
              <w:rPr>
                <w:noProof/>
                <w:webHidden/>
              </w:rPr>
              <w:instrText xml:space="preserve"> PAGEREF _Toc62552891 \h </w:instrText>
            </w:r>
            <w:r w:rsidR="007B3ADB">
              <w:rPr>
                <w:noProof/>
                <w:webHidden/>
              </w:rPr>
            </w:r>
            <w:r w:rsidR="007B3ADB">
              <w:rPr>
                <w:noProof/>
                <w:webHidden/>
              </w:rPr>
              <w:fldChar w:fldCharType="separate"/>
            </w:r>
            <w:r w:rsidR="007B3ADB">
              <w:rPr>
                <w:noProof/>
                <w:webHidden/>
              </w:rPr>
              <w:t>25</w:t>
            </w:r>
            <w:r w:rsidR="007B3ADB">
              <w:rPr>
                <w:noProof/>
                <w:webHidden/>
              </w:rPr>
              <w:fldChar w:fldCharType="end"/>
            </w:r>
          </w:hyperlink>
        </w:p>
        <w:p w14:paraId="7D4CE96B"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92" w:history="1">
            <w:r w:rsidR="007B3ADB" w:rsidRPr="008E6E89">
              <w:rPr>
                <w:rStyle w:val="Hyperlink"/>
                <w:rFonts w:eastAsia="Times New Roman"/>
                <w:i/>
                <w:noProof/>
              </w:rPr>
              <w:t>f.</w:t>
            </w:r>
            <w:r w:rsidR="007B3ADB">
              <w:rPr>
                <w:rFonts w:asciiTheme="minorHAnsi" w:hAnsiTheme="minorHAnsi" w:cstheme="minorBidi"/>
                <w:noProof/>
                <w:szCs w:val="24"/>
              </w:rPr>
              <w:tab/>
            </w:r>
            <w:r w:rsidR="007B3ADB" w:rsidRPr="008E6E89">
              <w:rPr>
                <w:rStyle w:val="Hyperlink"/>
                <w:rFonts w:eastAsia="Times New Roman"/>
                <w:i/>
                <w:noProof/>
              </w:rPr>
              <w:t xml:space="preserve">COMESA Competition Rules, 2004 and the </w:t>
            </w:r>
            <w:r w:rsidR="007B3ADB" w:rsidRPr="008E6E89">
              <w:rPr>
                <w:rStyle w:val="Hyperlink"/>
                <w:i/>
                <w:noProof/>
              </w:rPr>
              <w:t>COMESA Competition Commission</w:t>
            </w:r>
            <w:r w:rsidR="007B3ADB">
              <w:rPr>
                <w:noProof/>
                <w:webHidden/>
              </w:rPr>
              <w:tab/>
            </w:r>
            <w:r w:rsidR="007B3ADB">
              <w:rPr>
                <w:noProof/>
                <w:webHidden/>
              </w:rPr>
              <w:fldChar w:fldCharType="begin"/>
            </w:r>
            <w:r w:rsidR="007B3ADB">
              <w:rPr>
                <w:noProof/>
                <w:webHidden/>
              </w:rPr>
              <w:instrText xml:space="preserve"> PAGEREF _Toc62552892 \h </w:instrText>
            </w:r>
            <w:r w:rsidR="007B3ADB">
              <w:rPr>
                <w:noProof/>
                <w:webHidden/>
              </w:rPr>
            </w:r>
            <w:r w:rsidR="007B3ADB">
              <w:rPr>
                <w:noProof/>
                <w:webHidden/>
              </w:rPr>
              <w:fldChar w:fldCharType="separate"/>
            </w:r>
            <w:r w:rsidR="007B3ADB">
              <w:rPr>
                <w:noProof/>
                <w:webHidden/>
              </w:rPr>
              <w:t>26</w:t>
            </w:r>
            <w:r w:rsidR="007B3ADB">
              <w:rPr>
                <w:noProof/>
                <w:webHidden/>
              </w:rPr>
              <w:fldChar w:fldCharType="end"/>
            </w:r>
          </w:hyperlink>
        </w:p>
        <w:p w14:paraId="0AA3A443" w14:textId="77777777" w:rsidR="007B3ADB" w:rsidRDefault="004A5F49" w:rsidP="00182E55">
          <w:pPr>
            <w:pStyle w:val="TOC1"/>
            <w:ind w:left="360"/>
            <w:rPr>
              <w:rFonts w:asciiTheme="minorHAnsi" w:hAnsiTheme="minorHAnsi" w:cstheme="minorBidi"/>
              <w:szCs w:val="24"/>
            </w:rPr>
          </w:pPr>
          <w:hyperlink w:anchor="_Toc62552893" w:history="1">
            <w:r w:rsidR="007B3ADB" w:rsidRPr="008E6E89">
              <w:rPr>
                <w:rStyle w:val="Hyperlink"/>
              </w:rPr>
              <w:t>CHAPTER 3: THE CASE OF NCBA</w:t>
            </w:r>
            <w:r w:rsidR="007B3ADB">
              <w:rPr>
                <w:webHidden/>
              </w:rPr>
              <w:tab/>
            </w:r>
            <w:r w:rsidR="007B3ADB">
              <w:rPr>
                <w:webHidden/>
              </w:rPr>
              <w:fldChar w:fldCharType="begin"/>
            </w:r>
            <w:r w:rsidR="007B3ADB">
              <w:rPr>
                <w:webHidden/>
              </w:rPr>
              <w:instrText xml:space="preserve"> PAGEREF _Toc62552893 \h </w:instrText>
            </w:r>
            <w:r w:rsidR="007B3ADB">
              <w:rPr>
                <w:webHidden/>
              </w:rPr>
            </w:r>
            <w:r w:rsidR="007B3ADB">
              <w:rPr>
                <w:webHidden/>
              </w:rPr>
              <w:fldChar w:fldCharType="separate"/>
            </w:r>
            <w:r w:rsidR="007B3ADB">
              <w:rPr>
                <w:webHidden/>
              </w:rPr>
              <w:t>27</w:t>
            </w:r>
            <w:r w:rsidR="007B3ADB">
              <w:rPr>
                <w:webHidden/>
              </w:rPr>
              <w:fldChar w:fldCharType="end"/>
            </w:r>
          </w:hyperlink>
        </w:p>
        <w:p w14:paraId="42E15184"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94" w:history="1">
            <w:r w:rsidR="007B3ADB" w:rsidRPr="008E6E89">
              <w:rPr>
                <w:rStyle w:val="Hyperlink"/>
                <w:noProof/>
              </w:rPr>
              <w:t>3.1.</w:t>
            </w:r>
            <w:r w:rsidR="007B3ADB">
              <w:rPr>
                <w:rFonts w:asciiTheme="minorHAnsi" w:hAnsiTheme="minorHAnsi" w:cstheme="minorBidi"/>
                <w:noProof/>
                <w:szCs w:val="24"/>
              </w:rPr>
              <w:tab/>
            </w:r>
            <w:r w:rsidR="007B3ADB" w:rsidRPr="008E6E89">
              <w:rPr>
                <w:rStyle w:val="Hyperlink"/>
                <w:rFonts w:eastAsia="Times New Roman"/>
                <w:noProof/>
              </w:rPr>
              <w:t>BACKGROUND OF NIC/CBA MERGER</w:t>
            </w:r>
            <w:r w:rsidR="007B3ADB">
              <w:rPr>
                <w:noProof/>
                <w:webHidden/>
              </w:rPr>
              <w:tab/>
            </w:r>
            <w:r w:rsidR="007B3ADB">
              <w:rPr>
                <w:noProof/>
                <w:webHidden/>
              </w:rPr>
              <w:fldChar w:fldCharType="begin"/>
            </w:r>
            <w:r w:rsidR="007B3ADB">
              <w:rPr>
                <w:noProof/>
                <w:webHidden/>
              </w:rPr>
              <w:instrText xml:space="preserve"> PAGEREF _Toc62552894 \h </w:instrText>
            </w:r>
            <w:r w:rsidR="007B3ADB">
              <w:rPr>
                <w:noProof/>
                <w:webHidden/>
              </w:rPr>
            </w:r>
            <w:r w:rsidR="007B3ADB">
              <w:rPr>
                <w:noProof/>
                <w:webHidden/>
              </w:rPr>
              <w:fldChar w:fldCharType="separate"/>
            </w:r>
            <w:r w:rsidR="007B3ADB">
              <w:rPr>
                <w:noProof/>
                <w:webHidden/>
              </w:rPr>
              <w:t>27</w:t>
            </w:r>
            <w:r w:rsidR="007B3ADB">
              <w:rPr>
                <w:noProof/>
                <w:webHidden/>
              </w:rPr>
              <w:fldChar w:fldCharType="end"/>
            </w:r>
          </w:hyperlink>
        </w:p>
        <w:p w14:paraId="5901111D"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95" w:history="1">
            <w:r w:rsidR="007B3ADB" w:rsidRPr="008E6E89">
              <w:rPr>
                <w:rStyle w:val="Hyperlink"/>
                <w:rFonts w:eastAsia="Times New Roman"/>
                <w:noProof/>
              </w:rPr>
              <w:t>3.2.</w:t>
            </w:r>
            <w:r w:rsidR="007B3ADB">
              <w:rPr>
                <w:rFonts w:asciiTheme="minorHAnsi" w:hAnsiTheme="minorHAnsi" w:cstheme="minorBidi"/>
                <w:noProof/>
                <w:szCs w:val="24"/>
              </w:rPr>
              <w:tab/>
            </w:r>
            <w:r w:rsidR="007B3ADB" w:rsidRPr="008E6E89">
              <w:rPr>
                <w:rStyle w:val="Hyperlink"/>
                <w:rFonts w:eastAsia="Times New Roman"/>
                <w:noProof/>
              </w:rPr>
              <w:t>NCBA’S COMPLIANCE WITH THE LAW</w:t>
            </w:r>
            <w:r w:rsidR="007B3ADB">
              <w:rPr>
                <w:noProof/>
                <w:webHidden/>
              </w:rPr>
              <w:tab/>
            </w:r>
            <w:r w:rsidR="007B3ADB">
              <w:rPr>
                <w:noProof/>
                <w:webHidden/>
              </w:rPr>
              <w:fldChar w:fldCharType="begin"/>
            </w:r>
            <w:r w:rsidR="007B3ADB">
              <w:rPr>
                <w:noProof/>
                <w:webHidden/>
              </w:rPr>
              <w:instrText xml:space="preserve"> PAGEREF _Toc62552895 \h </w:instrText>
            </w:r>
            <w:r w:rsidR="007B3ADB">
              <w:rPr>
                <w:noProof/>
                <w:webHidden/>
              </w:rPr>
            </w:r>
            <w:r w:rsidR="007B3ADB">
              <w:rPr>
                <w:noProof/>
                <w:webHidden/>
              </w:rPr>
              <w:fldChar w:fldCharType="separate"/>
            </w:r>
            <w:r w:rsidR="007B3ADB">
              <w:rPr>
                <w:noProof/>
                <w:webHidden/>
              </w:rPr>
              <w:t>28</w:t>
            </w:r>
            <w:r w:rsidR="007B3ADB">
              <w:rPr>
                <w:noProof/>
                <w:webHidden/>
              </w:rPr>
              <w:fldChar w:fldCharType="end"/>
            </w:r>
          </w:hyperlink>
        </w:p>
        <w:p w14:paraId="18FA6F69"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96" w:history="1">
            <w:r w:rsidR="007B3ADB" w:rsidRPr="008E6E89">
              <w:rPr>
                <w:rStyle w:val="Hyperlink"/>
                <w:rFonts w:eastAsia="Times New Roman"/>
                <w:i/>
                <w:noProof/>
              </w:rPr>
              <w:t>a.</w:t>
            </w:r>
            <w:r w:rsidR="007B3ADB">
              <w:rPr>
                <w:rFonts w:asciiTheme="minorHAnsi" w:hAnsiTheme="minorHAnsi" w:cstheme="minorBidi"/>
                <w:noProof/>
                <w:szCs w:val="24"/>
              </w:rPr>
              <w:tab/>
            </w:r>
            <w:r w:rsidR="007B3ADB" w:rsidRPr="008E6E89">
              <w:rPr>
                <w:rStyle w:val="Hyperlink"/>
                <w:rFonts w:eastAsia="Times New Roman"/>
                <w:i/>
                <w:noProof/>
              </w:rPr>
              <w:t>Compliance with the Banking Act</w:t>
            </w:r>
            <w:r w:rsidR="007B3ADB">
              <w:rPr>
                <w:noProof/>
                <w:webHidden/>
              </w:rPr>
              <w:tab/>
            </w:r>
            <w:r w:rsidR="007B3ADB">
              <w:rPr>
                <w:noProof/>
                <w:webHidden/>
              </w:rPr>
              <w:fldChar w:fldCharType="begin"/>
            </w:r>
            <w:r w:rsidR="007B3ADB">
              <w:rPr>
                <w:noProof/>
                <w:webHidden/>
              </w:rPr>
              <w:instrText xml:space="preserve"> PAGEREF _Toc62552896 \h </w:instrText>
            </w:r>
            <w:r w:rsidR="007B3ADB">
              <w:rPr>
                <w:noProof/>
                <w:webHidden/>
              </w:rPr>
            </w:r>
            <w:r w:rsidR="007B3ADB">
              <w:rPr>
                <w:noProof/>
                <w:webHidden/>
              </w:rPr>
              <w:fldChar w:fldCharType="separate"/>
            </w:r>
            <w:r w:rsidR="007B3ADB">
              <w:rPr>
                <w:noProof/>
                <w:webHidden/>
              </w:rPr>
              <w:t>28</w:t>
            </w:r>
            <w:r w:rsidR="007B3ADB">
              <w:rPr>
                <w:noProof/>
                <w:webHidden/>
              </w:rPr>
              <w:fldChar w:fldCharType="end"/>
            </w:r>
          </w:hyperlink>
        </w:p>
        <w:p w14:paraId="5A90DBDF" w14:textId="77777777" w:rsidR="007B3ADB" w:rsidRDefault="004A5F49" w:rsidP="00182E55">
          <w:pPr>
            <w:pStyle w:val="TOC3"/>
            <w:tabs>
              <w:tab w:val="left" w:pos="960"/>
              <w:tab w:val="right" w:leader="dot" w:pos="9350"/>
            </w:tabs>
            <w:ind w:left="360"/>
            <w:rPr>
              <w:rFonts w:asciiTheme="minorHAnsi" w:hAnsiTheme="minorHAnsi" w:cstheme="minorBidi"/>
              <w:noProof/>
              <w:szCs w:val="24"/>
            </w:rPr>
          </w:pPr>
          <w:hyperlink w:anchor="_Toc62552897" w:history="1">
            <w:r w:rsidR="007B3ADB" w:rsidRPr="008E6E89">
              <w:rPr>
                <w:rStyle w:val="Hyperlink"/>
                <w:rFonts w:eastAsia="Times New Roman"/>
                <w:i/>
                <w:noProof/>
              </w:rPr>
              <w:t>b.</w:t>
            </w:r>
            <w:r w:rsidR="007B3ADB">
              <w:rPr>
                <w:rFonts w:asciiTheme="minorHAnsi" w:hAnsiTheme="minorHAnsi" w:cstheme="minorBidi"/>
                <w:noProof/>
                <w:szCs w:val="24"/>
              </w:rPr>
              <w:tab/>
            </w:r>
            <w:r w:rsidR="007B3ADB" w:rsidRPr="008E6E89">
              <w:rPr>
                <w:rStyle w:val="Hyperlink"/>
                <w:rFonts w:eastAsia="Times New Roman"/>
                <w:i/>
                <w:noProof/>
              </w:rPr>
              <w:t>Compliance with the Competition Act</w:t>
            </w:r>
            <w:r w:rsidR="007B3ADB">
              <w:rPr>
                <w:noProof/>
                <w:webHidden/>
              </w:rPr>
              <w:tab/>
            </w:r>
            <w:r w:rsidR="007B3ADB">
              <w:rPr>
                <w:noProof/>
                <w:webHidden/>
              </w:rPr>
              <w:fldChar w:fldCharType="begin"/>
            </w:r>
            <w:r w:rsidR="007B3ADB">
              <w:rPr>
                <w:noProof/>
                <w:webHidden/>
              </w:rPr>
              <w:instrText xml:space="preserve"> PAGEREF _Toc62552897 \h </w:instrText>
            </w:r>
            <w:r w:rsidR="007B3ADB">
              <w:rPr>
                <w:noProof/>
                <w:webHidden/>
              </w:rPr>
            </w:r>
            <w:r w:rsidR="007B3ADB">
              <w:rPr>
                <w:noProof/>
                <w:webHidden/>
              </w:rPr>
              <w:fldChar w:fldCharType="separate"/>
            </w:r>
            <w:r w:rsidR="007B3ADB">
              <w:rPr>
                <w:noProof/>
                <w:webHidden/>
              </w:rPr>
              <w:t>29</w:t>
            </w:r>
            <w:r w:rsidR="007B3ADB">
              <w:rPr>
                <w:noProof/>
                <w:webHidden/>
              </w:rPr>
              <w:fldChar w:fldCharType="end"/>
            </w:r>
          </w:hyperlink>
        </w:p>
        <w:p w14:paraId="024FD3DB" w14:textId="77777777" w:rsidR="007B3ADB" w:rsidRDefault="004A5F49" w:rsidP="00182E55">
          <w:pPr>
            <w:pStyle w:val="TOC2"/>
            <w:tabs>
              <w:tab w:val="left" w:pos="960"/>
              <w:tab w:val="right" w:leader="dot" w:pos="9350"/>
            </w:tabs>
            <w:ind w:left="360"/>
            <w:rPr>
              <w:rFonts w:asciiTheme="minorHAnsi" w:hAnsiTheme="minorHAnsi" w:cstheme="minorBidi"/>
              <w:noProof/>
              <w:szCs w:val="24"/>
            </w:rPr>
          </w:pPr>
          <w:hyperlink w:anchor="_Toc62552898" w:history="1">
            <w:r w:rsidR="007B3ADB" w:rsidRPr="008E6E89">
              <w:rPr>
                <w:rStyle w:val="Hyperlink"/>
                <w:rFonts w:eastAsia="Times New Roman"/>
                <w:noProof/>
              </w:rPr>
              <w:t>3.3.</w:t>
            </w:r>
            <w:r w:rsidR="007B3ADB">
              <w:rPr>
                <w:rFonts w:asciiTheme="minorHAnsi" w:hAnsiTheme="minorHAnsi" w:cstheme="minorBidi"/>
                <w:noProof/>
                <w:szCs w:val="24"/>
              </w:rPr>
              <w:tab/>
            </w:r>
            <w:r w:rsidR="007B3ADB" w:rsidRPr="008E6E89">
              <w:rPr>
                <w:rStyle w:val="Hyperlink"/>
                <w:rFonts w:eastAsia="Times New Roman"/>
                <w:noProof/>
              </w:rPr>
              <w:t>CREATION OF TBTF BANK</w:t>
            </w:r>
            <w:r w:rsidR="007B3ADB">
              <w:rPr>
                <w:noProof/>
                <w:webHidden/>
              </w:rPr>
              <w:tab/>
            </w:r>
            <w:r w:rsidR="007B3ADB">
              <w:rPr>
                <w:noProof/>
                <w:webHidden/>
              </w:rPr>
              <w:fldChar w:fldCharType="begin"/>
            </w:r>
            <w:r w:rsidR="007B3ADB">
              <w:rPr>
                <w:noProof/>
                <w:webHidden/>
              </w:rPr>
              <w:instrText xml:space="preserve"> PAGEREF _Toc62552898 \h </w:instrText>
            </w:r>
            <w:r w:rsidR="007B3ADB">
              <w:rPr>
                <w:noProof/>
                <w:webHidden/>
              </w:rPr>
            </w:r>
            <w:r w:rsidR="007B3ADB">
              <w:rPr>
                <w:noProof/>
                <w:webHidden/>
              </w:rPr>
              <w:fldChar w:fldCharType="separate"/>
            </w:r>
            <w:r w:rsidR="007B3ADB">
              <w:rPr>
                <w:noProof/>
                <w:webHidden/>
              </w:rPr>
              <w:t>29</w:t>
            </w:r>
            <w:r w:rsidR="007B3ADB">
              <w:rPr>
                <w:noProof/>
                <w:webHidden/>
              </w:rPr>
              <w:fldChar w:fldCharType="end"/>
            </w:r>
          </w:hyperlink>
        </w:p>
        <w:p w14:paraId="4B7F23DE" w14:textId="7EB8A62C" w:rsidR="007B3ADB" w:rsidRPr="00182E55" w:rsidRDefault="004A5F49" w:rsidP="00182E55">
          <w:pPr>
            <w:pStyle w:val="TOC1"/>
            <w:ind w:left="360"/>
            <w:rPr>
              <w:rFonts w:asciiTheme="minorHAnsi" w:hAnsiTheme="minorHAnsi" w:cstheme="minorBidi"/>
              <w:b w:val="0"/>
              <w:szCs w:val="24"/>
            </w:rPr>
          </w:pPr>
          <w:hyperlink w:anchor="_Toc62552899" w:history="1">
            <w:r w:rsidR="00182E55" w:rsidRPr="00182E55">
              <w:rPr>
                <w:rStyle w:val="Hyperlink"/>
                <w:b w:val="0"/>
              </w:rPr>
              <w:t>3.</w:t>
            </w:r>
            <w:r w:rsidR="007B3ADB" w:rsidRPr="00182E55">
              <w:rPr>
                <w:rStyle w:val="Hyperlink"/>
                <w:b w:val="0"/>
              </w:rPr>
              <w:t>4: THE IMPACT OF TBTF BANKS</w:t>
            </w:r>
            <w:r w:rsidR="007B3ADB" w:rsidRPr="00182E55">
              <w:rPr>
                <w:b w:val="0"/>
                <w:webHidden/>
              </w:rPr>
              <w:tab/>
            </w:r>
            <w:r w:rsidR="007B3ADB" w:rsidRPr="00182E55">
              <w:rPr>
                <w:b w:val="0"/>
                <w:webHidden/>
              </w:rPr>
              <w:fldChar w:fldCharType="begin"/>
            </w:r>
            <w:r w:rsidR="007B3ADB" w:rsidRPr="00182E55">
              <w:rPr>
                <w:b w:val="0"/>
                <w:webHidden/>
              </w:rPr>
              <w:instrText xml:space="preserve"> PAGEREF _Toc62552899 \h </w:instrText>
            </w:r>
            <w:r w:rsidR="007B3ADB" w:rsidRPr="00182E55">
              <w:rPr>
                <w:b w:val="0"/>
                <w:webHidden/>
              </w:rPr>
            </w:r>
            <w:r w:rsidR="007B3ADB" w:rsidRPr="00182E55">
              <w:rPr>
                <w:b w:val="0"/>
                <w:webHidden/>
              </w:rPr>
              <w:fldChar w:fldCharType="separate"/>
            </w:r>
            <w:r w:rsidR="007B3ADB" w:rsidRPr="00182E55">
              <w:rPr>
                <w:b w:val="0"/>
                <w:webHidden/>
              </w:rPr>
              <w:t>31</w:t>
            </w:r>
            <w:r w:rsidR="007B3ADB" w:rsidRPr="00182E55">
              <w:rPr>
                <w:b w:val="0"/>
                <w:webHidden/>
              </w:rPr>
              <w:fldChar w:fldCharType="end"/>
            </w:r>
          </w:hyperlink>
        </w:p>
        <w:p w14:paraId="678FD50A" w14:textId="0D6B9EC2" w:rsidR="007B3ADB" w:rsidRDefault="00182E55" w:rsidP="00182E55">
          <w:pPr>
            <w:pStyle w:val="TOC2"/>
            <w:tabs>
              <w:tab w:val="left" w:pos="960"/>
              <w:tab w:val="right" w:leader="dot" w:pos="9350"/>
            </w:tabs>
            <w:ind w:left="360"/>
            <w:rPr>
              <w:rFonts w:asciiTheme="minorHAnsi" w:hAnsiTheme="minorHAnsi" w:cstheme="minorBidi"/>
              <w:noProof/>
              <w:szCs w:val="24"/>
            </w:rPr>
          </w:pPr>
          <w:r>
            <w:t>3.</w:t>
          </w:r>
          <w:hyperlink w:anchor="_Toc62552900" w:history="1">
            <w:r w:rsidR="007B3ADB" w:rsidRPr="008E6E89">
              <w:rPr>
                <w:rStyle w:val="Hyperlink"/>
                <w:noProof/>
              </w:rPr>
              <w:t>4.1.</w:t>
            </w:r>
            <w:r w:rsidR="007B3ADB">
              <w:rPr>
                <w:rFonts w:asciiTheme="minorHAnsi" w:hAnsiTheme="minorHAnsi" w:cstheme="minorBidi"/>
                <w:noProof/>
                <w:szCs w:val="24"/>
              </w:rPr>
              <w:tab/>
            </w:r>
            <w:r w:rsidR="007B3ADB" w:rsidRPr="008E6E89">
              <w:rPr>
                <w:rStyle w:val="Hyperlink"/>
                <w:noProof/>
              </w:rPr>
              <w:t>TAXPAYER’S EXPOSURE – A MORAL HAZARD</w:t>
            </w:r>
            <w:r w:rsidR="007B3ADB">
              <w:rPr>
                <w:noProof/>
                <w:webHidden/>
              </w:rPr>
              <w:tab/>
            </w:r>
            <w:r w:rsidR="007B3ADB">
              <w:rPr>
                <w:noProof/>
                <w:webHidden/>
              </w:rPr>
              <w:fldChar w:fldCharType="begin"/>
            </w:r>
            <w:r w:rsidR="007B3ADB">
              <w:rPr>
                <w:noProof/>
                <w:webHidden/>
              </w:rPr>
              <w:instrText xml:space="preserve"> PAGEREF _Toc62552900 \h </w:instrText>
            </w:r>
            <w:r w:rsidR="007B3ADB">
              <w:rPr>
                <w:noProof/>
                <w:webHidden/>
              </w:rPr>
            </w:r>
            <w:r w:rsidR="007B3ADB">
              <w:rPr>
                <w:noProof/>
                <w:webHidden/>
              </w:rPr>
              <w:fldChar w:fldCharType="separate"/>
            </w:r>
            <w:r w:rsidR="007B3ADB">
              <w:rPr>
                <w:noProof/>
                <w:webHidden/>
              </w:rPr>
              <w:t>31</w:t>
            </w:r>
            <w:r w:rsidR="007B3ADB">
              <w:rPr>
                <w:noProof/>
                <w:webHidden/>
              </w:rPr>
              <w:fldChar w:fldCharType="end"/>
            </w:r>
          </w:hyperlink>
        </w:p>
        <w:p w14:paraId="13ECC5DD" w14:textId="4A8B940B" w:rsidR="007B3ADB" w:rsidRDefault="00182E55" w:rsidP="00182E55">
          <w:pPr>
            <w:pStyle w:val="TOC2"/>
            <w:tabs>
              <w:tab w:val="left" w:pos="960"/>
              <w:tab w:val="right" w:leader="dot" w:pos="9350"/>
            </w:tabs>
            <w:ind w:left="360"/>
            <w:rPr>
              <w:rFonts w:asciiTheme="minorHAnsi" w:hAnsiTheme="minorHAnsi" w:cstheme="minorBidi"/>
              <w:noProof/>
              <w:szCs w:val="24"/>
            </w:rPr>
          </w:pPr>
          <w:r>
            <w:t>3.</w:t>
          </w:r>
          <w:hyperlink w:anchor="_Toc62552901" w:history="1">
            <w:r w:rsidR="007B3ADB" w:rsidRPr="008E6E89">
              <w:rPr>
                <w:rStyle w:val="Hyperlink"/>
                <w:noProof/>
              </w:rPr>
              <w:t>4.2.</w:t>
            </w:r>
            <w:r w:rsidR="007B3ADB">
              <w:rPr>
                <w:rFonts w:asciiTheme="minorHAnsi" w:hAnsiTheme="minorHAnsi" w:cstheme="minorBidi"/>
                <w:noProof/>
                <w:szCs w:val="24"/>
              </w:rPr>
              <w:tab/>
            </w:r>
            <w:r w:rsidR="007B3ADB" w:rsidRPr="008E6E89">
              <w:rPr>
                <w:rStyle w:val="Hyperlink"/>
                <w:noProof/>
              </w:rPr>
              <w:t>WEAKENING COMPETITION</w:t>
            </w:r>
            <w:r w:rsidR="007B3ADB">
              <w:rPr>
                <w:noProof/>
                <w:webHidden/>
              </w:rPr>
              <w:tab/>
            </w:r>
            <w:r w:rsidR="007B3ADB">
              <w:rPr>
                <w:noProof/>
                <w:webHidden/>
              </w:rPr>
              <w:fldChar w:fldCharType="begin"/>
            </w:r>
            <w:r w:rsidR="007B3ADB">
              <w:rPr>
                <w:noProof/>
                <w:webHidden/>
              </w:rPr>
              <w:instrText xml:space="preserve"> PAGEREF _Toc62552901 \h </w:instrText>
            </w:r>
            <w:r w:rsidR="007B3ADB">
              <w:rPr>
                <w:noProof/>
                <w:webHidden/>
              </w:rPr>
            </w:r>
            <w:r w:rsidR="007B3ADB">
              <w:rPr>
                <w:noProof/>
                <w:webHidden/>
              </w:rPr>
              <w:fldChar w:fldCharType="separate"/>
            </w:r>
            <w:r w:rsidR="007B3ADB">
              <w:rPr>
                <w:noProof/>
                <w:webHidden/>
              </w:rPr>
              <w:t>31</w:t>
            </w:r>
            <w:r w:rsidR="007B3ADB">
              <w:rPr>
                <w:noProof/>
                <w:webHidden/>
              </w:rPr>
              <w:fldChar w:fldCharType="end"/>
            </w:r>
          </w:hyperlink>
        </w:p>
        <w:p w14:paraId="7D6F71F8" w14:textId="3EC492DC" w:rsidR="007B3ADB" w:rsidRDefault="00182E55" w:rsidP="00182E55">
          <w:pPr>
            <w:pStyle w:val="TOC2"/>
            <w:tabs>
              <w:tab w:val="left" w:pos="960"/>
              <w:tab w:val="right" w:leader="dot" w:pos="9350"/>
            </w:tabs>
            <w:ind w:left="360"/>
            <w:rPr>
              <w:rFonts w:asciiTheme="minorHAnsi" w:hAnsiTheme="minorHAnsi" w:cstheme="minorBidi"/>
              <w:noProof/>
              <w:szCs w:val="24"/>
            </w:rPr>
          </w:pPr>
          <w:r>
            <w:t>3.</w:t>
          </w:r>
          <w:hyperlink w:anchor="_Toc62552902" w:history="1">
            <w:r w:rsidR="007B3ADB" w:rsidRPr="008E6E89">
              <w:rPr>
                <w:rStyle w:val="Hyperlink"/>
                <w:noProof/>
              </w:rPr>
              <w:t>4.3.</w:t>
            </w:r>
            <w:r w:rsidR="007B3ADB">
              <w:rPr>
                <w:rFonts w:asciiTheme="minorHAnsi" w:hAnsiTheme="minorHAnsi" w:cstheme="minorBidi"/>
                <w:noProof/>
                <w:szCs w:val="24"/>
              </w:rPr>
              <w:tab/>
            </w:r>
            <w:r w:rsidR="007B3ADB" w:rsidRPr="008E6E89">
              <w:rPr>
                <w:rStyle w:val="Hyperlink"/>
                <w:noProof/>
              </w:rPr>
              <w:t>CORRUPTION</w:t>
            </w:r>
            <w:r w:rsidR="007B3ADB">
              <w:rPr>
                <w:noProof/>
                <w:webHidden/>
              </w:rPr>
              <w:tab/>
            </w:r>
            <w:r w:rsidR="007B3ADB">
              <w:rPr>
                <w:noProof/>
                <w:webHidden/>
              </w:rPr>
              <w:fldChar w:fldCharType="begin"/>
            </w:r>
            <w:r w:rsidR="007B3ADB">
              <w:rPr>
                <w:noProof/>
                <w:webHidden/>
              </w:rPr>
              <w:instrText xml:space="preserve"> PAGEREF _Toc62552902 \h </w:instrText>
            </w:r>
            <w:r w:rsidR="007B3ADB">
              <w:rPr>
                <w:noProof/>
                <w:webHidden/>
              </w:rPr>
            </w:r>
            <w:r w:rsidR="007B3ADB">
              <w:rPr>
                <w:noProof/>
                <w:webHidden/>
              </w:rPr>
              <w:fldChar w:fldCharType="separate"/>
            </w:r>
            <w:r w:rsidR="007B3ADB">
              <w:rPr>
                <w:noProof/>
                <w:webHidden/>
              </w:rPr>
              <w:t>32</w:t>
            </w:r>
            <w:r w:rsidR="007B3ADB">
              <w:rPr>
                <w:noProof/>
                <w:webHidden/>
              </w:rPr>
              <w:fldChar w:fldCharType="end"/>
            </w:r>
          </w:hyperlink>
        </w:p>
        <w:p w14:paraId="37742A42" w14:textId="49425BEC" w:rsidR="007B3ADB" w:rsidRDefault="00182E55" w:rsidP="00182E55">
          <w:pPr>
            <w:pStyle w:val="TOC2"/>
            <w:tabs>
              <w:tab w:val="left" w:pos="960"/>
              <w:tab w:val="right" w:leader="dot" w:pos="9350"/>
            </w:tabs>
            <w:ind w:left="360"/>
            <w:rPr>
              <w:rFonts w:asciiTheme="minorHAnsi" w:hAnsiTheme="minorHAnsi" w:cstheme="minorBidi"/>
              <w:noProof/>
              <w:szCs w:val="24"/>
            </w:rPr>
          </w:pPr>
          <w:r>
            <w:t>3.</w:t>
          </w:r>
          <w:hyperlink w:anchor="_Toc62552903" w:history="1">
            <w:r w:rsidR="007B3ADB" w:rsidRPr="008E6E89">
              <w:rPr>
                <w:rStyle w:val="Hyperlink"/>
                <w:noProof/>
              </w:rPr>
              <w:t>4.4.</w:t>
            </w:r>
            <w:r w:rsidR="007B3ADB">
              <w:rPr>
                <w:rFonts w:asciiTheme="minorHAnsi" w:hAnsiTheme="minorHAnsi" w:cstheme="minorBidi"/>
                <w:noProof/>
                <w:szCs w:val="24"/>
              </w:rPr>
              <w:tab/>
            </w:r>
            <w:r w:rsidR="007B3ADB" w:rsidRPr="008E6E89">
              <w:rPr>
                <w:rStyle w:val="Hyperlink"/>
                <w:noProof/>
              </w:rPr>
              <w:t>SOVEREIGN FINANCIAL RISK</w:t>
            </w:r>
            <w:r w:rsidR="007B3ADB">
              <w:rPr>
                <w:noProof/>
                <w:webHidden/>
              </w:rPr>
              <w:tab/>
            </w:r>
            <w:r w:rsidR="007B3ADB">
              <w:rPr>
                <w:noProof/>
                <w:webHidden/>
              </w:rPr>
              <w:fldChar w:fldCharType="begin"/>
            </w:r>
            <w:r w:rsidR="007B3ADB">
              <w:rPr>
                <w:noProof/>
                <w:webHidden/>
              </w:rPr>
              <w:instrText xml:space="preserve"> PAGEREF _Toc62552903 \h </w:instrText>
            </w:r>
            <w:r w:rsidR="007B3ADB">
              <w:rPr>
                <w:noProof/>
                <w:webHidden/>
              </w:rPr>
            </w:r>
            <w:r w:rsidR="007B3ADB">
              <w:rPr>
                <w:noProof/>
                <w:webHidden/>
              </w:rPr>
              <w:fldChar w:fldCharType="separate"/>
            </w:r>
            <w:r w:rsidR="007B3ADB">
              <w:rPr>
                <w:noProof/>
                <w:webHidden/>
              </w:rPr>
              <w:t>33</w:t>
            </w:r>
            <w:r w:rsidR="007B3ADB">
              <w:rPr>
                <w:noProof/>
                <w:webHidden/>
              </w:rPr>
              <w:fldChar w:fldCharType="end"/>
            </w:r>
          </w:hyperlink>
        </w:p>
        <w:p w14:paraId="7E8606DB" w14:textId="46BF49BC" w:rsidR="007B3ADB" w:rsidRDefault="004A5F49" w:rsidP="007B3ADB">
          <w:pPr>
            <w:pStyle w:val="TOC1"/>
            <w:rPr>
              <w:rFonts w:asciiTheme="minorHAnsi" w:hAnsiTheme="minorHAnsi" w:cstheme="minorBidi"/>
              <w:szCs w:val="24"/>
            </w:rPr>
          </w:pPr>
          <w:hyperlink w:anchor="_Toc62552904" w:history="1">
            <w:r w:rsidR="00182E55">
              <w:rPr>
                <w:rStyle w:val="Hyperlink"/>
              </w:rPr>
              <w:t>CHAPTER 4</w:t>
            </w:r>
            <w:r w:rsidR="007B3ADB" w:rsidRPr="008E6E89">
              <w:rPr>
                <w:rStyle w:val="Hyperlink"/>
              </w:rPr>
              <w:t>: CONCLUSION</w:t>
            </w:r>
            <w:r w:rsidR="007B3ADB">
              <w:rPr>
                <w:webHidden/>
              </w:rPr>
              <w:tab/>
            </w:r>
            <w:r w:rsidR="007B3ADB">
              <w:rPr>
                <w:webHidden/>
              </w:rPr>
              <w:fldChar w:fldCharType="begin"/>
            </w:r>
            <w:r w:rsidR="007B3ADB">
              <w:rPr>
                <w:webHidden/>
              </w:rPr>
              <w:instrText xml:space="preserve"> PAGEREF _Toc62552904 \h </w:instrText>
            </w:r>
            <w:r w:rsidR="007B3ADB">
              <w:rPr>
                <w:webHidden/>
              </w:rPr>
            </w:r>
            <w:r w:rsidR="007B3ADB">
              <w:rPr>
                <w:webHidden/>
              </w:rPr>
              <w:fldChar w:fldCharType="separate"/>
            </w:r>
            <w:r w:rsidR="007B3ADB">
              <w:rPr>
                <w:webHidden/>
              </w:rPr>
              <w:t>34</w:t>
            </w:r>
            <w:r w:rsidR="007B3ADB">
              <w:rPr>
                <w:webHidden/>
              </w:rPr>
              <w:fldChar w:fldCharType="end"/>
            </w:r>
          </w:hyperlink>
        </w:p>
        <w:p w14:paraId="76C1FA70" w14:textId="621EEA2D" w:rsidR="007B3ADB" w:rsidRDefault="004A5F49">
          <w:pPr>
            <w:pStyle w:val="TOC2"/>
            <w:tabs>
              <w:tab w:val="right" w:leader="dot" w:pos="9350"/>
            </w:tabs>
            <w:rPr>
              <w:rFonts w:asciiTheme="minorHAnsi" w:hAnsiTheme="minorHAnsi" w:cstheme="minorBidi"/>
              <w:noProof/>
              <w:szCs w:val="24"/>
            </w:rPr>
          </w:pPr>
          <w:hyperlink w:anchor="_Toc62552905" w:history="1">
            <w:r w:rsidR="00182E55">
              <w:rPr>
                <w:rStyle w:val="Hyperlink"/>
                <w:rFonts w:eastAsia="Times New Roman"/>
                <w:noProof/>
              </w:rPr>
              <w:t>4</w:t>
            </w:r>
            <w:r w:rsidR="007B3ADB" w:rsidRPr="008E6E89">
              <w:rPr>
                <w:rStyle w:val="Hyperlink"/>
                <w:rFonts w:eastAsia="Times New Roman"/>
                <w:noProof/>
              </w:rPr>
              <w:t>.1.       FINDINGS</w:t>
            </w:r>
            <w:r w:rsidR="007B3ADB">
              <w:rPr>
                <w:noProof/>
                <w:webHidden/>
              </w:rPr>
              <w:tab/>
            </w:r>
            <w:r w:rsidR="007B3ADB">
              <w:rPr>
                <w:noProof/>
                <w:webHidden/>
              </w:rPr>
              <w:fldChar w:fldCharType="begin"/>
            </w:r>
            <w:r w:rsidR="007B3ADB">
              <w:rPr>
                <w:noProof/>
                <w:webHidden/>
              </w:rPr>
              <w:instrText xml:space="preserve"> PAGEREF _Toc62552905 \h </w:instrText>
            </w:r>
            <w:r w:rsidR="007B3ADB">
              <w:rPr>
                <w:noProof/>
                <w:webHidden/>
              </w:rPr>
            </w:r>
            <w:r w:rsidR="007B3ADB">
              <w:rPr>
                <w:noProof/>
                <w:webHidden/>
              </w:rPr>
              <w:fldChar w:fldCharType="separate"/>
            </w:r>
            <w:r w:rsidR="007B3ADB">
              <w:rPr>
                <w:noProof/>
                <w:webHidden/>
              </w:rPr>
              <w:t>34</w:t>
            </w:r>
            <w:r w:rsidR="007B3ADB">
              <w:rPr>
                <w:noProof/>
                <w:webHidden/>
              </w:rPr>
              <w:fldChar w:fldCharType="end"/>
            </w:r>
          </w:hyperlink>
        </w:p>
        <w:p w14:paraId="0AB196B3" w14:textId="77777777" w:rsidR="007B3ADB" w:rsidRDefault="004A5F49">
          <w:pPr>
            <w:pStyle w:val="TOC3"/>
            <w:tabs>
              <w:tab w:val="left" w:pos="960"/>
              <w:tab w:val="right" w:leader="dot" w:pos="9350"/>
            </w:tabs>
            <w:rPr>
              <w:rFonts w:asciiTheme="minorHAnsi" w:hAnsiTheme="minorHAnsi" w:cstheme="minorBidi"/>
              <w:noProof/>
              <w:szCs w:val="24"/>
            </w:rPr>
          </w:pPr>
          <w:hyperlink w:anchor="_Toc62552906" w:history="1">
            <w:r w:rsidR="007B3ADB" w:rsidRPr="008E6E89">
              <w:rPr>
                <w:rStyle w:val="Hyperlink"/>
                <w:rFonts w:eastAsiaTheme="minorHAnsi"/>
                <w:i/>
                <w:noProof/>
              </w:rPr>
              <w:t>a.</w:t>
            </w:r>
            <w:r w:rsidR="007B3ADB">
              <w:rPr>
                <w:rFonts w:asciiTheme="minorHAnsi" w:hAnsiTheme="minorHAnsi" w:cstheme="minorBidi"/>
                <w:noProof/>
                <w:szCs w:val="24"/>
              </w:rPr>
              <w:tab/>
            </w:r>
            <w:r w:rsidR="007B3ADB" w:rsidRPr="008E6E89">
              <w:rPr>
                <w:rStyle w:val="Hyperlink"/>
                <w:i/>
                <w:noProof/>
              </w:rPr>
              <w:t>Legal Framework</w:t>
            </w:r>
            <w:r w:rsidR="007B3ADB">
              <w:rPr>
                <w:noProof/>
                <w:webHidden/>
              </w:rPr>
              <w:tab/>
            </w:r>
            <w:r w:rsidR="007B3ADB">
              <w:rPr>
                <w:noProof/>
                <w:webHidden/>
              </w:rPr>
              <w:fldChar w:fldCharType="begin"/>
            </w:r>
            <w:r w:rsidR="007B3ADB">
              <w:rPr>
                <w:noProof/>
                <w:webHidden/>
              </w:rPr>
              <w:instrText xml:space="preserve"> PAGEREF _Toc62552906 \h </w:instrText>
            </w:r>
            <w:r w:rsidR="007B3ADB">
              <w:rPr>
                <w:noProof/>
                <w:webHidden/>
              </w:rPr>
            </w:r>
            <w:r w:rsidR="007B3ADB">
              <w:rPr>
                <w:noProof/>
                <w:webHidden/>
              </w:rPr>
              <w:fldChar w:fldCharType="separate"/>
            </w:r>
            <w:r w:rsidR="007B3ADB">
              <w:rPr>
                <w:noProof/>
                <w:webHidden/>
              </w:rPr>
              <w:t>34</w:t>
            </w:r>
            <w:r w:rsidR="007B3ADB">
              <w:rPr>
                <w:noProof/>
                <w:webHidden/>
              </w:rPr>
              <w:fldChar w:fldCharType="end"/>
            </w:r>
          </w:hyperlink>
        </w:p>
        <w:p w14:paraId="59EEF5D1" w14:textId="77777777" w:rsidR="007B3ADB" w:rsidRDefault="004A5F49">
          <w:pPr>
            <w:pStyle w:val="TOC3"/>
            <w:tabs>
              <w:tab w:val="left" w:pos="960"/>
              <w:tab w:val="right" w:leader="dot" w:pos="9350"/>
            </w:tabs>
            <w:rPr>
              <w:rFonts w:asciiTheme="minorHAnsi" w:hAnsiTheme="minorHAnsi" w:cstheme="minorBidi"/>
              <w:noProof/>
              <w:szCs w:val="24"/>
            </w:rPr>
          </w:pPr>
          <w:hyperlink w:anchor="_Toc62552907" w:history="1">
            <w:r w:rsidR="007B3ADB" w:rsidRPr="008E6E89">
              <w:rPr>
                <w:rStyle w:val="Hyperlink"/>
                <w:i/>
                <w:noProof/>
              </w:rPr>
              <w:t>b.</w:t>
            </w:r>
            <w:r w:rsidR="007B3ADB">
              <w:rPr>
                <w:rFonts w:asciiTheme="minorHAnsi" w:hAnsiTheme="minorHAnsi" w:cstheme="minorBidi"/>
                <w:noProof/>
                <w:szCs w:val="24"/>
              </w:rPr>
              <w:tab/>
            </w:r>
            <w:r w:rsidR="007B3ADB" w:rsidRPr="008E6E89">
              <w:rPr>
                <w:rStyle w:val="Hyperlink"/>
                <w:i/>
                <w:noProof/>
              </w:rPr>
              <w:t>Impact of TBTF banks</w:t>
            </w:r>
            <w:r w:rsidR="007B3ADB">
              <w:rPr>
                <w:noProof/>
                <w:webHidden/>
              </w:rPr>
              <w:tab/>
            </w:r>
            <w:r w:rsidR="007B3ADB">
              <w:rPr>
                <w:noProof/>
                <w:webHidden/>
              </w:rPr>
              <w:fldChar w:fldCharType="begin"/>
            </w:r>
            <w:r w:rsidR="007B3ADB">
              <w:rPr>
                <w:noProof/>
                <w:webHidden/>
              </w:rPr>
              <w:instrText xml:space="preserve"> PAGEREF _Toc62552907 \h </w:instrText>
            </w:r>
            <w:r w:rsidR="007B3ADB">
              <w:rPr>
                <w:noProof/>
                <w:webHidden/>
              </w:rPr>
            </w:r>
            <w:r w:rsidR="007B3ADB">
              <w:rPr>
                <w:noProof/>
                <w:webHidden/>
              </w:rPr>
              <w:fldChar w:fldCharType="separate"/>
            </w:r>
            <w:r w:rsidR="007B3ADB">
              <w:rPr>
                <w:noProof/>
                <w:webHidden/>
              </w:rPr>
              <w:t>34</w:t>
            </w:r>
            <w:r w:rsidR="007B3ADB">
              <w:rPr>
                <w:noProof/>
                <w:webHidden/>
              </w:rPr>
              <w:fldChar w:fldCharType="end"/>
            </w:r>
          </w:hyperlink>
        </w:p>
        <w:p w14:paraId="3F5933E2" w14:textId="7DC06373" w:rsidR="007B3ADB" w:rsidRDefault="004A5F49">
          <w:pPr>
            <w:pStyle w:val="TOC2"/>
            <w:tabs>
              <w:tab w:val="right" w:leader="dot" w:pos="9350"/>
            </w:tabs>
            <w:rPr>
              <w:rFonts w:asciiTheme="minorHAnsi" w:hAnsiTheme="minorHAnsi" w:cstheme="minorBidi"/>
              <w:noProof/>
              <w:szCs w:val="24"/>
            </w:rPr>
          </w:pPr>
          <w:hyperlink w:anchor="_Toc62552908" w:history="1">
            <w:r w:rsidR="00182E55">
              <w:rPr>
                <w:rStyle w:val="Hyperlink"/>
                <w:rFonts w:eastAsia="Times New Roman"/>
                <w:noProof/>
              </w:rPr>
              <w:t>4</w:t>
            </w:r>
            <w:r w:rsidR="007B3ADB" w:rsidRPr="008E6E89">
              <w:rPr>
                <w:rStyle w:val="Hyperlink"/>
                <w:rFonts w:eastAsia="Times New Roman"/>
                <w:noProof/>
              </w:rPr>
              <w:t>.2. RECCOMENDATIONS</w:t>
            </w:r>
            <w:r w:rsidR="007B3ADB">
              <w:rPr>
                <w:noProof/>
                <w:webHidden/>
              </w:rPr>
              <w:tab/>
            </w:r>
            <w:r w:rsidR="007B3ADB">
              <w:rPr>
                <w:noProof/>
                <w:webHidden/>
              </w:rPr>
              <w:fldChar w:fldCharType="begin"/>
            </w:r>
            <w:r w:rsidR="007B3ADB">
              <w:rPr>
                <w:noProof/>
                <w:webHidden/>
              </w:rPr>
              <w:instrText xml:space="preserve"> PAGEREF _Toc62552908 \h </w:instrText>
            </w:r>
            <w:r w:rsidR="007B3ADB">
              <w:rPr>
                <w:noProof/>
                <w:webHidden/>
              </w:rPr>
            </w:r>
            <w:r w:rsidR="007B3ADB">
              <w:rPr>
                <w:noProof/>
                <w:webHidden/>
              </w:rPr>
              <w:fldChar w:fldCharType="separate"/>
            </w:r>
            <w:r w:rsidR="007B3ADB">
              <w:rPr>
                <w:noProof/>
                <w:webHidden/>
              </w:rPr>
              <w:t>34</w:t>
            </w:r>
            <w:r w:rsidR="007B3ADB">
              <w:rPr>
                <w:noProof/>
                <w:webHidden/>
              </w:rPr>
              <w:fldChar w:fldCharType="end"/>
            </w:r>
          </w:hyperlink>
        </w:p>
        <w:p w14:paraId="5C284096" w14:textId="72F67A17" w:rsidR="007B3ADB" w:rsidRDefault="007B3ADB">
          <w:pPr>
            <w:pStyle w:val="TOC2"/>
            <w:tabs>
              <w:tab w:val="left" w:pos="720"/>
              <w:tab w:val="right" w:leader="dot" w:pos="9350"/>
            </w:tabs>
            <w:rPr>
              <w:rFonts w:asciiTheme="minorHAnsi" w:hAnsiTheme="minorHAnsi" w:cstheme="minorBidi"/>
              <w:noProof/>
              <w:szCs w:val="24"/>
            </w:rPr>
          </w:pPr>
          <w:r>
            <w:rPr>
              <w:rStyle w:val="Hyperlink"/>
              <w:noProof/>
              <w:u w:val="none"/>
            </w:rPr>
            <w:t xml:space="preserve">    </w:t>
          </w:r>
          <w:hyperlink w:anchor="_Toc62552909" w:history="1">
            <w:r w:rsidRPr="008E6E89">
              <w:rPr>
                <w:rStyle w:val="Hyperlink"/>
                <w:rFonts w:eastAsia="Times New Roman"/>
                <w:i/>
                <w:noProof/>
              </w:rPr>
              <w:t>a.</w:t>
            </w:r>
            <w:r>
              <w:rPr>
                <w:rFonts w:asciiTheme="minorHAnsi" w:hAnsiTheme="minorHAnsi" w:cstheme="minorBidi"/>
                <w:noProof/>
                <w:szCs w:val="24"/>
              </w:rPr>
              <w:tab/>
              <w:t xml:space="preserve">    </w:t>
            </w:r>
            <w:r w:rsidRPr="008E6E89">
              <w:rPr>
                <w:rStyle w:val="Hyperlink"/>
                <w:i/>
                <w:noProof/>
              </w:rPr>
              <w:t>Strict merger regulations</w:t>
            </w:r>
            <w:r>
              <w:rPr>
                <w:noProof/>
                <w:webHidden/>
              </w:rPr>
              <w:tab/>
            </w:r>
            <w:r>
              <w:rPr>
                <w:noProof/>
                <w:webHidden/>
              </w:rPr>
              <w:fldChar w:fldCharType="begin"/>
            </w:r>
            <w:r>
              <w:rPr>
                <w:noProof/>
                <w:webHidden/>
              </w:rPr>
              <w:instrText xml:space="preserve"> PAGEREF _Toc62552909 \h </w:instrText>
            </w:r>
            <w:r>
              <w:rPr>
                <w:noProof/>
                <w:webHidden/>
              </w:rPr>
            </w:r>
            <w:r>
              <w:rPr>
                <w:noProof/>
                <w:webHidden/>
              </w:rPr>
              <w:fldChar w:fldCharType="separate"/>
            </w:r>
            <w:r>
              <w:rPr>
                <w:noProof/>
                <w:webHidden/>
              </w:rPr>
              <w:t>34</w:t>
            </w:r>
            <w:r>
              <w:rPr>
                <w:noProof/>
                <w:webHidden/>
              </w:rPr>
              <w:fldChar w:fldCharType="end"/>
            </w:r>
          </w:hyperlink>
        </w:p>
        <w:p w14:paraId="0F42B261" w14:textId="77777777" w:rsidR="007B3ADB" w:rsidRDefault="004A5F49">
          <w:pPr>
            <w:pStyle w:val="TOC3"/>
            <w:tabs>
              <w:tab w:val="left" w:pos="960"/>
              <w:tab w:val="right" w:leader="dot" w:pos="9350"/>
            </w:tabs>
            <w:rPr>
              <w:rFonts w:asciiTheme="minorHAnsi" w:hAnsiTheme="minorHAnsi" w:cstheme="minorBidi"/>
              <w:noProof/>
              <w:szCs w:val="24"/>
            </w:rPr>
          </w:pPr>
          <w:hyperlink w:anchor="_Toc62552910" w:history="1">
            <w:r w:rsidR="007B3ADB" w:rsidRPr="008E6E89">
              <w:rPr>
                <w:rStyle w:val="Hyperlink"/>
                <w:i/>
                <w:noProof/>
              </w:rPr>
              <w:t>b.</w:t>
            </w:r>
            <w:r w:rsidR="007B3ADB">
              <w:rPr>
                <w:rFonts w:asciiTheme="minorHAnsi" w:hAnsiTheme="minorHAnsi" w:cstheme="minorBidi"/>
                <w:noProof/>
                <w:szCs w:val="24"/>
              </w:rPr>
              <w:tab/>
            </w:r>
            <w:r w:rsidR="007B3ADB" w:rsidRPr="008E6E89">
              <w:rPr>
                <w:rStyle w:val="Hyperlink"/>
                <w:i/>
                <w:noProof/>
              </w:rPr>
              <w:t>Systemic tax</w:t>
            </w:r>
            <w:r w:rsidR="007B3ADB">
              <w:rPr>
                <w:noProof/>
                <w:webHidden/>
              </w:rPr>
              <w:tab/>
            </w:r>
            <w:r w:rsidR="007B3ADB">
              <w:rPr>
                <w:noProof/>
                <w:webHidden/>
              </w:rPr>
              <w:fldChar w:fldCharType="begin"/>
            </w:r>
            <w:r w:rsidR="007B3ADB">
              <w:rPr>
                <w:noProof/>
                <w:webHidden/>
              </w:rPr>
              <w:instrText xml:space="preserve"> PAGEREF _Toc62552910 \h </w:instrText>
            </w:r>
            <w:r w:rsidR="007B3ADB">
              <w:rPr>
                <w:noProof/>
                <w:webHidden/>
              </w:rPr>
            </w:r>
            <w:r w:rsidR="007B3ADB">
              <w:rPr>
                <w:noProof/>
                <w:webHidden/>
              </w:rPr>
              <w:fldChar w:fldCharType="separate"/>
            </w:r>
            <w:r w:rsidR="007B3ADB">
              <w:rPr>
                <w:noProof/>
                <w:webHidden/>
              </w:rPr>
              <w:t>35</w:t>
            </w:r>
            <w:r w:rsidR="007B3ADB">
              <w:rPr>
                <w:noProof/>
                <w:webHidden/>
              </w:rPr>
              <w:fldChar w:fldCharType="end"/>
            </w:r>
          </w:hyperlink>
        </w:p>
        <w:p w14:paraId="0CC1FEB2" w14:textId="77777777" w:rsidR="007B3ADB" w:rsidRDefault="004A5F49">
          <w:pPr>
            <w:pStyle w:val="TOC3"/>
            <w:tabs>
              <w:tab w:val="left" w:pos="960"/>
              <w:tab w:val="right" w:leader="dot" w:pos="9350"/>
            </w:tabs>
            <w:rPr>
              <w:rFonts w:asciiTheme="minorHAnsi" w:hAnsiTheme="minorHAnsi" w:cstheme="minorBidi"/>
              <w:noProof/>
              <w:szCs w:val="24"/>
            </w:rPr>
          </w:pPr>
          <w:hyperlink w:anchor="_Toc62552911" w:history="1">
            <w:r w:rsidR="007B3ADB" w:rsidRPr="008E6E89">
              <w:rPr>
                <w:rStyle w:val="Hyperlink"/>
                <w:i/>
                <w:noProof/>
              </w:rPr>
              <w:t>c.</w:t>
            </w:r>
            <w:r w:rsidR="007B3ADB">
              <w:rPr>
                <w:rFonts w:asciiTheme="minorHAnsi" w:hAnsiTheme="minorHAnsi" w:cstheme="minorBidi"/>
                <w:noProof/>
                <w:szCs w:val="24"/>
              </w:rPr>
              <w:tab/>
            </w:r>
            <w:r w:rsidR="007B3ADB" w:rsidRPr="008E6E89">
              <w:rPr>
                <w:rStyle w:val="Hyperlink"/>
                <w:i/>
                <w:noProof/>
              </w:rPr>
              <w:t>Limiting bailouts</w:t>
            </w:r>
            <w:r w:rsidR="007B3ADB">
              <w:rPr>
                <w:noProof/>
                <w:webHidden/>
              </w:rPr>
              <w:tab/>
            </w:r>
            <w:r w:rsidR="007B3ADB">
              <w:rPr>
                <w:noProof/>
                <w:webHidden/>
              </w:rPr>
              <w:fldChar w:fldCharType="begin"/>
            </w:r>
            <w:r w:rsidR="007B3ADB">
              <w:rPr>
                <w:noProof/>
                <w:webHidden/>
              </w:rPr>
              <w:instrText xml:space="preserve"> PAGEREF _Toc62552911 \h </w:instrText>
            </w:r>
            <w:r w:rsidR="007B3ADB">
              <w:rPr>
                <w:noProof/>
                <w:webHidden/>
              </w:rPr>
            </w:r>
            <w:r w:rsidR="007B3ADB">
              <w:rPr>
                <w:noProof/>
                <w:webHidden/>
              </w:rPr>
              <w:fldChar w:fldCharType="separate"/>
            </w:r>
            <w:r w:rsidR="007B3ADB">
              <w:rPr>
                <w:noProof/>
                <w:webHidden/>
              </w:rPr>
              <w:t>35</w:t>
            </w:r>
            <w:r w:rsidR="007B3ADB">
              <w:rPr>
                <w:noProof/>
                <w:webHidden/>
              </w:rPr>
              <w:fldChar w:fldCharType="end"/>
            </w:r>
          </w:hyperlink>
        </w:p>
        <w:p w14:paraId="0954A2C6" w14:textId="50981570" w:rsidR="007B3ADB" w:rsidRDefault="004A5F49">
          <w:pPr>
            <w:pStyle w:val="TOC3"/>
            <w:tabs>
              <w:tab w:val="left" w:pos="960"/>
              <w:tab w:val="right" w:leader="dot" w:pos="9350"/>
            </w:tabs>
            <w:rPr>
              <w:noProof/>
            </w:rPr>
          </w:pPr>
          <w:hyperlink w:anchor="_Toc62552912" w:history="1">
            <w:r w:rsidR="007B3ADB" w:rsidRPr="008E6E89">
              <w:rPr>
                <w:rStyle w:val="Hyperlink"/>
                <w:rFonts w:eastAsia="Times New Roman"/>
                <w:i/>
                <w:noProof/>
              </w:rPr>
              <w:t>d.</w:t>
            </w:r>
            <w:r w:rsidR="007B3ADB">
              <w:rPr>
                <w:rFonts w:asciiTheme="minorHAnsi" w:hAnsiTheme="minorHAnsi" w:cstheme="minorBidi"/>
                <w:noProof/>
                <w:szCs w:val="24"/>
              </w:rPr>
              <w:tab/>
            </w:r>
            <w:r w:rsidR="007B3ADB" w:rsidRPr="008E6E89">
              <w:rPr>
                <w:rStyle w:val="Hyperlink"/>
                <w:rFonts w:eastAsia="Times New Roman"/>
                <w:i/>
                <w:noProof/>
              </w:rPr>
              <w:t>Limiting size of banks</w:t>
            </w:r>
            <w:r w:rsidR="007B3ADB">
              <w:rPr>
                <w:noProof/>
                <w:webHidden/>
              </w:rPr>
              <w:tab/>
            </w:r>
            <w:r w:rsidR="007B3ADB">
              <w:rPr>
                <w:noProof/>
                <w:webHidden/>
              </w:rPr>
              <w:fldChar w:fldCharType="begin"/>
            </w:r>
            <w:r w:rsidR="007B3ADB">
              <w:rPr>
                <w:noProof/>
                <w:webHidden/>
              </w:rPr>
              <w:instrText xml:space="preserve"> PAGEREF _Toc62552912 \h </w:instrText>
            </w:r>
            <w:r w:rsidR="007B3ADB">
              <w:rPr>
                <w:noProof/>
                <w:webHidden/>
              </w:rPr>
            </w:r>
            <w:r w:rsidR="007B3ADB">
              <w:rPr>
                <w:noProof/>
                <w:webHidden/>
              </w:rPr>
              <w:fldChar w:fldCharType="separate"/>
            </w:r>
            <w:r w:rsidR="007B3ADB">
              <w:rPr>
                <w:noProof/>
                <w:webHidden/>
              </w:rPr>
              <w:t>36</w:t>
            </w:r>
            <w:r w:rsidR="007B3ADB">
              <w:rPr>
                <w:noProof/>
                <w:webHidden/>
              </w:rPr>
              <w:fldChar w:fldCharType="end"/>
            </w:r>
          </w:hyperlink>
        </w:p>
        <w:p w14:paraId="757B4373" w14:textId="72FFF4A8" w:rsidR="00182E55" w:rsidRDefault="00182E55" w:rsidP="00182E55">
          <w:r>
            <w:t xml:space="preserve">      </w:t>
          </w:r>
          <w:r w:rsidR="00950AA2">
            <w:t xml:space="preserve"> </w:t>
          </w:r>
          <w:r>
            <w:t xml:space="preserve"> </w:t>
          </w:r>
          <w:r>
            <w:rPr>
              <w:i/>
            </w:rPr>
            <w:t>e. Special insurance regime for depositors of TBTF Banks……………………………</w:t>
          </w:r>
          <w:r w:rsidR="00950AA2">
            <w:rPr>
              <w:i/>
            </w:rPr>
            <w:t>.</w:t>
          </w:r>
          <w:r>
            <w:rPr>
              <w:i/>
            </w:rPr>
            <w:t>………</w:t>
          </w:r>
          <w:r w:rsidR="00EE5A6E">
            <w:t>37</w:t>
          </w:r>
        </w:p>
        <w:p w14:paraId="6059D7E7" w14:textId="74962616" w:rsidR="00950AA2" w:rsidRPr="00EE5A6E" w:rsidRDefault="00950AA2" w:rsidP="00182E55">
          <w:r>
            <w:t xml:space="preserve">     4.3 Areas of further research………………………………………………………………….37</w:t>
          </w:r>
        </w:p>
        <w:p w14:paraId="0EF52A93" w14:textId="1994A409" w:rsidR="007B3ADB" w:rsidRDefault="004A5F49" w:rsidP="007B3ADB">
          <w:pPr>
            <w:pStyle w:val="TOC1"/>
            <w:rPr>
              <w:rFonts w:asciiTheme="minorHAnsi" w:hAnsiTheme="minorHAnsi" w:cstheme="minorBidi"/>
              <w:szCs w:val="24"/>
            </w:rPr>
          </w:pPr>
          <w:hyperlink w:anchor="_Toc62552913" w:history="1">
            <w:r w:rsidR="00182E55">
              <w:rPr>
                <w:rStyle w:val="Hyperlink"/>
                <w:rFonts w:eastAsia="Times New Roman"/>
              </w:rPr>
              <w:t>5</w:t>
            </w:r>
            <w:r w:rsidR="007B3ADB" w:rsidRPr="008E6E89">
              <w:rPr>
                <w:rStyle w:val="Hyperlink"/>
                <w:rFonts w:eastAsia="Times New Roman"/>
              </w:rPr>
              <w:t>.</w:t>
            </w:r>
            <w:r w:rsidR="007B3ADB">
              <w:rPr>
                <w:rFonts w:asciiTheme="minorHAnsi" w:hAnsiTheme="minorHAnsi" w:cstheme="minorBidi"/>
                <w:szCs w:val="24"/>
              </w:rPr>
              <w:tab/>
            </w:r>
            <w:r w:rsidR="007B3ADB" w:rsidRPr="008E6E89">
              <w:rPr>
                <w:rStyle w:val="Hyperlink"/>
                <w:rFonts w:eastAsia="Times New Roman"/>
              </w:rPr>
              <w:t>BIBLIOGRAPHY</w:t>
            </w:r>
            <w:r w:rsidR="007B3ADB">
              <w:rPr>
                <w:webHidden/>
              </w:rPr>
              <w:tab/>
            </w:r>
            <w:r w:rsidR="007B3ADB">
              <w:rPr>
                <w:webHidden/>
              </w:rPr>
              <w:fldChar w:fldCharType="begin"/>
            </w:r>
            <w:r w:rsidR="007B3ADB">
              <w:rPr>
                <w:webHidden/>
              </w:rPr>
              <w:instrText xml:space="preserve"> PAGEREF _Toc62552913 \h </w:instrText>
            </w:r>
            <w:r w:rsidR="007B3ADB">
              <w:rPr>
                <w:webHidden/>
              </w:rPr>
            </w:r>
            <w:r w:rsidR="007B3ADB">
              <w:rPr>
                <w:webHidden/>
              </w:rPr>
              <w:fldChar w:fldCharType="separate"/>
            </w:r>
            <w:r w:rsidR="007B3ADB">
              <w:rPr>
                <w:webHidden/>
              </w:rPr>
              <w:t>3</w:t>
            </w:r>
            <w:r w:rsidR="00EE5A6E">
              <w:rPr>
                <w:webHidden/>
              </w:rPr>
              <w:t>8</w:t>
            </w:r>
            <w:r w:rsidR="007B3ADB">
              <w:rPr>
                <w:webHidden/>
              </w:rPr>
              <w:fldChar w:fldCharType="end"/>
            </w:r>
          </w:hyperlink>
        </w:p>
        <w:p w14:paraId="6E6EF60F" w14:textId="1FFE3FAB" w:rsidR="007B3ADB" w:rsidRDefault="004A5F49">
          <w:pPr>
            <w:pStyle w:val="TOC2"/>
            <w:tabs>
              <w:tab w:val="left" w:pos="960"/>
              <w:tab w:val="right" w:leader="dot" w:pos="9350"/>
            </w:tabs>
            <w:rPr>
              <w:rFonts w:asciiTheme="minorHAnsi" w:hAnsiTheme="minorHAnsi" w:cstheme="minorBidi"/>
              <w:noProof/>
              <w:szCs w:val="24"/>
            </w:rPr>
          </w:pPr>
          <w:hyperlink w:anchor="_Toc62552914" w:history="1">
            <w:r w:rsidR="00EE5A6E">
              <w:rPr>
                <w:rStyle w:val="Hyperlink"/>
                <w:noProof/>
              </w:rPr>
              <w:t>5</w:t>
            </w:r>
            <w:r w:rsidR="007B3ADB" w:rsidRPr="008E6E89">
              <w:rPr>
                <w:rStyle w:val="Hyperlink"/>
                <w:noProof/>
              </w:rPr>
              <w:t>.1.</w:t>
            </w:r>
            <w:r w:rsidR="007B3ADB">
              <w:rPr>
                <w:rFonts w:asciiTheme="minorHAnsi" w:hAnsiTheme="minorHAnsi" w:cstheme="minorBidi"/>
                <w:noProof/>
                <w:szCs w:val="24"/>
              </w:rPr>
              <w:tab/>
            </w:r>
            <w:r w:rsidR="007B3ADB" w:rsidRPr="008E6E89">
              <w:rPr>
                <w:rStyle w:val="Hyperlink"/>
                <w:noProof/>
              </w:rPr>
              <w:t>LAWS AND REGULATIONS</w:t>
            </w:r>
            <w:r w:rsidR="007B3ADB">
              <w:rPr>
                <w:noProof/>
                <w:webHidden/>
              </w:rPr>
              <w:tab/>
            </w:r>
            <w:r w:rsidR="007B3ADB">
              <w:rPr>
                <w:noProof/>
                <w:webHidden/>
              </w:rPr>
              <w:fldChar w:fldCharType="begin"/>
            </w:r>
            <w:r w:rsidR="007B3ADB">
              <w:rPr>
                <w:noProof/>
                <w:webHidden/>
              </w:rPr>
              <w:instrText xml:space="preserve"> PAGEREF _Toc62552914 \h </w:instrText>
            </w:r>
            <w:r w:rsidR="007B3ADB">
              <w:rPr>
                <w:noProof/>
                <w:webHidden/>
              </w:rPr>
            </w:r>
            <w:r w:rsidR="007B3ADB">
              <w:rPr>
                <w:noProof/>
                <w:webHidden/>
              </w:rPr>
              <w:fldChar w:fldCharType="separate"/>
            </w:r>
            <w:r w:rsidR="007B3ADB">
              <w:rPr>
                <w:noProof/>
                <w:webHidden/>
              </w:rPr>
              <w:t>37</w:t>
            </w:r>
            <w:r w:rsidR="007B3ADB">
              <w:rPr>
                <w:noProof/>
                <w:webHidden/>
              </w:rPr>
              <w:fldChar w:fldCharType="end"/>
            </w:r>
          </w:hyperlink>
        </w:p>
        <w:p w14:paraId="31E2812E" w14:textId="793D9E1D" w:rsidR="007B3ADB" w:rsidRDefault="004A5F49">
          <w:pPr>
            <w:pStyle w:val="TOC2"/>
            <w:tabs>
              <w:tab w:val="left" w:pos="960"/>
              <w:tab w:val="right" w:leader="dot" w:pos="9350"/>
            </w:tabs>
            <w:rPr>
              <w:rFonts w:asciiTheme="minorHAnsi" w:hAnsiTheme="minorHAnsi" w:cstheme="minorBidi"/>
              <w:noProof/>
              <w:szCs w:val="24"/>
            </w:rPr>
          </w:pPr>
          <w:hyperlink w:anchor="_Toc62552915" w:history="1">
            <w:r w:rsidR="00EE5A6E">
              <w:rPr>
                <w:rStyle w:val="Hyperlink"/>
                <w:noProof/>
              </w:rPr>
              <w:t>5</w:t>
            </w:r>
            <w:r w:rsidR="007B3ADB" w:rsidRPr="008E6E89">
              <w:rPr>
                <w:rStyle w:val="Hyperlink"/>
                <w:noProof/>
              </w:rPr>
              <w:t>.2.</w:t>
            </w:r>
            <w:r w:rsidR="007B3ADB">
              <w:rPr>
                <w:rFonts w:asciiTheme="minorHAnsi" w:hAnsiTheme="minorHAnsi" w:cstheme="minorBidi"/>
                <w:noProof/>
                <w:szCs w:val="24"/>
              </w:rPr>
              <w:tab/>
            </w:r>
            <w:r w:rsidR="007B3ADB" w:rsidRPr="008E6E89">
              <w:rPr>
                <w:rStyle w:val="Hyperlink"/>
                <w:noProof/>
              </w:rPr>
              <w:t>CASE LAW</w:t>
            </w:r>
            <w:r w:rsidR="007B3ADB">
              <w:rPr>
                <w:noProof/>
                <w:webHidden/>
              </w:rPr>
              <w:tab/>
            </w:r>
            <w:r w:rsidR="007B3ADB">
              <w:rPr>
                <w:noProof/>
                <w:webHidden/>
              </w:rPr>
              <w:fldChar w:fldCharType="begin"/>
            </w:r>
            <w:r w:rsidR="007B3ADB">
              <w:rPr>
                <w:noProof/>
                <w:webHidden/>
              </w:rPr>
              <w:instrText xml:space="preserve"> PAGEREF _Toc62552915 \h </w:instrText>
            </w:r>
            <w:r w:rsidR="007B3ADB">
              <w:rPr>
                <w:noProof/>
                <w:webHidden/>
              </w:rPr>
            </w:r>
            <w:r w:rsidR="007B3ADB">
              <w:rPr>
                <w:noProof/>
                <w:webHidden/>
              </w:rPr>
              <w:fldChar w:fldCharType="separate"/>
            </w:r>
            <w:r w:rsidR="007B3ADB">
              <w:rPr>
                <w:noProof/>
                <w:webHidden/>
              </w:rPr>
              <w:t>37</w:t>
            </w:r>
            <w:r w:rsidR="007B3ADB">
              <w:rPr>
                <w:noProof/>
                <w:webHidden/>
              </w:rPr>
              <w:fldChar w:fldCharType="end"/>
            </w:r>
          </w:hyperlink>
        </w:p>
        <w:p w14:paraId="5982928F" w14:textId="0A90DD35" w:rsidR="007B3ADB" w:rsidRDefault="004A5F49">
          <w:pPr>
            <w:pStyle w:val="TOC2"/>
            <w:tabs>
              <w:tab w:val="left" w:pos="960"/>
              <w:tab w:val="right" w:leader="dot" w:pos="9350"/>
            </w:tabs>
            <w:rPr>
              <w:rFonts w:asciiTheme="minorHAnsi" w:hAnsiTheme="minorHAnsi" w:cstheme="minorBidi"/>
              <w:noProof/>
              <w:szCs w:val="24"/>
            </w:rPr>
          </w:pPr>
          <w:hyperlink w:anchor="_Toc62552916" w:history="1">
            <w:r w:rsidR="00EE5A6E">
              <w:rPr>
                <w:rStyle w:val="Hyperlink"/>
                <w:noProof/>
              </w:rPr>
              <w:t>5</w:t>
            </w:r>
            <w:r w:rsidR="007B3ADB" w:rsidRPr="008E6E89">
              <w:rPr>
                <w:rStyle w:val="Hyperlink"/>
                <w:noProof/>
              </w:rPr>
              <w:t>.3.</w:t>
            </w:r>
            <w:r w:rsidR="007B3ADB">
              <w:rPr>
                <w:rFonts w:asciiTheme="minorHAnsi" w:hAnsiTheme="minorHAnsi" w:cstheme="minorBidi"/>
                <w:noProof/>
                <w:szCs w:val="24"/>
              </w:rPr>
              <w:tab/>
            </w:r>
            <w:r w:rsidR="007B3ADB" w:rsidRPr="008E6E89">
              <w:rPr>
                <w:rStyle w:val="Hyperlink"/>
                <w:noProof/>
              </w:rPr>
              <w:t>BOOKS</w:t>
            </w:r>
            <w:r w:rsidR="007B3ADB">
              <w:rPr>
                <w:noProof/>
                <w:webHidden/>
              </w:rPr>
              <w:tab/>
            </w:r>
            <w:r w:rsidR="007B3ADB">
              <w:rPr>
                <w:noProof/>
                <w:webHidden/>
              </w:rPr>
              <w:fldChar w:fldCharType="begin"/>
            </w:r>
            <w:r w:rsidR="007B3ADB">
              <w:rPr>
                <w:noProof/>
                <w:webHidden/>
              </w:rPr>
              <w:instrText xml:space="preserve"> PAGEREF _Toc62552916 \h </w:instrText>
            </w:r>
            <w:r w:rsidR="007B3ADB">
              <w:rPr>
                <w:noProof/>
                <w:webHidden/>
              </w:rPr>
            </w:r>
            <w:r w:rsidR="007B3ADB">
              <w:rPr>
                <w:noProof/>
                <w:webHidden/>
              </w:rPr>
              <w:fldChar w:fldCharType="separate"/>
            </w:r>
            <w:r w:rsidR="007B3ADB">
              <w:rPr>
                <w:noProof/>
                <w:webHidden/>
              </w:rPr>
              <w:t>37</w:t>
            </w:r>
            <w:r w:rsidR="007B3ADB">
              <w:rPr>
                <w:noProof/>
                <w:webHidden/>
              </w:rPr>
              <w:fldChar w:fldCharType="end"/>
            </w:r>
          </w:hyperlink>
        </w:p>
        <w:p w14:paraId="013D516B" w14:textId="69DC2590" w:rsidR="007B3ADB" w:rsidRDefault="004A5F49">
          <w:pPr>
            <w:pStyle w:val="TOC2"/>
            <w:tabs>
              <w:tab w:val="left" w:pos="960"/>
              <w:tab w:val="right" w:leader="dot" w:pos="9350"/>
            </w:tabs>
            <w:rPr>
              <w:rFonts w:asciiTheme="minorHAnsi" w:hAnsiTheme="minorHAnsi" w:cstheme="minorBidi"/>
              <w:noProof/>
              <w:szCs w:val="24"/>
            </w:rPr>
          </w:pPr>
          <w:hyperlink w:anchor="_Toc62552917" w:history="1">
            <w:r w:rsidR="00EE5A6E">
              <w:rPr>
                <w:rStyle w:val="Hyperlink"/>
                <w:noProof/>
              </w:rPr>
              <w:t>5</w:t>
            </w:r>
            <w:r w:rsidR="007B3ADB" w:rsidRPr="008E6E89">
              <w:rPr>
                <w:rStyle w:val="Hyperlink"/>
                <w:noProof/>
              </w:rPr>
              <w:t>.4.</w:t>
            </w:r>
            <w:r w:rsidR="007B3ADB">
              <w:rPr>
                <w:rFonts w:asciiTheme="minorHAnsi" w:hAnsiTheme="minorHAnsi" w:cstheme="minorBidi"/>
                <w:noProof/>
                <w:szCs w:val="24"/>
              </w:rPr>
              <w:tab/>
            </w:r>
            <w:r w:rsidR="007B3ADB" w:rsidRPr="008E6E89">
              <w:rPr>
                <w:rStyle w:val="Hyperlink"/>
                <w:noProof/>
              </w:rPr>
              <w:t>JOURNAL ARTICLES</w:t>
            </w:r>
            <w:r w:rsidR="007B3ADB">
              <w:rPr>
                <w:noProof/>
                <w:webHidden/>
              </w:rPr>
              <w:tab/>
            </w:r>
            <w:r w:rsidR="007B3ADB">
              <w:rPr>
                <w:noProof/>
                <w:webHidden/>
              </w:rPr>
              <w:fldChar w:fldCharType="begin"/>
            </w:r>
            <w:r w:rsidR="007B3ADB">
              <w:rPr>
                <w:noProof/>
                <w:webHidden/>
              </w:rPr>
              <w:instrText xml:space="preserve"> PAGEREF _Toc62552917 \h </w:instrText>
            </w:r>
            <w:r w:rsidR="007B3ADB">
              <w:rPr>
                <w:noProof/>
                <w:webHidden/>
              </w:rPr>
            </w:r>
            <w:r w:rsidR="007B3ADB">
              <w:rPr>
                <w:noProof/>
                <w:webHidden/>
              </w:rPr>
              <w:fldChar w:fldCharType="separate"/>
            </w:r>
            <w:r w:rsidR="007B3ADB">
              <w:rPr>
                <w:noProof/>
                <w:webHidden/>
              </w:rPr>
              <w:t>38</w:t>
            </w:r>
            <w:r w:rsidR="007B3ADB">
              <w:rPr>
                <w:noProof/>
                <w:webHidden/>
              </w:rPr>
              <w:fldChar w:fldCharType="end"/>
            </w:r>
          </w:hyperlink>
        </w:p>
        <w:p w14:paraId="286924B4" w14:textId="6B0F1B90" w:rsidR="007B3ADB" w:rsidRDefault="004A5F49">
          <w:pPr>
            <w:pStyle w:val="TOC2"/>
            <w:tabs>
              <w:tab w:val="left" w:pos="960"/>
              <w:tab w:val="right" w:leader="dot" w:pos="9350"/>
            </w:tabs>
            <w:rPr>
              <w:rFonts w:asciiTheme="minorHAnsi" w:hAnsiTheme="minorHAnsi" w:cstheme="minorBidi"/>
              <w:noProof/>
              <w:szCs w:val="24"/>
            </w:rPr>
          </w:pPr>
          <w:hyperlink w:anchor="_Toc62552918" w:history="1">
            <w:r w:rsidR="00EE5A6E">
              <w:rPr>
                <w:rStyle w:val="Hyperlink"/>
                <w:noProof/>
              </w:rPr>
              <w:t>5</w:t>
            </w:r>
            <w:r w:rsidR="007B3ADB" w:rsidRPr="008E6E89">
              <w:rPr>
                <w:rStyle w:val="Hyperlink"/>
                <w:noProof/>
              </w:rPr>
              <w:t>.5.</w:t>
            </w:r>
            <w:r w:rsidR="007B3ADB">
              <w:rPr>
                <w:rFonts w:asciiTheme="minorHAnsi" w:hAnsiTheme="minorHAnsi" w:cstheme="minorBidi"/>
                <w:noProof/>
                <w:szCs w:val="24"/>
              </w:rPr>
              <w:tab/>
            </w:r>
            <w:r w:rsidR="007B3ADB" w:rsidRPr="008E6E89">
              <w:rPr>
                <w:rStyle w:val="Hyperlink"/>
                <w:noProof/>
              </w:rPr>
              <w:t>WORKING PAPERS, WORKSHOP PAPERS, CONFERENCE PAPERS &amp; DISCUSSION PAPERS</w:t>
            </w:r>
            <w:r w:rsidR="007B3ADB">
              <w:rPr>
                <w:noProof/>
                <w:webHidden/>
              </w:rPr>
              <w:tab/>
            </w:r>
            <w:r w:rsidR="007B3ADB">
              <w:rPr>
                <w:noProof/>
                <w:webHidden/>
              </w:rPr>
              <w:fldChar w:fldCharType="begin"/>
            </w:r>
            <w:r w:rsidR="007B3ADB">
              <w:rPr>
                <w:noProof/>
                <w:webHidden/>
              </w:rPr>
              <w:instrText xml:space="preserve"> PAGEREF _Toc62552918 \h </w:instrText>
            </w:r>
            <w:r w:rsidR="007B3ADB">
              <w:rPr>
                <w:noProof/>
                <w:webHidden/>
              </w:rPr>
            </w:r>
            <w:r w:rsidR="007B3ADB">
              <w:rPr>
                <w:noProof/>
                <w:webHidden/>
              </w:rPr>
              <w:fldChar w:fldCharType="separate"/>
            </w:r>
            <w:r w:rsidR="007B3ADB">
              <w:rPr>
                <w:noProof/>
                <w:webHidden/>
              </w:rPr>
              <w:t>40</w:t>
            </w:r>
            <w:r w:rsidR="007B3ADB">
              <w:rPr>
                <w:noProof/>
                <w:webHidden/>
              </w:rPr>
              <w:fldChar w:fldCharType="end"/>
            </w:r>
          </w:hyperlink>
        </w:p>
        <w:p w14:paraId="64B1D505" w14:textId="1AB57E74" w:rsidR="007B3ADB" w:rsidRDefault="004A5F49">
          <w:pPr>
            <w:pStyle w:val="TOC2"/>
            <w:tabs>
              <w:tab w:val="left" w:pos="960"/>
              <w:tab w:val="right" w:leader="dot" w:pos="9350"/>
            </w:tabs>
            <w:rPr>
              <w:rFonts w:asciiTheme="minorHAnsi" w:hAnsiTheme="minorHAnsi" w:cstheme="minorBidi"/>
              <w:noProof/>
              <w:szCs w:val="24"/>
            </w:rPr>
          </w:pPr>
          <w:hyperlink w:anchor="_Toc62552919" w:history="1">
            <w:r w:rsidR="00EE5A6E">
              <w:rPr>
                <w:rStyle w:val="Hyperlink"/>
                <w:noProof/>
              </w:rPr>
              <w:t>5</w:t>
            </w:r>
            <w:r w:rsidR="007B3ADB" w:rsidRPr="008E6E89">
              <w:rPr>
                <w:rStyle w:val="Hyperlink"/>
                <w:noProof/>
              </w:rPr>
              <w:t>.6.</w:t>
            </w:r>
            <w:r w:rsidR="007B3ADB">
              <w:rPr>
                <w:rFonts w:asciiTheme="minorHAnsi" w:hAnsiTheme="minorHAnsi" w:cstheme="minorBidi"/>
                <w:noProof/>
                <w:szCs w:val="24"/>
              </w:rPr>
              <w:tab/>
            </w:r>
            <w:r w:rsidR="007B3ADB" w:rsidRPr="008E6E89">
              <w:rPr>
                <w:rStyle w:val="Hyperlink"/>
                <w:noProof/>
              </w:rPr>
              <w:t>REPORTS AND DISSERTATIONS</w:t>
            </w:r>
            <w:r w:rsidR="007B3ADB">
              <w:rPr>
                <w:noProof/>
                <w:webHidden/>
              </w:rPr>
              <w:tab/>
            </w:r>
            <w:r w:rsidR="007B3ADB">
              <w:rPr>
                <w:noProof/>
                <w:webHidden/>
              </w:rPr>
              <w:fldChar w:fldCharType="begin"/>
            </w:r>
            <w:r w:rsidR="007B3ADB">
              <w:rPr>
                <w:noProof/>
                <w:webHidden/>
              </w:rPr>
              <w:instrText xml:space="preserve"> PAGEREF _Toc62552919 \h </w:instrText>
            </w:r>
            <w:r w:rsidR="007B3ADB">
              <w:rPr>
                <w:noProof/>
                <w:webHidden/>
              </w:rPr>
            </w:r>
            <w:r w:rsidR="007B3ADB">
              <w:rPr>
                <w:noProof/>
                <w:webHidden/>
              </w:rPr>
              <w:fldChar w:fldCharType="separate"/>
            </w:r>
            <w:r w:rsidR="007B3ADB">
              <w:rPr>
                <w:noProof/>
                <w:webHidden/>
              </w:rPr>
              <w:t>41</w:t>
            </w:r>
            <w:r w:rsidR="007B3ADB">
              <w:rPr>
                <w:noProof/>
                <w:webHidden/>
              </w:rPr>
              <w:fldChar w:fldCharType="end"/>
            </w:r>
          </w:hyperlink>
        </w:p>
        <w:p w14:paraId="15461F09" w14:textId="526A4682" w:rsidR="007B3ADB" w:rsidRDefault="004A5F49">
          <w:pPr>
            <w:pStyle w:val="TOC2"/>
            <w:tabs>
              <w:tab w:val="left" w:pos="960"/>
              <w:tab w:val="right" w:leader="dot" w:pos="9350"/>
            </w:tabs>
            <w:rPr>
              <w:rFonts w:asciiTheme="minorHAnsi" w:hAnsiTheme="minorHAnsi" w:cstheme="minorBidi"/>
              <w:noProof/>
              <w:szCs w:val="24"/>
            </w:rPr>
          </w:pPr>
          <w:hyperlink w:anchor="_Toc62552920" w:history="1">
            <w:r w:rsidR="00EE5A6E">
              <w:rPr>
                <w:rStyle w:val="Hyperlink"/>
                <w:noProof/>
              </w:rPr>
              <w:t>5</w:t>
            </w:r>
            <w:r w:rsidR="007B3ADB" w:rsidRPr="008E6E89">
              <w:rPr>
                <w:rStyle w:val="Hyperlink"/>
                <w:noProof/>
              </w:rPr>
              <w:t>.7.</w:t>
            </w:r>
            <w:r w:rsidR="007B3ADB">
              <w:rPr>
                <w:rFonts w:asciiTheme="minorHAnsi" w:hAnsiTheme="minorHAnsi" w:cstheme="minorBidi"/>
                <w:noProof/>
                <w:szCs w:val="24"/>
              </w:rPr>
              <w:tab/>
            </w:r>
            <w:r w:rsidR="007B3ADB" w:rsidRPr="008E6E89">
              <w:rPr>
                <w:rStyle w:val="Hyperlink"/>
                <w:noProof/>
              </w:rPr>
              <w:t>INSTITUTIONAL AUTHORS</w:t>
            </w:r>
            <w:r w:rsidR="007B3ADB">
              <w:rPr>
                <w:noProof/>
                <w:webHidden/>
              </w:rPr>
              <w:tab/>
            </w:r>
            <w:r w:rsidR="007B3ADB">
              <w:rPr>
                <w:noProof/>
                <w:webHidden/>
              </w:rPr>
              <w:fldChar w:fldCharType="begin"/>
            </w:r>
            <w:r w:rsidR="007B3ADB">
              <w:rPr>
                <w:noProof/>
                <w:webHidden/>
              </w:rPr>
              <w:instrText xml:space="preserve"> PAGEREF _Toc62552920 \h </w:instrText>
            </w:r>
            <w:r w:rsidR="007B3ADB">
              <w:rPr>
                <w:noProof/>
                <w:webHidden/>
              </w:rPr>
            </w:r>
            <w:r w:rsidR="007B3ADB">
              <w:rPr>
                <w:noProof/>
                <w:webHidden/>
              </w:rPr>
              <w:fldChar w:fldCharType="separate"/>
            </w:r>
            <w:r w:rsidR="007B3ADB">
              <w:rPr>
                <w:noProof/>
                <w:webHidden/>
              </w:rPr>
              <w:t>41</w:t>
            </w:r>
            <w:r w:rsidR="007B3ADB">
              <w:rPr>
                <w:noProof/>
                <w:webHidden/>
              </w:rPr>
              <w:fldChar w:fldCharType="end"/>
            </w:r>
          </w:hyperlink>
        </w:p>
        <w:p w14:paraId="3E2161F4" w14:textId="607399E9" w:rsidR="007B3ADB" w:rsidRDefault="004A5F49">
          <w:pPr>
            <w:pStyle w:val="TOC2"/>
            <w:tabs>
              <w:tab w:val="left" w:pos="960"/>
              <w:tab w:val="right" w:leader="dot" w:pos="9350"/>
            </w:tabs>
            <w:rPr>
              <w:rFonts w:asciiTheme="minorHAnsi" w:hAnsiTheme="minorHAnsi" w:cstheme="minorBidi"/>
              <w:noProof/>
              <w:szCs w:val="24"/>
            </w:rPr>
          </w:pPr>
          <w:hyperlink w:anchor="_Toc62552921" w:history="1">
            <w:r w:rsidR="00EE5A6E">
              <w:rPr>
                <w:rStyle w:val="Hyperlink"/>
                <w:noProof/>
              </w:rPr>
              <w:t>5</w:t>
            </w:r>
            <w:r w:rsidR="007B3ADB" w:rsidRPr="008E6E89">
              <w:rPr>
                <w:rStyle w:val="Hyperlink"/>
                <w:noProof/>
              </w:rPr>
              <w:t>.8.</w:t>
            </w:r>
            <w:r w:rsidR="007B3ADB">
              <w:rPr>
                <w:rFonts w:asciiTheme="minorHAnsi" w:hAnsiTheme="minorHAnsi" w:cstheme="minorBidi"/>
                <w:noProof/>
                <w:szCs w:val="24"/>
              </w:rPr>
              <w:tab/>
            </w:r>
            <w:r w:rsidR="007B3ADB" w:rsidRPr="008E6E89">
              <w:rPr>
                <w:rStyle w:val="Hyperlink"/>
                <w:noProof/>
              </w:rPr>
              <w:t>NEWSPAPERS</w:t>
            </w:r>
            <w:r w:rsidR="007B3ADB">
              <w:rPr>
                <w:noProof/>
                <w:webHidden/>
              </w:rPr>
              <w:tab/>
            </w:r>
            <w:r w:rsidR="007B3ADB">
              <w:rPr>
                <w:noProof/>
                <w:webHidden/>
              </w:rPr>
              <w:fldChar w:fldCharType="begin"/>
            </w:r>
            <w:r w:rsidR="007B3ADB">
              <w:rPr>
                <w:noProof/>
                <w:webHidden/>
              </w:rPr>
              <w:instrText xml:space="preserve"> PAGEREF _Toc62552921 \h </w:instrText>
            </w:r>
            <w:r w:rsidR="007B3ADB">
              <w:rPr>
                <w:noProof/>
                <w:webHidden/>
              </w:rPr>
            </w:r>
            <w:r w:rsidR="007B3ADB">
              <w:rPr>
                <w:noProof/>
                <w:webHidden/>
              </w:rPr>
              <w:fldChar w:fldCharType="separate"/>
            </w:r>
            <w:r w:rsidR="007B3ADB">
              <w:rPr>
                <w:noProof/>
                <w:webHidden/>
              </w:rPr>
              <w:t>41</w:t>
            </w:r>
            <w:r w:rsidR="007B3ADB">
              <w:rPr>
                <w:noProof/>
                <w:webHidden/>
              </w:rPr>
              <w:fldChar w:fldCharType="end"/>
            </w:r>
          </w:hyperlink>
        </w:p>
        <w:p w14:paraId="21B7A4A2" w14:textId="0507C52C" w:rsidR="007B3ADB" w:rsidRDefault="004A5F49">
          <w:pPr>
            <w:pStyle w:val="TOC2"/>
            <w:tabs>
              <w:tab w:val="left" w:pos="960"/>
              <w:tab w:val="right" w:leader="dot" w:pos="9350"/>
            </w:tabs>
            <w:rPr>
              <w:rFonts w:asciiTheme="minorHAnsi" w:hAnsiTheme="minorHAnsi" w:cstheme="minorBidi"/>
              <w:noProof/>
              <w:szCs w:val="24"/>
            </w:rPr>
          </w:pPr>
          <w:hyperlink w:anchor="_Toc62552922" w:history="1">
            <w:r w:rsidR="00EE5A6E">
              <w:rPr>
                <w:rStyle w:val="Hyperlink"/>
                <w:noProof/>
              </w:rPr>
              <w:t>5</w:t>
            </w:r>
            <w:r w:rsidR="007B3ADB" w:rsidRPr="008E6E89">
              <w:rPr>
                <w:rStyle w:val="Hyperlink"/>
                <w:noProof/>
              </w:rPr>
              <w:t>.9.</w:t>
            </w:r>
            <w:r w:rsidR="007B3ADB">
              <w:rPr>
                <w:rFonts w:asciiTheme="minorHAnsi" w:hAnsiTheme="minorHAnsi" w:cstheme="minorBidi"/>
                <w:noProof/>
                <w:szCs w:val="24"/>
              </w:rPr>
              <w:tab/>
            </w:r>
            <w:r w:rsidR="007B3ADB" w:rsidRPr="008E6E89">
              <w:rPr>
                <w:rStyle w:val="Hyperlink"/>
                <w:noProof/>
              </w:rPr>
              <w:t>ONLINE SOURCES AND ONLINE PRINT</w:t>
            </w:r>
            <w:r w:rsidR="007B3ADB">
              <w:rPr>
                <w:noProof/>
                <w:webHidden/>
              </w:rPr>
              <w:tab/>
            </w:r>
            <w:r w:rsidR="007B3ADB">
              <w:rPr>
                <w:noProof/>
                <w:webHidden/>
              </w:rPr>
              <w:fldChar w:fldCharType="begin"/>
            </w:r>
            <w:r w:rsidR="007B3ADB">
              <w:rPr>
                <w:noProof/>
                <w:webHidden/>
              </w:rPr>
              <w:instrText xml:space="preserve"> PAGEREF _Toc62552922 \h </w:instrText>
            </w:r>
            <w:r w:rsidR="007B3ADB">
              <w:rPr>
                <w:noProof/>
                <w:webHidden/>
              </w:rPr>
            </w:r>
            <w:r w:rsidR="007B3ADB">
              <w:rPr>
                <w:noProof/>
                <w:webHidden/>
              </w:rPr>
              <w:fldChar w:fldCharType="separate"/>
            </w:r>
            <w:r w:rsidR="007B3ADB">
              <w:rPr>
                <w:noProof/>
                <w:webHidden/>
              </w:rPr>
              <w:t>42</w:t>
            </w:r>
            <w:r w:rsidR="007B3ADB">
              <w:rPr>
                <w:noProof/>
                <w:webHidden/>
              </w:rPr>
              <w:fldChar w:fldCharType="end"/>
            </w:r>
          </w:hyperlink>
        </w:p>
        <w:p w14:paraId="72218043" w14:textId="44E49BE5" w:rsidR="00022A9A" w:rsidRPr="005B66DE" w:rsidRDefault="00777BBC" w:rsidP="00C7087B">
          <w:r w:rsidRPr="005B66DE">
            <w:rPr>
              <w:rFonts w:cs="Times New Roman"/>
              <w:b/>
              <w:bCs/>
              <w:noProof/>
              <w:szCs w:val="24"/>
            </w:rPr>
            <w:fldChar w:fldCharType="end"/>
          </w:r>
        </w:p>
      </w:sdtContent>
    </w:sdt>
    <w:p w14:paraId="0A4290FD" w14:textId="53DD4999" w:rsidR="0068565D" w:rsidRPr="004C62EF" w:rsidRDefault="0068565D" w:rsidP="005B66DE">
      <w:pPr>
        <w:pStyle w:val="Heading1"/>
        <w:rPr>
          <w:color w:val="0070C0"/>
        </w:rPr>
      </w:pPr>
      <w:bookmarkStart w:id="4" w:name="_Toc62552864"/>
      <w:r w:rsidRPr="004C62EF">
        <w:rPr>
          <w:color w:val="0070C0"/>
        </w:rPr>
        <w:lastRenderedPageBreak/>
        <w:t>D</w:t>
      </w:r>
      <w:bookmarkEnd w:id="1"/>
      <w:bookmarkEnd w:id="2"/>
      <w:bookmarkEnd w:id="3"/>
      <w:r w:rsidR="00FB4DD6" w:rsidRPr="004C62EF">
        <w:rPr>
          <w:color w:val="0070C0"/>
        </w:rPr>
        <w:t>ECLARATION</w:t>
      </w:r>
      <w:bookmarkEnd w:id="4"/>
    </w:p>
    <w:p w14:paraId="36C0FD1F" w14:textId="77777777" w:rsidR="0068565D" w:rsidRPr="005B66DE" w:rsidRDefault="005B66DE" w:rsidP="005B66DE">
      <w:pPr>
        <w:spacing w:line="360" w:lineRule="auto"/>
        <w:rPr>
          <w:rFonts w:cs="Times New Roman"/>
          <w:szCs w:val="24"/>
        </w:rPr>
      </w:pPr>
      <w:r>
        <w:rPr>
          <w:rFonts w:cs="Times New Roman"/>
          <w:szCs w:val="24"/>
        </w:rPr>
        <w:t xml:space="preserve">I, </w:t>
      </w:r>
      <w:r w:rsidRPr="005B66DE">
        <w:rPr>
          <w:rFonts w:cs="Times New Roman"/>
          <w:b/>
          <w:szCs w:val="24"/>
        </w:rPr>
        <w:t>NGUGI SAMUEL THEURI</w:t>
      </w:r>
      <w:r w:rsidR="0068565D" w:rsidRPr="005B66DE">
        <w:rPr>
          <w:rFonts w:cs="Times New Roman"/>
          <w:szCs w:val="24"/>
        </w:rPr>
        <w:t xml:space="preserve">,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24BB657B" w14:textId="77777777" w:rsidR="0068565D" w:rsidRPr="005B66DE" w:rsidRDefault="0068565D" w:rsidP="005B66DE">
      <w:pPr>
        <w:spacing w:line="360" w:lineRule="auto"/>
        <w:rPr>
          <w:rFonts w:cs="Times New Roman"/>
          <w:szCs w:val="24"/>
        </w:rPr>
      </w:pPr>
    </w:p>
    <w:p w14:paraId="4430E3A5" w14:textId="77777777" w:rsidR="0068565D" w:rsidRPr="005B66DE" w:rsidRDefault="0068565D" w:rsidP="005B66DE">
      <w:pPr>
        <w:spacing w:line="360" w:lineRule="auto"/>
        <w:rPr>
          <w:rFonts w:cs="Times New Roman"/>
          <w:szCs w:val="24"/>
        </w:rPr>
      </w:pPr>
    </w:p>
    <w:p w14:paraId="229A011E" w14:textId="5177B0AC" w:rsidR="0068565D" w:rsidRPr="005B66DE" w:rsidRDefault="0068565D" w:rsidP="005B66DE">
      <w:pPr>
        <w:spacing w:line="360" w:lineRule="auto"/>
        <w:rPr>
          <w:rFonts w:cs="Times New Roman"/>
          <w:szCs w:val="24"/>
        </w:rPr>
      </w:pPr>
      <w:r w:rsidRPr="005B66DE">
        <w:rPr>
          <w:rFonts w:cs="Times New Roman"/>
          <w:szCs w:val="24"/>
        </w:rPr>
        <w:t>Signed: .............................</w:t>
      </w:r>
      <w:r w:rsidR="00700345">
        <w:rPr>
          <w:rFonts w:cs="Times New Roman"/>
          <w:szCs w:val="24"/>
        </w:rPr>
        <w:t>S.T.N</w:t>
      </w:r>
      <w:r w:rsidRPr="005B66DE">
        <w:rPr>
          <w:rFonts w:cs="Times New Roman"/>
          <w:szCs w:val="24"/>
        </w:rPr>
        <w:t>..........................................</w:t>
      </w:r>
    </w:p>
    <w:p w14:paraId="1C795003" w14:textId="5587D60A" w:rsidR="0068565D" w:rsidRDefault="0068565D" w:rsidP="005B66DE">
      <w:pPr>
        <w:spacing w:line="360" w:lineRule="auto"/>
        <w:rPr>
          <w:rFonts w:cs="Times New Roman"/>
          <w:szCs w:val="24"/>
        </w:rPr>
      </w:pPr>
      <w:r w:rsidRPr="005B66DE">
        <w:rPr>
          <w:rFonts w:cs="Times New Roman"/>
          <w:szCs w:val="24"/>
        </w:rPr>
        <w:t>Date: ...................................</w:t>
      </w:r>
      <w:r w:rsidR="00700345">
        <w:rPr>
          <w:rFonts w:cs="Times New Roman"/>
          <w:szCs w:val="24"/>
        </w:rPr>
        <w:t>3/3/2021</w:t>
      </w:r>
      <w:bookmarkStart w:id="5" w:name="_GoBack"/>
      <w:bookmarkEnd w:id="5"/>
      <w:r w:rsidRPr="005B66DE">
        <w:rPr>
          <w:rFonts w:cs="Times New Roman"/>
          <w:szCs w:val="24"/>
        </w:rPr>
        <w:t>.......................................</w:t>
      </w:r>
    </w:p>
    <w:p w14:paraId="4A4CCC53" w14:textId="77777777" w:rsidR="00A664BE" w:rsidRPr="005B66DE" w:rsidRDefault="00A664BE" w:rsidP="005B66DE">
      <w:pPr>
        <w:spacing w:line="360" w:lineRule="auto"/>
        <w:rPr>
          <w:rFonts w:cs="Times New Roman"/>
          <w:szCs w:val="24"/>
        </w:rPr>
      </w:pPr>
    </w:p>
    <w:p w14:paraId="74FF4759" w14:textId="77777777" w:rsidR="0068565D" w:rsidRPr="005B66DE" w:rsidRDefault="0068565D" w:rsidP="005B66DE">
      <w:pPr>
        <w:spacing w:line="360" w:lineRule="auto"/>
        <w:rPr>
          <w:rFonts w:cs="Times New Roman"/>
          <w:szCs w:val="24"/>
        </w:rPr>
      </w:pPr>
    </w:p>
    <w:p w14:paraId="00610D62" w14:textId="77777777" w:rsidR="0068565D" w:rsidRPr="005B66DE" w:rsidRDefault="0068565D" w:rsidP="005B66DE">
      <w:pPr>
        <w:spacing w:line="360" w:lineRule="auto"/>
        <w:rPr>
          <w:rFonts w:cs="Times New Roman"/>
          <w:szCs w:val="24"/>
        </w:rPr>
      </w:pPr>
      <w:r w:rsidRPr="005B66DE">
        <w:rPr>
          <w:rFonts w:cs="Times New Roman"/>
          <w:szCs w:val="24"/>
        </w:rPr>
        <w:t xml:space="preserve">This dissertation has been submitted for examination with my approval as University Supervisor. </w:t>
      </w:r>
    </w:p>
    <w:p w14:paraId="264B1962" w14:textId="77777777" w:rsidR="0068565D" w:rsidRDefault="0068565D" w:rsidP="005B66DE">
      <w:pPr>
        <w:spacing w:line="360" w:lineRule="auto"/>
        <w:rPr>
          <w:rFonts w:cs="Times New Roman"/>
          <w:szCs w:val="24"/>
        </w:rPr>
      </w:pPr>
    </w:p>
    <w:p w14:paraId="2A198199" w14:textId="77777777" w:rsidR="005B66DE" w:rsidRPr="005B66DE" w:rsidRDefault="005B66DE" w:rsidP="005B66DE">
      <w:pPr>
        <w:spacing w:line="360" w:lineRule="auto"/>
        <w:rPr>
          <w:rFonts w:cs="Times New Roman"/>
          <w:szCs w:val="24"/>
        </w:rPr>
      </w:pPr>
    </w:p>
    <w:p w14:paraId="2F8D86E7" w14:textId="77777777" w:rsidR="0068565D" w:rsidRPr="005B66DE" w:rsidRDefault="00A94126" w:rsidP="005B66DE">
      <w:pPr>
        <w:spacing w:line="360" w:lineRule="auto"/>
        <w:rPr>
          <w:rFonts w:cs="Times New Roman"/>
          <w:szCs w:val="24"/>
        </w:rPr>
      </w:pPr>
      <w:r w:rsidRPr="005B66DE">
        <w:rPr>
          <w:rFonts w:cs="Times New Roman"/>
          <w:szCs w:val="24"/>
        </w:rPr>
        <w:t>Signed: ..........................................................................</w:t>
      </w:r>
    </w:p>
    <w:p w14:paraId="637D07DC" w14:textId="56658ED1" w:rsidR="0068565D" w:rsidRPr="005B66DE" w:rsidRDefault="00A664BE" w:rsidP="005B66DE">
      <w:pPr>
        <w:spacing w:line="360" w:lineRule="auto"/>
        <w:rPr>
          <w:rFonts w:cs="Times New Roman"/>
          <w:b/>
          <w:szCs w:val="24"/>
        </w:rPr>
      </w:pPr>
      <w:r w:rsidRPr="005B66DE">
        <w:rPr>
          <w:rFonts w:cs="Times New Roman"/>
          <w:b/>
          <w:szCs w:val="24"/>
        </w:rPr>
        <w:t xml:space="preserve">Mr. Marvin </w:t>
      </w:r>
      <w:proofErr w:type="spellStart"/>
      <w:r w:rsidRPr="005B66DE">
        <w:rPr>
          <w:rFonts w:cs="Times New Roman"/>
          <w:b/>
          <w:szCs w:val="24"/>
        </w:rPr>
        <w:t>Oliech</w:t>
      </w:r>
      <w:proofErr w:type="spellEnd"/>
    </w:p>
    <w:p w14:paraId="4EA368C0" w14:textId="77777777" w:rsidR="0068565D" w:rsidRPr="005B66DE" w:rsidRDefault="0068565D" w:rsidP="005B66DE">
      <w:pPr>
        <w:rPr>
          <w:rFonts w:cs="Times New Roman"/>
          <w:szCs w:val="24"/>
        </w:rPr>
      </w:pPr>
    </w:p>
    <w:p w14:paraId="6DF661D1" w14:textId="77777777" w:rsidR="0068565D" w:rsidRPr="005B66DE" w:rsidRDefault="0068565D" w:rsidP="005B66DE">
      <w:pPr>
        <w:rPr>
          <w:rFonts w:eastAsiaTheme="majorEastAsia" w:cs="Times New Roman"/>
          <w:b/>
          <w:szCs w:val="24"/>
        </w:rPr>
      </w:pPr>
    </w:p>
    <w:p w14:paraId="2013877D" w14:textId="77777777" w:rsidR="0068565D" w:rsidRPr="005B66DE" w:rsidRDefault="0068565D" w:rsidP="005B66DE">
      <w:pPr>
        <w:pStyle w:val="Heading2"/>
        <w:jc w:val="both"/>
        <w:rPr>
          <w:rFonts w:cs="Times New Roman"/>
          <w:szCs w:val="24"/>
        </w:rPr>
      </w:pPr>
    </w:p>
    <w:p w14:paraId="284183EE" w14:textId="77777777" w:rsidR="0068565D" w:rsidRPr="005B66DE" w:rsidRDefault="0068565D" w:rsidP="005B66DE">
      <w:pPr>
        <w:keepNext/>
        <w:keepLines/>
        <w:widowControl w:val="0"/>
        <w:suppressAutoHyphens/>
        <w:overflowPunct w:val="0"/>
        <w:autoSpaceDE w:val="0"/>
        <w:autoSpaceDN w:val="0"/>
        <w:spacing w:before="240" w:after="0" w:line="360" w:lineRule="auto"/>
        <w:ind w:left="360"/>
        <w:textAlignment w:val="baseline"/>
        <w:outlineLvl w:val="0"/>
        <w:rPr>
          <w:rFonts w:eastAsiaTheme="majorEastAsia" w:cs="Times New Roman"/>
          <w:b/>
          <w:color w:val="5B9BD5" w:themeColor="accent1"/>
          <w:kern w:val="3"/>
          <w:szCs w:val="24"/>
        </w:rPr>
      </w:pPr>
    </w:p>
    <w:p w14:paraId="746EF9CE" w14:textId="77777777" w:rsidR="0068565D" w:rsidRPr="005B66DE" w:rsidRDefault="0068565D" w:rsidP="005B66DE">
      <w:pPr>
        <w:rPr>
          <w:rFonts w:eastAsiaTheme="majorEastAsia" w:cs="Times New Roman"/>
          <w:b/>
          <w:color w:val="5B9BD5" w:themeColor="accent1"/>
          <w:kern w:val="3"/>
          <w:szCs w:val="24"/>
        </w:rPr>
      </w:pPr>
      <w:r w:rsidRPr="005B66DE">
        <w:rPr>
          <w:rFonts w:eastAsiaTheme="majorEastAsia" w:cs="Times New Roman"/>
          <w:b/>
          <w:color w:val="5B9BD5" w:themeColor="accent1"/>
          <w:kern w:val="3"/>
          <w:szCs w:val="24"/>
        </w:rPr>
        <w:br w:type="page"/>
      </w:r>
    </w:p>
    <w:p w14:paraId="60724474" w14:textId="3709FE18" w:rsidR="000D6051" w:rsidRPr="004C62EF" w:rsidRDefault="00FB4DD6" w:rsidP="005B66DE">
      <w:pPr>
        <w:pStyle w:val="Heading1"/>
        <w:rPr>
          <w:color w:val="0070C0"/>
        </w:rPr>
      </w:pPr>
      <w:bookmarkStart w:id="6" w:name="_Toc62552865"/>
      <w:r w:rsidRPr="004C62EF">
        <w:rPr>
          <w:color w:val="0070C0"/>
        </w:rPr>
        <w:lastRenderedPageBreak/>
        <w:t>DEDICATION</w:t>
      </w:r>
      <w:bookmarkEnd w:id="6"/>
    </w:p>
    <w:p w14:paraId="1AB8F048" w14:textId="77777777" w:rsidR="000D6051" w:rsidRPr="005B66DE" w:rsidRDefault="00FB4DD6" w:rsidP="000E6F94">
      <w:pPr>
        <w:spacing w:line="360" w:lineRule="auto"/>
        <w:rPr>
          <w:b/>
          <w:color w:val="5B9BD5" w:themeColor="accent1"/>
        </w:rPr>
      </w:pPr>
      <w:r w:rsidRPr="005B66DE">
        <w:t>I de</w:t>
      </w:r>
      <w:r w:rsidR="000E6F94">
        <w:t xml:space="preserve">dicate this work to my parents, </w:t>
      </w:r>
      <w:r w:rsidRPr="005B66DE">
        <w:t xml:space="preserve">Mr. Elias </w:t>
      </w:r>
      <w:proofErr w:type="spellStart"/>
      <w:r w:rsidRPr="005B66DE">
        <w:t>Ngugi</w:t>
      </w:r>
      <w:proofErr w:type="spellEnd"/>
      <w:r w:rsidRPr="005B66DE">
        <w:t xml:space="preserve"> and Mrs. Isabel </w:t>
      </w:r>
      <w:proofErr w:type="spellStart"/>
      <w:r w:rsidRPr="005B66DE">
        <w:t>Ngugi</w:t>
      </w:r>
      <w:proofErr w:type="spellEnd"/>
      <w:r w:rsidR="000E6F94">
        <w:t xml:space="preserve">, who have loved me </w:t>
      </w:r>
      <w:r w:rsidRPr="005B66DE">
        <w:t>abu</w:t>
      </w:r>
      <w:r w:rsidR="00976DBD" w:rsidRPr="005B66DE">
        <w:t>n</w:t>
      </w:r>
      <w:r w:rsidR="000E6F94">
        <w:t>dantly</w:t>
      </w:r>
      <w:r w:rsidR="005B66DE">
        <w:t xml:space="preserve"> </w:t>
      </w:r>
      <w:r w:rsidRPr="005B66DE">
        <w:t xml:space="preserve">and </w:t>
      </w:r>
      <w:r w:rsidR="000E6F94">
        <w:t xml:space="preserve">dedicated their lives </w:t>
      </w:r>
      <w:r w:rsidRPr="005B66DE">
        <w:t xml:space="preserve">to </w:t>
      </w:r>
      <w:r w:rsidR="000E6F94">
        <w:t xml:space="preserve">ensuring I have a wholesome </w:t>
      </w:r>
      <w:r w:rsidRPr="005B66DE">
        <w:t>life. I also ded</w:t>
      </w:r>
      <w:r w:rsidR="000E6F94">
        <w:t>icate this work to my siblings, from those who have</w:t>
      </w:r>
      <w:r w:rsidR="000E6F94" w:rsidRPr="005B66DE">
        <w:t xml:space="preserve"> paved the way for me and to those I pave the way for</w:t>
      </w:r>
      <w:r w:rsidR="000E6F94">
        <w:t xml:space="preserve">: </w:t>
      </w:r>
      <w:r w:rsidRPr="005B66DE">
        <w:t xml:space="preserve">Joseph </w:t>
      </w:r>
      <w:proofErr w:type="spellStart"/>
      <w:r w:rsidRPr="005B66DE">
        <w:t>Ng’ang’a</w:t>
      </w:r>
      <w:proofErr w:type="spellEnd"/>
      <w:r w:rsidRPr="005B66DE">
        <w:t xml:space="preserve">, Gertrude </w:t>
      </w:r>
      <w:proofErr w:type="spellStart"/>
      <w:r w:rsidRPr="005B66DE">
        <w:t>Wamaitha</w:t>
      </w:r>
      <w:proofErr w:type="spellEnd"/>
      <w:r w:rsidR="0055262C" w:rsidRPr="005B66DE">
        <w:t xml:space="preserve">, Mary </w:t>
      </w:r>
      <w:proofErr w:type="spellStart"/>
      <w:r w:rsidR="0055262C" w:rsidRPr="005B66DE">
        <w:t>Mumbi</w:t>
      </w:r>
      <w:proofErr w:type="spellEnd"/>
      <w:r w:rsidRPr="005B66DE">
        <w:t xml:space="preserve"> and </w:t>
      </w:r>
      <w:proofErr w:type="spellStart"/>
      <w:r w:rsidRPr="005B66DE">
        <w:t>Ikinya</w:t>
      </w:r>
      <w:proofErr w:type="spellEnd"/>
      <w:r w:rsidRPr="005B66DE">
        <w:t xml:space="preserve"> </w:t>
      </w:r>
      <w:proofErr w:type="spellStart"/>
      <w:r w:rsidRPr="005B66DE">
        <w:t>Kambo</w:t>
      </w:r>
      <w:proofErr w:type="spellEnd"/>
      <w:r w:rsidR="000E6F94">
        <w:t xml:space="preserve"> for their constant </w:t>
      </w:r>
      <w:r w:rsidR="0055262C" w:rsidRPr="005B66DE">
        <w:t xml:space="preserve">motivation. I also dedicate this work to everyone else who uttered a prayer for </w:t>
      </w:r>
      <w:r w:rsidR="000E6F94">
        <w:t>me and shared words of wisdom with</w:t>
      </w:r>
      <w:r w:rsidR="0055262C" w:rsidRPr="005B66DE">
        <w:t xml:space="preserve"> me, I am deeply grateful.</w:t>
      </w:r>
    </w:p>
    <w:p w14:paraId="43E6C157" w14:textId="77777777" w:rsidR="000D6051" w:rsidRPr="005B66DE" w:rsidRDefault="000D6051">
      <w:pPr>
        <w:rPr>
          <w:rFonts w:eastAsiaTheme="majorEastAsia" w:cs="Times New Roman"/>
          <w:b/>
          <w:color w:val="5B9BD5" w:themeColor="accent1"/>
          <w:kern w:val="3"/>
          <w:szCs w:val="24"/>
        </w:rPr>
      </w:pPr>
    </w:p>
    <w:p w14:paraId="0693EF84" w14:textId="77777777" w:rsidR="000D6051" w:rsidRPr="005B66DE" w:rsidRDefault="000D6051">
      <w:pPr>
        <w:rPr>
          <w:rFonts w:eastAsiaTheme="majorEastAsia" w:cs="Times New Roman"/>
          <w:b/>
          <w:color w:val="5B9BD5" w:themeColor="accent1"/>
          <w:kern w:val="3"/>
          <w:szCs w:val="24"/>
        </w:rPr>
      </w:pPr>
    </w:p>
    <w:p w14:paraId="74584450" w14:textId="77777777" w:rsidR="000D6051" w:rsidRPr="005B66DE" w:rsidRDefault="000D6051">
      <w:pPr>
        <w:rPr>
          <w:rFonts w:eastAsiaTheme="majorEastAsia" w:cs="Times New Roman"/>
          <w:b/>
          <w:color w:val="5B9BD5" w:themeColor="accent1"/>
          <w:kern w:val="3"/>
          <w:szCs w:val="24"/>
        </w:rPr>
      </w:pPr>
    </w:p>
    <w:p w14:paraId="79419517" w14:textId="77777777" w:rsidR="000D6051" w:rsidRPr="005B66DE" w:rsidRDefault="000D6051">
      <w:pPr>
        <w:rPr>
          <w:rFonts w:eastAsiaTheme="majorEastAsia" w:cs="Times New Roman"/>
          <w:b/>
          <w:color w:val="5B9BD5" w:themeColor="accent1"/>
          <w:kern w:val="3"/>
          <w:szCs w:val="24"/>
        </w:rPr>
      </w:pPr>
    </w:p>
    <w:p w14:paraId="64018013" w14:textId="77777777" w:rsidR="000D6051" w:rsidRPr="005B66DE" w:rsidRDefault="000D6051">
      <w:pPr>
        <w:rPr>
          <w:rFonts w:eastAsiaTheme="majorEastAsia" w:cs="Times New Roman"/>
          <w:b/>
          <w:color w:val="5B9BD5" w:themeColor="accent1"/>
          <w:kern w:val="3"/>
          <w:szCs w:val="24"/>
        </w:rPr>
      </w:pPr>
    </w:p>
    <w:p w14:paraId="289B4853" w14:textId="77777777" w:rsidR="000D6051" w:rsidRPr="005B66DE" w:rsidRDefault="000D6051">
      <w:pPr>
        <w:rPr>
          <w:rFonts w:eastAsiaTheme="majorEastAsia" w:cs="Times New Roman"/>
          <w:b/>
          <w:color w:val="5B9BD5" w:themeColor="accent1"/>
          <w:kern w:val="3"/>
          <w:szCs w:val="24"/>
        </w:rPr>
      </w:pPr>
    </w:p>
    <w:p w14:paraId="68324F73" w14:textId="77777777" w:rsidR="000D6051" w:rsidRPr="005B66DE" w:rsidRDefault="000D6051">
      <w:pPr>
        <w:rPr>
          <w:rFonts w:eastAsiaTheme="majorEastAsia" w:cs="Times New Roman"/>
          <w:b/>
          <w:color w:val="5B9BD5" w:themeColor="accent1"/>
          <w:kern w:val="3"/>
          <w:szCs w:val="24"/>
        </w:rPr>
      </w:pPr>
    </w:p>
    <w:p w14:paraId="6D1ECA90" w14:textId="77777777" w:rsidR="000D6051" w:rsidRPr="005B66DE" w:rsidRDefault="000D6051">
      <w:pPr>
        <w:rPr>
          <w:rFonts w:eastAsiaTheme="majorEastAsia" w:cs="Times New Roman"/>
          <w:b/>
          <w:color w:val="5B9BD5" w:themeColor="accent1"/>
          <w:kern w:val="3"/>
          <w:szCs w:val="24"/>
        </w:rPr>
      </w:pPr>
    </w:p>
    <w:p w14:paraId="514DE3B5" w14:textId="77777777" w:rsidR="000D6051" w:rsidRPr="005B66DE" w:rsidRDefault="000D6051">
      <w:pPr>
        <w:rPr>
          <w:rFonts w:eastAsiaTheme="majorEastAsia" w:cs="Times New Roman"/>
          <w:b/>
          <w:color w:val="5B9BD5" w:themeColor="accent1"/>
          <w:kern w:val="3"/>
          <w:szCs w:val="24"/>
        </w:rPr>
      </w:pPr>
    </w:p>
    <w:p w14:paraId="34257816" w14:textId="77777777" w:rsidR="000D6051" w:rsidRPr="005B66DE" w:rsidRDefault="000D6051">
      <w:pPr>
        <w:rPr>
          <w:rFonts w:eastAsiaTheme="majorEastAsia" w:cs="Times New Roman"/>
          <w:b/>
          <w:color w:val="5B9BD5" w:themeColor="accent1"/>
          <w:kern w:val="3"/>
          <w:szCs w:val="24"/>
        </w:rPr>
      </w:pPr>
    </w:p>
    <w:p w14:paraId="1C7CBBF6" w14:textId="77777777" w:rsidR="000D6051" w:rsidRPr="005B66DE" w:rsidRDefault="000D6051">
      <w:pPr>
        <w:rPr>
          <w:rFonts w:eastAsiaTheme="majorEastAsia" w:cs="Times New Roman"/>
          <w:b/>
          <w:color w:val="5B9BD5" w:themeColor="accent1"/>
          <w:kern w:val="3"/>
          <w:szCs w:val="24"/>
        </w:rPr>
      </w:pPr>
    </w:p>
    <w:p w14:paraId="78438948" w14:textId="77777777" w:rsidR="000D6051" w:rsidRPr="005B66DE" w:rsidRDefault="000D6051">
      <w:pPr>
        <w:rPr>
          <w:rFonts w:eastAsiaTheme="majorEastAsia" w:cs="Times New Roman"/>
          <w:b/>
          <w:color w:val="5B9BD5" w:themeColor="accent1"/>
          <w:kern w:val="3"/>
          <w:szCs w:val="24"/>
        </w:rPr>
      </w:pPr>
    </w:p>
    <w:p w14:paraId="51F682D8" w14:textId="77777777" w:rsidR="000D6051" w:rsidRPr="005B66DE" w:rsidRDefault="000D6051">
      <w:pPr>
        <w:rPr>
          <w:rFonts w:eastAsiaTheme="majorEastAsia" w:cs="Times New Roman"/>
          <w:b/>
          <w:color w:val="5B9BD5" w:themeColor="accent1"/>
          <w:kern w:val="3"/>
          <w:szCs w:val="24"/>
        </w:rPr>
      </w:pPr>
    </w:p>
    <w:p w14:paraId="790683B0" w14:textId="77777777" w:rsidR="000D6051" w:rsidRPr="005B66DE" w:rsidRDefault="000D6051">
      <w:pPr>
        <w:rPr>
          <w:rFonts w:eastAsiaTheme="majorEastAsia" w:cs="Times New Roman"/>
          <w:b/>
          <w:color w:val="5B9BD5" w:themeColor="accent1"/>
          <w:kern w:val="3"/>
          <w:szCs w:val="24"/>
        </w:rPr>
      </w:pPr>
    </w:p>
    <w:p w14:paraId="09F6F45F" w14:textId="77777777" w:rsidR="000D6051" w:rsidRPr="005B66DE" w:rsidRDefault="000D6051">
      <w:pPr>
        <w:rPr>
          <w:rFonts w:eastAsiaTheme="majorEastAsia" w:cs="Times New Roman"/>
          <w:b/>
          <w:color w:val="5B9BD5" w:themeColor="accent1"/>
          <w:kern w:val="3"/>
          <w:szCs w:val="24"/>
        </w:rPr>
      </w:pPr>
    </w:p>
    <w:p w14:paraId="620996AF" w14:textId="77777777" w:rsidR="000D6051" w:rsidRPr="005B66DE" w:rsidRDefault="000D6051">
      <w:pPr>
        <w:rPr>
          <w:rFonts w:eastAsiaTheme="majorEastAsia" w:cs="Times New Roman"/>
          <w:b/>
          <w:color w:val="5B9BD5" w:themeColor="accent1"/>
          <w:kern w:val="3"/>
          <w:szCs w:val="24"/>
        </w:rPr>
      </w:pPr>
    </w:p>
    <w:p w14:paraId="24E69DEE" w14:textId="77777777" w:rsidR="000D6051" w:rsidRPr="005B66DE" w:rsidRDefault="000D6051">
      <w:pPr>
        <w:rPr>
          <w:rFonts w:eastAsiaTheme="majorEastAsia" w:cs="Times New Roman"/>
          <w:b/>
          <w:color w:val="5B9BD5" w:themeColor="accent1"/>
          <w:kern w:val="3"/>
          <w:szCs w:val="24"/>
        </w:rPr>
      </w:pPr>
    </w:p>
    <w:p w14:paraId="3E456B95" w14:textId="77777777" w:rsidR="000D6051" w:rsidRPr="005B66DE" w:rsidRDefault="000D6051">
      <w:pPr>
        <w:rPr>
          <w:rFonts w:eastAsiaTheme="majorEastAsia" w:cs="Times New Roman"/>
          <w:b/>
          <w:color w:val="5B9BD5" w:themeColor="accent1"/>
          <w:kern w:val="3"/>
          <w:szCs w:val="24"/>
        </w:rPr>
      </w:pPr>
    </w:p>
    <w:p w14:paraId="083D0ED8" w14:textId="77777777" w:rsidR="000D6051" w:rsidRPr="005B66DE" w:rsidRDefault="000D6051">
      <w:pPr>
        <w:rPr>
          <w:rFonts w:eastAsiaTheme="majorEastAsia" w:cs="Times New Roman"/>
          <w:b/>
          <w:color w:val="5B9BD5" w:themeColor="accent1"/>
          <w:kern w:val="3"/>
          <w:szCs w:val="24"/>
        </w:rPr>
      </w:pPr>
    </w:p>
    <w:p w14:paraId="296F3489" w14:textId="77777777" w:rsidR="000D6051" w:rsidRPr="005B66DE" w:rsidRDefault="000D6051">
      <w:pPr>
        <w:rPr>
          <w:rFonts w:eastAsiaTheme="majorEastAsia" w:cs="Times New Roman"/>
          <w:b/>
          <w:color w:val="5B9BD5" w:themeColor="accent1"/>
          <w:kern w:val="3"/>
          <w:szCs w:val="24"/>
        </w:rPr>
      </w:pPr>
    </w:p>
    <w:p w14:paraId="2A3F2ADC" w14:textId="77777777" w:rsidR="000D6051" w:rsidRPr="005B66DE" w:rsidRDefault="000D6051">
      <w:pPr>
        <w:rPr>
          <w:rFonts w:eastAsiaTheme="majorEastAsia" w:cs="Times New Roman"/>
          <w:b/>
          <w:color w:val="5B9BD5" w:themeColor="accent1"/>
          <w:kern w:val="3"/>
          <w:szCs w:val="24"/>
        </w:rPr>
      </w:pPr>
    </w:p>
    <w:p w14:paraId="545C1183" w14:textId="77777777" w:rsidR="000D6051" w:rsidRPr="005B66DE" w:rsidRDefault="000D6051">
      <w:pPr>
        <w:rPr>
          <w:rFonts w:eastAsiaTheme="majorEastAsia" w:cs="Times New Roman"/>
          <w:b/>
          <w:color w:val="5B9BD5" w:themeColor="accent1"/>
          <w:kern w:val="3"/>
          <w:szCs w:val="24"/>
        </w:rPr>
      </w:pPr>
    </w:p>
    <w:p w14:paraId="6B18B564" w14:textId="77777777" w:rsidR="000D6051" w:rsidRPr="005B66DE" w:rsidRDefault="000D6051">
      <w:pPr>
        <w:rPr>
          <w:rFonts w:eastAsiaTheme="majorEastAsia" w:cs="Times New Roman"/>
          <w:b/>
          <w:color w:val="5B9BD5" w:themeColor="accent1"/>
          <w:kern w:val="3"/>
          <w:szCs w:val="24"/>
        </w:rPr>
      </w:pPr>
    </w:p>
    <w:p w14:paraId="2DF39F43" w14:textId="77777777" w:rsidR="000D6051" w:rsidRPr="005B66DE" w:rsidRDefault="000D6051">
      <w:pPr>
        <w:rPr>
          <w:rFonts w:eastAsiaTheme="majorEastAsia" w:cs="Times New Roman"/>
          <w:b/>
          <w:color w:val="5B9BD5" w:themeColor="accent1"/>
          <w:kern w:val="3"/>
          <w:szCs w:val="24"/>
        </w:rPr>
      </w:pPr>
    </w:p>
    <w:p w14:paraId="76319066" w14:textId="77777777" w:rsidR="000E6F94" w:rsidRDefault="0055262C">
      <w:pPr>
        <w:rPr>
          <w:rFonts w:eastAsiaTheme="majorEastAsia" w:cs="Times New Roman"/>
          <w:b/>
          <w:color w:val="5B9BD5" w:themeColor="accent1"/>
          <w:kern w:val="3"/>
          <w:szCs w:val="24"/>
        </w:rPr>
      </w:pPr>
      <w:r w:rsidRPr="005B66DE">
        <w:rPr>
          <w:rFonts w:eastAsiaTheme="majorEastAsia" w:cs="Times New Roman"/>
          <w:b/>
          <w:color w:val="5B9BD5" w:themeColor="accent1"/>
          <w:kern w:val="3"/>
          <w:szCs w:val="24"/>
        </w:rPr>
        <w:t xml:space="preserve">                                                       </w:t>
      </w:r>
    </w:p>
    <w:p w14:paraId="667D88B2" w14:textId="77777777" w:rsidR="000E6F94" w:rsidRDefault="000E6F94">
      <w:pPr>
        <w:spacing w:after="160"/>
        <w:jc w:val="left"/>
        <w:rPr>
          <w:rFonts w:eastAsiaTheme="majorEastAsia" w:cs="Times New Roman"/>
          <w:b/>
          <w:color w:val="5B9BD5" w:themeColor="accent1"/>
          <w:kern w:val="3"/>
          <w:szCs w:val="24"/>
        </w:rPr>
      </w:pPr>
      <w:r>
        <w:rPr>
          <w:rFonts w:eastAsiaTheme="majorEastAsia" w:cs="Times New Roman"/>
          <w:b/>
          <w:color w:val="5B9BD5" w:themeColor="accent1"/>
          <w:kern w:val="3"/>
          <w:szCs w:val="24"/>
        </w:rPr>
        <w:br w:type="page"/>
      </w:r>
    </w:p>
    <w:p w14:paraId="78F20760" w14:textId="418CF24D" w:rsidR="000D6051" w:rsidRPr="004C62EF" w:rsidRDefault="00E976C8" w:rsidP="000E6F94">
      <w:pPr>
        <w:pStyle w:val="Heading1"/>
        <w:rPr>
          <w:color w:val="0070C0"/>
        </w:rPr>
      </w:pPr>
      <w:bookmarkStart w:id="7" w:name="_Toc62552866"/>
      <w:r w:rsidRPr="004C62EF">
        <w:rPr>
          <w:color w:val="0070C0"/>
        </w:rPr>
        <w:lastRenderedPageBreak/>
        <w:t>ACKNOWLEDGMENT</w:t>
      </w:r>
      <w:r w:rsidR="00A664BE" w:rsidRPr="004C62EF">
        <w:rPr>
          <w:color w:val="0070C0"/>
        </w:rPr>
        <w:t>S</w:t>
      </w:r>
      <w:bookmarkEnd w:id="7"/>
    </w:p>
    <w:p w14:paraId="7811F199" w14:textId="77777777" w:rsidR="0055262C" w:rsidRPr="005B66DE" w:rsidRDefault="0055262C" w:rsidP="000E6F94">
      <w:pPr>
        <w:spacing w:line="360" w:lineRule="auto"/>
        <w:rPr>
          <w:rFonts w:eastAsiaTheme="majorEastAsia" w:cs="Times New Roman"/>
          <w:kern w:val="3"/>
          <w:szCs w:val="24"/>
        </w:rPr>
      </w:pPr>
      <w:r w:rsidRPr="005B66DE">
        <w:rPr>
          <w:rFonts w:eastAsiaTheme="majorEastAsia" w:cs="Times New Roman"/>
          <w:kern w:val="3"/>
          <w:szCs w:val="24"/>
        </w:rPr>
        <w:t>I take this opportunity to express my sincere gratitude to the Almighty God for b</w:t>
      </w:r>
      <w:r w:rsidR="00E976C8">
        <w:rPr>
          <w:rFonts w:eastAsiaTheme="majorEastAsia" w:cs="Times New Roman"/>
          <w:kern w:val="3"/>
          <w:szCs w:val="24"/>
        </w:rPr>
        <w:t xml:space="preserve">lessing me with the knowledge, wisdom, strength and </w:t>
      </w:r>
      <w:r w:rsidRPr="005B66DE">
        <w:rPr>
          <w:rFonts w:eastAsiaTheme="majorEastAsia" w:cs="Times New Roman"/>
          <w:kern w:val="3"/>
          <w:szCs w:val="24"/>
        </w:rPr>
        <w:t xml:space="preserve">opportunity to complete this </w:t>
      </w:r>
      <w:r w:rsidR="00E976C8">
        <w:rPr>
          <w:rFonts w:eastAsiaTheme="majorEastAsia" w:cs="Times New Roman"/>
          <w:kern w:val="3"/>
          <w:szCs w:val="24"/>
        </w:rPr>
        <w:t xml:space="preserve">dissertation. </w:t>
      </w:r>
      <w:r w:rsidRPr="005B66DE">
        <w:rPr>
          <w:rFonts w:eastAsiaTheme="majorEastAsia" w:cs="Times New Roman"/>
          <w:kern w:val="3"/>
          <w:szCs w:val="24"/>
        </w:rPr>
        <w:t xml:space="preserve">Special thanks </w:t>
      </w:r>
      <w:r w:rsidR="00E976C8">
        <w:rPr>
          <w:rFonts w:eastAsiaTheme="majorEastAsia" w:cs="Times New Roman"/>
          <w:kern w:val="3"/>
          <w:szCs w:val="24"/>
        </w:rPr>
        <w:t xml:space="preserve">to my supervisor, Mr. Marvin </w:t>
      </w:r>
      <w:proofErr w:type="spellStart"/>
      <w:r w:rsidR="00E976C8">
        <w:rPr>
          <w:rFonts w:eastAsiaTheme="majorEastAsia" w:cs="Times New Roman"/>
          <w:kern w:val="3"/>
          <w:szCs w:val="24"/>
        </w:rPr>
        <w:t>Oliech</w:t>
      </w:r>
      <w:proofErr w:type="spellEnd"/>
      <w:r w:rsidR="00E976C8">
        <w:rPr>
          <w:rFonts w:eastAsiaTheme="majorEastAsia" w:cs="Times New Roman"/>
          <w:kern w:val="3"/>
          <w:szCs w:val="24"/>
        </w:rPr>
        <w:t xml:space="preserve">, </w:t>
      </w:r>
      <w:r w:rsidRPr="005B66DE">
        <w:rPr>
          <w:rFonts w:eastAsiaTheme="majorEastAsia" w:cs="Times New Roman"/>
          <w:kern w:val="3"/>
          <w:szCs w:val="24"/>
        </w:rPr>
        <w:t xml:space="preserve">for his guidance and patience to push me through this </w:t>
      </w:r>
      <w:r w:rsidR="00E976C8">
        <w:rPr>
          <w:rFonts w:eastAsiaTheme="majorEastAsia" w:cs="Times New Roman"/>
          <w:kern w:val="3"/>
          <w:szCs w:val="24"/>
        </w:rPr>
        <w:t xml:space="preserve">hurdle. I would also like to acknowledge my commitment and resilience to the complete </w:t>
      </w:r>
      <w:r w:rsidRPr="005B66DE">
        <w:rPr>
          <w:rFonts w:eastAsiaTheme="majorEastAsia" w:cs="Times New Roman"/>
          <w:kern w:val="3"/>
          <w:szCs w:val="24"/>
        </w:rPr>
        <w:t>this project.</w:t>
      </w:r>
    </w:p>
    <w:p w14:paraId="636E6102" w14:textId="77777777" w:rsidR="000D6051" w:rsidRPr="005B66DE" w:rsidRDefault="000D6051">
      <w:pPr>
        <w:rPr>
          <w:rFonts w:eastAsiaTheme="majorEastAsia" w:cs="Times New Roman"/>
          <w:b/>
          <w:color w:val="5B9BD5" w:themeColor="accent1"/>
          <w:kern w:val="3"/>
          <w:szCs w:val="24"/>
        </w:rPr>
      </w:pPr>
    </w:p>
    <w:p w14:paraId="1C8C6F42" w14:textId="77777777" w:rsidR="000B65FE" w:rsidRPr="005B66DE" w:rsidRDefault="000B65FE">
      <w:pPr>
        <w:rPr>
          <w:rFonts w:eastAsiaTheme="majorEastAsia" w:cs="Times New Roman"/>
          <w:b/>
          <w:color w:val="5B9BD5" w:themeColor="accent1"/>
          <w:kern w:val="3"/>
          <w:szCs w:val="24"/>
        </w:rPr>
      </w:pPr>
    </w:p>
    <w:p w14:paraId="5294EF2C" w14:textId="77777777" w:rsidR="000B65FE" w:rsidRPr="005B66DE" w:rsidRDefault="000B65FE">
      <w:pPr>
        <w:rPr>
          <w:rFonts w:eastAsiaTheme="majorEastAsia" w:cs="Times New Roman"/>
          <w:b/>
          <w:color w:val="5B9BD5" w:themeColor="accent1"/>
          <w:kern w:val="3"/>
          <w:szCs w:val="24"/>
        </w:rPr>
      </w:pPr>
    </w:p>
    <w:p w14:paraId="36A84DAA" w14:textId="77777777" w:rsidR="000B65FE" w:rsidRPr="005B66DE" w:rsidRDefault="000B65FE">
      <w:pPr>
        <w:rPr>
          <w:rFonts w:eastAsiaTheme="majorEastAsia" w:cs="Times New Roman"/>
          <w:b/>
          <w:color w:val="5B9BD5" w:themeColor="accent1"/>
          <w:kern w:val="3"/>
          <w:szCs w:val="24"/>
        </w:rPr>
      </w:pPr>
    </w:p>
    <w:p w14:paraId="71B85510" w14:textId="77777777" w:rsidR="000B65FE" w:rsidRPr="005B66DE" w:rsidRDefault="000B65FE">
      <w:pPr>
        <w:rPr>
          <w:rFonts w:eastAsiaTheme="majorEastAsia" w:cs="Times New Roman"/>
          <w:b/>
          <w:color w:val="5B9BD5" w:themeColor="accent1"/>
          <w:kern w:val="3"/>
          <w:szCs w:val="24"/>
        </w:rPr>
      </w:pPr>
    </w:p>
    <w:p w14:paraId="47A42CA4" w14:textId="77777777" w:rsidR="000B65FE" w:rsidRPr="005B66DE" w:rsidRDefault="000B65FE">
      <w:pPr>
        <w:rPr>
          <w:rFonts w:eastAsiaTheme="majorEastAsia" w:cs="Times New Roman"/>
          <w:b/>
          <w:color w:val="5B9BD5" w:themeColor="accent1"/>
          <w:kern w:val="3"/>
          <w:szCs w:val="24"/>
        </w:rPr>
      </w:pPr>
    </w:p>
    <w:p w14:paraId="005163BA" w14:textId="77777777" w:rsidR="000B65FE" w:rsidRPr="005B66DE" w:rsidRDefault="000B65FE">
      <w:pPr>
        <w:rPr>
          <w:rFonts w:eastAsiaTheme="majorEastAsia" w:cs="Times New Roman"/>
          <w:b/>
          <w:color w:val="5B9BD5" w:themeColor="accent1"/>
          <w:kern w:val="3"/>
          <w:szCs w:val="24"/>
        </w:rPr>
      </w:pPr>
    </w:p>
    <w:p w14:paraId="4D6B895F" w14:textId="77777777" w:rsidR="000B65FE" w:rsidRPr="005B66DE" w:rsidRDefault="000B65FE">
      <w:pPr>
        <w:rPr>
          <w:rFonts w:eastAsiaTheme="majorEastAsia" w:cs="Times New Roman"/>
          <w:b/>
          <w:color w:val="5B9BD5" w:themeColor="accent1"/>
          <w:kern w:val="3"/>
          <w:szCs w:val="24"/>
        </w:rPr>
      </w:pPr>
    </w:p>
    <w:p w14:paraId="3181E133" w14:textId="77777777" w:rsidR="000B65FE" w:rsidRPr="005B66DE" w:rsidRDefault="000B65FE">
      <w:pPr>
        <w:rPr>
          <w:rFonts w:eastAsiaTheme="majorEastAsia" w:cs="Times New Roman"/>
          <w:b/>
          <w:color w:val="5B9BD5" w:themeColor="accent1"/>
          <w:kern w:val="3"/>
          <w:szCs w:val="24"/>
        </w:rPr>
      </w:pPr>
    </w:p>
    <w:p w14:paraId="5EA921AA" w14:textId="77777777" w:rsidR="000B65FE" w:rsidRPr="005B66DE" w:rsidRDefault="000B65FE">
      <w:pPr>
        <w:rPr>
          <w:rFonts w:eastAsiaTheme="majorEastAsia" w:cs="Times New Roman"/>
          <w:b/>
          <w:color w:val="5B9BD5" w:themeColor="accent1"/>
          <w:kern w:val="3"/>
          <w:szCs w:val="24"/>
        </w:rPr>
      </w:pPr>
    </w:p>
    <w:p w14:paraId="197D632F" w14:textId="77777777" w:rsidR="000B65FE" w:rsidRPr="005B66DE" w:rsidRDefault="000B65FE">
      <w:pPr>
        <w:rPr>
          <w:rFonts w:eastAsiaTheme="majorEastAsia" w:cs="Times New Roman"/>
          <w:b/>
          <w:color w:val="5B9BD5" w:themeColor="accent1"/>
          <w:kern w:val="3"/>
          <w:szCs w:val="24"/>
        </w:rPr>
      </w:pPr>
    </w:p>
    <w:p w14:paraId="7A52AF2E" w14:textId="77777777" w:rsidR="000B65FE" w:rsidRPr="005B66DE" w:rsidRDefault="000B65FE">
      <w:pPr>
        <w:rPr>
          <w:rFonts w:eastAsiaTheme="majorEastAsia" w:cs="Times New Roman"/>
          <w:b/>
          <w:color w:val="5B9BD5" w:themeColor="accent1"/>
          <w:kern w:val="3"/>
          <w:szCs w:val="24"/>
        </w:rPr>
      </w:pPr>
    </w:p>
    <w:p w14:paraId="51175EE3" w14:textId="77777777" w:rsidR="000B65FE" w:rsidRPr="005B66DE" w:rsidRDefault="000B65FE">
      <w:pPr>
        <w:rPr>
          <w:rFonts w:eastAsiaTheme="majorEastAsia" w:cs="Times New Roman"/>
          <w:b/>
          <w:color w:val="5B9BD5" w:themeColor="accent1"/>
          <w:kern w:val="3"/>
          <w:szCs w:val="24"/>
        </w:rPr>
      </w:pPr>
    </w:p>
    <w:p w14:paraId="08A008F4" w14:textId="77777777" w:rsidR="000B65FE" w:rsidRPr="005B66DE" w:rsidRDefault="000B65FE">
      <w:pPr>
        <w:rPr>
          <w:rFonts w:eastAsiaTheme="majorEastAsia" w:cs="Times New Roman"/>
          <w:b/>
          <w:color w:val="5B9BD5" w:themeColor="accent1"/>
          <w:kern w:val="3"/>
          <w:szCs w:val="24"/>
        </w:rPr>
      </w:pPr>
    </w:p>
    <w:p w14:paraId="7E842DFC" w14:textId="77777777" w:rsidR="000B65FE" w:rsidRPr="005B66DE" w:rsidRDefault="000B65FE">
      <w:pPr>
        <w:rPr>
          <w:rFonts w:eastAsiaTheme="majorEastAsia" w:cs="Times New Roman"/>
          <w:b/>
          <w:color w:val="5B9BD5" w:themeColor="accent1"/>
          <w:kern w:val="3"/>
          <w:szCs w:val="24"/>
        </w:rPr>
      </w:pPr>
    </w:p>
    <w:p w14:paraId="2FE52957" w14:textId="77777777" w:rsidR="000B65FE" w:rsidRPr="005B66DE" w:rsidRDefault="000B65FE">
      <w:pPr>
        <w:rPr>
          <w:rFonts w:eastAsiaTheme="majorEastAsia" w:cs="Times New Roman"/>
          <w:b/>
          <w:color w:val="5B9BD5" w:themeColor="accent1"/>
          <w:kern w:val="3"/>
          <w:szCs w:val="24"/>
        </w:rPr>
      </w:pPr>
    </w:p>
    <w:p w14:paraId="056FADC6" w14:textId="77777777" w:rsidR="000B65FE" w:rsidRPr="005B66DE" w:rsidRDefault="000B65FE">
      <w:pPr>
        <w:rPr>
          <w:rFonts w:eastAsiaTheme="majorEastAsia" w:cs="Times New Roman"/>
          <w:b/>
          <w:color w:val="5B9BD5" w:themeColor="accent1"/>
          <w:kern w:val="3"/>
          <w:szCs w:val="24"/>
        </w:rPr>
      </w:pPr>
    </w:p>
    <w:p w14:paraId="286A3D21" w14:textId="77777777" w:rsidR="000B65FE" w:rsidRPr="005B66DE" w:rsidRDefault="000B65FE">
      <w:pPr>
        <w:rPr>
          <w:rFonts w:eastAsiaTheme="majorEastAsia" w:cs="Times New Roman"/>
          <w:b/>
          <w:color w:val="5B9BD5" w:themeColor="accent1"/>
          <w:kern w:val="3"/>
          <w:szCs w:val="24"/>
        </w:rPr>
      </w:pPr>
    </w:p>
    <w:p w14:paraId="0EB7D74F" w14:textId="77777777" w:rsidR="000B65FE" w:rsidRPr="005B66DE" w:rsidRDefault="000B65FE">
      <w:pPr>
        <w:rPr>
          <w:rFonts w:eastAsiaTheme="majorEastAsia" w:cs="Times New Roman"/>
          <w:b/>
          <w:color w:val="5B9BD5" w:themeColor="accent1"/>
          <w:kern w:val="3"/>
          <w:szCs w:val="24"/>
        </w:rPr>
      </w:pPr>
    </w:p>
    <w:p w14:paraId="3DCBADA4" w14:textId="77777777" w:rsidR="000B65FE" w:rsidRPr="005B66DE" w:rsidRDefault="000B65FE">
      <w:pPr>
        <w:rPr>
          <w:rFonts w:eastAsiaTheme="majorEastAsia" w:cs="Times New Roman"/>
          <w:b/>
          <w:color w:val="5B9BD5" w:themeColor="accent1"/>
          <w:kern w:val="3"/>
          <w:szCs w:val="24"/>
        </w:rPr>
      </w:pPr>
    </w:p>
    <w:p w14:paraId="49D15268" w14:textId="77777777" w:rsidR="000B65FE" w:rsidRPr="005B66DE" w:rsidRDefault="000B65FE">
      <w:pPr>
        <w:rPr>
          <w:rFonts w:eastAsiaTheme="majorEastAsia" w:cs="Times New Roman"/>
          <w:b/>
          <w:color w:val="5B9BD5" w:themeColor="accent1"/>
          <w:kern w:val="3"/>
          <w:szCs w:val="24"/>
        </w:rPr>
      </w:pPr>
    </w:p>
    <w:p w14:paraId="7E5333D9" w14:textId="77777777" w:rsidR="000B65FE" w:rsidRPr="005B66DE" w:rsidRDefault="000B65FE">
      <w:pPr>
        <w:rPr>
          <w:rFonts w:eastAsiaTheme="majorEastAsia" w:cs="Times New Roman"/>
          <w:b/>
          <w:color w:val="5B9BD5" w:themeColor="accent1"/>
          <w:kern w:val="3"/>
          <w:szCs w:val="24"/>
        </w:rPr>
      </w:pPr>
    </w:p>
    <w:p w14:paraId="58F90464" w14:textId="77777777" w:rsidR="000B65FE" w:rsidRPr="005B66DE" w:rsidRDefault="000B65FE">
      <w:pPr>
        <w:rPr>
          <w:rFonts w:eastAsiaTheme="majorEastAsia" w:cs="Times New Roman"/>
          <w:b/>
          <w:color w:val="5B9BD5" w:themeColor="accent1"/>
          <w:kern w:val="3"/>
          <w:szCs w:val="24"/>
        </w:rPr>
      </w:pPr>
    </w:p>
    <w:p w14:paraId="642A5435" w14:textId="77777777" w:rsidR="00E976C8" w:rsidRDefault="000B65FE">
      <w:pPr>
        <w:rPr>
          <w:rFonts w:eastAsiaTheme="majorEastAsia" w:cs="Times New Roman"/>
          <w:b/>
          <w:color w:val="5B9BD5" w:themeColor="accent1"/>
          <w:kern w:val="3"/>
          <w:szCs w:val="24"/>
        </w:rPr>
      </w:pPr>
      <w:r w:rsidRPr="005B66DE">
        <w:rPr>
          <w:rFonts w:eastAsiaTheme="majorEastAsia" w:cs="Times New Roman"/>
          <w:b/>
          <w:color w:val="5B9BD5" w:themeColor="accent1"/>
          <w:kern w:val="3"/>
          <w:szCs w:val="24"/>
        </w:rPr>
        <w:t xml:space="preserve">                                                             </w:t>
      </w:r>
    </w:p>
    <w:p w14:paraId="46ED53F7" w14:textId="77777777" w:rsidR="00E976C8" w:rsidRDefault="00E976C8">
      <w:pPr>
        <w:spacing w:after="160"/>
        <w:jc w:val="left"/>
        <w:rPr>
          <w:rFonts w:eastAsiaTheme="majorEastAsia" w:cs="Times New Roman"/>
          <w:b/>
          <w:color w:val="5B9BD5" w:themeColor="accent1"/>
          <w:kern w:val="3"/>
          <w:szCs w:val="24"/>
        </w:rPr>
      </w:pPr>
      <w:r>
        <w:rPr>
          <w:rFonts w:eastAsiaTheme="majorEastAsia" w:cs="Times New Roman"/>
          <w:b/>
          <w:color w:val="5B9BD5" w:themeColor="accent1"/>
          <w:kern w:val="3"/>
          <w:szCs w:val="24"/>
        </w:rPr>
        <w:br w:type="page"/>
      </w:r>
    </w:p>
    <w:p w14:paraId="19BAF4FD" w14:textId="1D439987" w:rsidR="000B65FE" w:rsidRPr="004C62EF" w:rsidRDefault="000B65FE" w:rsidP="00E976C8">
      <w:pPr>
        <w:pStyle w:val="Heading1"/>
        <w:rPr>
          <w:color w:val="0070C0"/>
        </w:rPr>
      </w:pPr>
      <w:bookmarkStart w:id="8" w:name="_Toc62552867"/>
      <w:r w:rsidRPr="004C62EF">
        <w:rPr>
          <w:color w:val="0070C0"/>
        </w:rPr>
        <w:lastRenderedPageBreak/>
        <w:t>ABSTRACT</w:t>
      </w:r>
      <w:bookmarkEnd w:id="8"/>
    </w:p>
    <w:p w14:paraId="290232D8" w14:textId="72FC5DE4" w:rsidR="0001555D" w:rsidRPr="004A5F49" w:rsidRDefault="0077123F" w:rsidP="00E976C8">
      <w:pPr>
        <w:spacing w:line="360" w:lineRule="auto"/>
        <w:rPr>
          <w:rFonts w:cs="Times New Roman"/>
          <w:szCs w:val="24"/>
        </w:rPr>
      </w:pPr>
      <w:r w:rsidRPr="004A5F49">
        <w:rPr>
          <w:rFonts w:cs="Times New Roman"/>
          <w:szCs w:val="24"/>
        </w:rPr>
        <w:t xml:space="preserve">Kenya’s banking industry has witnessed a surge in mergers </w:t>
      </w:r>
      <w:r w:rsidR="003670D5" w:rsidRPr="004A5F49">
        <w:rPr>
          <w:rFonts w:cs="Times New Roman"/>
          <w:szCs w:val="24"/>
        </w:rPr>
        <w:t xml:space="preserve">over the past decade </w:t>
      </w:r>
      <w:r w:rsidRPr="004A5F49">
        <w:rPr>
          <w:rFonts w:cs="Times New Roman"/>
          <w:szCs w:val="24"/>
        </w:rPr>
        <w:t xml:space="preserve">as globalization </w:t>
      </w:r>
      <w:r w:rsidR="0001555D" w:rsidRPr="004A5F49">
        <w:rPr>
          <w:rFonts w:cs="Times New Roman"/>
          <w:szCs w:val="24"/>
        </w:rPr>
        <w:t>continues to soar</w:t>
      </w:r>
      <w:r w:rsidRPr="004A5F49">
        <w:rPr>
          <w:rFonts w:cs="Times New Roman"/>
          <w:szCs w:val="24"/>
        </w:rPr>
        <w:t>. Th</w:t>
      </w:r>
      <w:r w:rsidR="00F46712" w:rsidRPr="004A5F49">
        <w:rPr>
          <w:rFonts w:cs="Times New Roman"/>
          <w:szCs w:val="24"/>
        </w:rPr>
        <w:t>e</w:t>
      </w:r>
      <w:r w:rsidRPr="004A5F49">
        <w:rPr>
          <w:rFonts w:cs="Times New Roman"/>
          <w:szCs w:val="24"/>
        </w:rPr>
        <w:t xml:space="preserve"> appetite for growth </w:t>
      </w:r>
      <w:r w:rsidR="003670D5" w:rsidRPr="004A5F49">
        <w:rPr>
          <w:rFonts w:cs="Times New Roman"/>
          <w:szCs w:val="24"/>
        </w:rPr>
        <w:t xml:space="preserve">by </w:t>
      </w:r>
      <w:r w:rsidRPr="004A5F49">
        <w:rPr>
          <w:rFonts w:cs="Times New Roman"/>
          <w:szCs w:val="24"/>
        </w:rPr>
        <w:t>financial institutions</w:t>
      </w:r>
      <w:r w:rsidR="00D902CD" w:rsidRPr="004A5F49">
        <w:rPr>
          <w:rFonts w:cs="Times New Roman"/>
          <w:szCs w:val="24"/>
        </w:rPr>
        <w:t xml:space="preserve"> </w:t>
      </w:r>
      <w:r w:rsidR="0001555D" w:rsidRPr="004A5F49">
        <w:rPr>
          <w:rFonts w:cs="Times New Roman"/>
          <w:szCs w:val="24"/>
        </w:rPr>
        <w:t xml:space="preserve">is expected to rise due to </w:t>
      </w:r>
      <w:r w:rsidR="003670D5" w:rsidRPr="004A5F49">
        <w:rPr>
          <w:rFonts w:cs="Times New Roman"/>
          <w:szCs w:val="24"/>
        </w:rPr>
        <w:t xml:space="preserve">positive trade environment providing wider market access and potential </w:t>
      </w:r>
      <w:r w:rsidR="00D902CD" w:rsidRPr="004A5F49">
        <w:rPr>
          <w:rFonts w:cs="Times New Roman"/>
          <w:szCs w:val="24"/>
        </w:rPr>
        <w:t>revenue</w:t>
      </w:r>
      <w:r w:rsidR="003670D5" w:rsidRPr="004A5F49">
        <w:rPr>
          <w:rFonts w:cs="Times New Roman"/>
          <w:szCs w:val="24"/>
        </w:rPr>
        <w:t xml:space="preserve"> streams. In late 2020 and 2021</w:t>
      </w:r>
      <w:r w:rsidR="00D902CD" w:rsidRPr="004A5F49">
        <w:rPr>
          <w:rFonts w:cs="Times New Roman"/>
          <w:szCs w:val="24"/>
        </w:rPr>
        <w:t xml:space="preserve"> alone, </w:t>
      </w:r>
      <w:r w:rsidRPr="004A5F49">
        <w:rPr>
          <w:rFonts w:cs="Times New Roman"/>
          <w:szCs w:val="24"/>
        </w:rPr>
        <w:t>the African Continental Free Trade Agreemen</w:t>
      </w:r>
      <w:r w:rsidR="003670D5" w:rsidRPr="004A5F49">
        <w:rPr>
          <w:rFonts w:cs="Times New Roman"/>
          <w:szCs w:val="24"/>
        </w:rPr>
        <w:t xml:space="preserve">t </w:t>
      </w:r>
      <w:r w:rsidR="00F46712" w:rsidRPr="004A5F49">
        <w:rPr>
          <w:rFonts w:cs="Times New Roman"/>
          <w:szCs w:val="24"/>
        </w:rPr>
        <w:t xml:space="preserve">was </w:t>
      </w:r>
      <w:r w:rsidR="003670D5" w:rsidRPr="004A5F49">
        <w:rPr>
          <w:rFonts w:cs="Times New Roman"/>
          <w:szCs w:val="24"/>
        </w:rPr>
        <w:t>partly operationalized, Kenya signed a Kenya - UK</w:t>
      </w:r>
      <w:r w:rsidRPr="004A5F49">
        <w:rPr>
          <w:rFonts w:cs="Times New Roman"/>
          <w:szCs w:val="24"/>
        </w:rPr>
        <w:t xml:space="preserve"> </w:t>
      </w:r>
      <w:r w:rsidR="003670D5" w:rsidRPr="004A5F49">
        <w:rPr>
          <w:rFonts w:cs="Times New Roman"/>
          <w:szCs w:val="24"/>
        </w:rPr>
        <w:t>Free Trade Agreement and is ne</w:t>
      </w:r>
      <w:r w:rsidR="00F46712" w:rsidRPr="004A5F49">
        <w:rPr>
          <w:rFonts w:cs="Times New Roman"/>
          <w:szCs w:val="24"/>
        </w:rPr>
        <w:t xml:space="preserve">gotiating a </w:t>
      </w:r>
      <w:r w:rsidR="003670D5" w:rsidRPr="004A5F49">
        <w:rPr>
          <w:rFonts w:cs="Times New Roman"/>
          <w:szCs w:val="24"/>
        </w:rPr>
        <w:t>trade agreement with the USA</w:t>
      </w:r>
      <w:r w:rsidRPr="004A5F49">
        <w:rPr>
          <w:rFonts w:cs="Times New Roman"/>
          <w:szCs w:val="24"/>
        </w:rPr>
        <w:t>.</w:t>
      </w:r>
    </w:p>
    <w:p w14:paraId="5AF41B60" w14:textId="66EE647C" w:rsidR="000B65FE" w:rsidRPr="004A5F49" w:rsidRDefault="00D902CD" w:rsidP="00D902CD">
      <w:pPr>
        <w:spacing w:line="360" w:lineRule="auto"/>
        <w:rPr>
          <w:rFonts w:cs="Times New Roman"/>
          <w:szCs w:val="24"/>
        </w:rPr>
      </w:pPr>
      <w:r w:rsidRPr="004A5F49">
        <w:rPr>
          <w:rFonts w:cs="Times New Roman"/>
          <w:szCs w:val="24"/>
        </w:rPr>
        <w:t xml:space="preserve">As a country’s financial system is the backbone of its economy, it is pertinent to examine the soundness of Kenya’s regulatory system and its role in promoting </w:t>
      </w:r>
      <w:r w:rsidR="0001555D" w:rsidRPr="004A5F49">
        <w:rPr>
          <w:rFonts w:cs="Times New Roman"/>
          <w:szCs w:val="24"/>
        </w:rPr>
        <w:t xml:space="preserve">the </w:t>
      </w:r>
      <w:r w:rsidRPr="004A5F49">
        <w:rPr>
          <w:rFonts w:cs="Times New Roman"/>
          <w:szCs w:val="24"/>
        </w:rPr>
        <w:t xml:space="preserve">growth of systematically important banks </w:t>
      </w:r>
      <w:r w:rsidR="0001555D" w:rsidRPr="004A5F49">
        <w:rPr>
          <w:rFonts w:cs="Times New Roman"/>
          <w:szCs w:val="24"/>
        </w:rPr>
        <w:t xml:space="preserve">that have the </w:t>
      </w:r>
      <w:r w:rsidRPr="004A5F49">
        <w:rPr>
          <w:rFonts w:cs="Times New Roman"/>
          <w:szCs w:val="24"/>
        </w:rPr>
        <w:t>potential of ‘tanking’ the entire economy</w:t>
      </w:r>
      <w:r w:rsidR="0001555D" w:rsidRPr="004A5F49">
        <w:rPr>
          <w:rFonts w:cs="Times New Roman"/>
          <w:szCs w:val="24"/>
        </w:rPr>
        <w:t>, should they fails, as witnessed</w:t>
      </w:r>
      <w:r w:rsidR="00F46712" w:rsidRPr="004A5F49">
        <w:rPr>
          <w:rFonts w:cs="Times New Roman"/>
          <w:szCs w:val="24"/>
        </w:rPr>
        <w:t xml:space="preserve"> in the 2008 financial crisis</w:t>
      </w:r>
      <w:r w:rsidRPr="004A5F49">
        <w:rPr>
          <w:rFonts w:cs="Times New Roman"/>
          <w:szCs w:val="24"/>
        </w:rPr>
        <w:t xml:space="preserve">; this will form the subject matter of this research. </w:t>
      </w:r>
      <w:r w:rsidR="00055223" w:rsidRPr="004A5F49">
        <w:rPr>
          <w:rFonts w:cs="Times New Roman"/>
          <w:szCs w:val="24"/>
        </w:rPr>
        <w:t>The study examines the effectiveness of the Kenyan regulatory framework</w:t>
      </w:r>
      <w:r w:rsidR="002D41E5" w:rsidRPr="004A5F49">
        <w:rPr>
          <w:rFonts w:cs="Times New Roman"/>
          <w:szCs w:val="24"/>
        </w:rPr>
        <w:t xml:space="preserve"> in</w:t>
      </w:r>
      <w:r w:rsidR="00055223" w:rsidRPr="004A5F49">
        <w:rPr>
          <w:rFonts w:cs="Times New Roman"/>
          <w:szCs w:val="24"/>
        </w:rPr>
        <w:t xml:space="preserve"> creating a sound environment to protect the financial system against </w:t>
      </w:r>
      <w:r w:rsidR="002D41E5" w:rsidRPr="004A5F49">
        <w:rPr>
          <w:rFonts w:cs="Times New Roman"/>
          <w:szCs w:val="24"/>
        </w:rPr>
        <w:t xml:space="preserve">the dangers of </w:t>
      </w:r>
      <w:r w:rsidR="00055223" w:rsidRPr="004A5F49">
        <w:rPr>
          <w:rFonts w:cs="Times New Roman"/>
          <w:szCs w:val="24"/>
        </w:rPr>
        <w:t xml:space="preserve">systematically important banks. The study also aims to assess the impacts of TBTF banking institutions on an economy and assess the challenges regulators face with regards to protecting the interests of the nation against the effects of these banks failure. </w:t>
      </w:r>
      <w:r w:rsidRPr="004A5F49">
        <w:rPr>
          <w:rFonts w:cs="Times New Roman"/>
          <w:szCs w:val="24"/>
        </w:rPr>
        <w:t xml:space="preserve">Additionally, this paper will explore the available </w:t>
      </w:r>
      <w:r w:rsidR="002D41E5" w:rsidRPr="004A5F49">
        <w:rPr>
          <w:rFonts w:cs="Times New Roman"/>
          <w:szCs w:val="24"/>
        </w:rPr>
        <w:t>measures</w:t>
      </w:r>
      <w:r w:rsidRPr="004A5F49">
        <w:rPr>
          <w:rFonts w:cs="Times New Roman"/>
          <w:szCs w:val="24"/>
        </w:rPr>
        <w:t xml:space="preserve"> in r</w:t>
      </w:r>
      <w:r w:rsidR="00055223" w:rsidRPr="004A5F49">
        <w:rPr>
          <w:rFonts w:cs="Times New Roman"/>
          <w:szCs w:val="24"/>
        </w:rPr>
        <w:t>egulating Too-Big-To-Fail banks providing recommendations based on research findings</w:t>
      </w:r>
      <w:r w:rsidR="002D41E5" w:rsidRPr="004A5F49">
        <w:rPr>
          <w:rFonts w:cs="Times New Roman"/>
          <w:szCs w:val="24"/>
        </w:rPr>
        <w:t>.</w:t>
      </w:r>
      <w:r w:rsidR="004B4D72" w:rsidRPr="004A5F49">
        <w:rPr>
          <w:rFonts w:cs="Times New Roman"/>
          <w:szCs w:val="24"/>
        </w:rPr>
        <w:t xml:space="preserve"> This research also encompasses a study that aspires to identify what leads to bank mergers. The research </w:t>
      </w:r>
      <w:r w:rsidR="007321EF" w:rsidRPr="004A5F49">
        <w:rPr>
          <w:rFonts w:cs="Times New Roman"/>
          <w:szCs w:val="24"/>
        </w:rPr>
        <w:t xml:space="preserve">design is </w:t>
      </w:r>
      <w:r w:rsidR="009603F8" w:rsidRPr="004A5F49">
        <w:rPr>
          <w:rFonts w:cs="Times New Roman"/>
          <w:szCs w:val="24"/>
        </w:rPr>
        <w:t xml:space="preserve">purely qualitative and data </w:t>
      </w:r>
      <w:r w:rsidR="007321EF" w:rsidRPr="004A5F49">
        <w:rPr>
          <w:rFonts w:cs="Times New Roman"/>
          <w:szCs w:val="24"/>
        </w:rPr>
        <w:t>was collected on a desk review process from</w:t>
      </w:r>
      <w:r w:rsidR="009603F8" w:rsidRPr="004A5F49">
        <w:rPr>
          <w:rFonts w:cs="Times New Roman"/>
          <w:szCs w:val="24"/>
        </w:rPr>
        <w:t xml:space="preserve"> primary and secondary sources; legislation to</w:t>
      </w:r>
      <w:r w:rsidR="007321EF" w:rsidRPr="004A5F49">
        <w:rPr>
          <w:rFonts w:cs="Times New Roman"/>
          <w:szCs w:val="24"/>
        </w:rPr>
        <w:t xml:space="preserve"> published report, journals, books and internet resources. The study hypothesis was that bank mergers are a cause for the growth of TBTF banks and the Kenyan regulatory framework is not adequate in governing TBTF banking institutions. The research supports the views that bank mergers are a major cause of TBTF banks and that the regulatory framework has failed t</w:t>
      </w:r>
      <w:r w:rsidR="00D17330" w:rsidRPr="004A5F49">
        <w:rPr>
          <w:rFonts w:cs="Times New Roman"/>
          <w:szCs w:val="24"/>
        </w:rPr>
        <w:t xml:space="preserve">o identify this issue whilst monitoring bank mergers. The study recommends </w:t>
      </w:r>
      <w:r w:rsidR="002D41E5" w:rsidRPr="004A5F49">
        <w:rPr>
          <w:rFonts w:cs="Times New Roman"/>
          <w:szCs w:val="24"/>
        </w:rPr>
        <w:t>strict merger regulations, systemic tax and limiting bailouts and the size of the banks aimed towards regulating growth of, and managing TBTF banks.</w:t>
      </w:r>
    </w:p>
    <w:p w14:paraId="61CB1E4B" w14:textId="77777777" w:rsidR="000B65FE" w:rsidRPr="005B66DE" w:rsidRDefault="000B65FE">
      <w:pPr>
        <w:rPr>
          <w:rFonts w:eastAsiaTheme="majorEastAsia" w:cs="Times New Roman"/>
          <w:b/>
          <w:color w:val="5B9BD5" w:themeColor="accent1"/>
          <w:kern w:val="3"/>
          <w:szCs w:val="24"/>
        </w:rPr>
      </w:pPr>
    </w:p>
    <w:p w14:paraId="48561D14" w14:textId="77777777" w:rsidR="00C115DD" w:rsidRPr="005B66DE" w:rsidRDefault="00C115DD">
      <w:pPr>
        <w:rPr>
          <w:rFonts w:eastAsiaTheme="majorEastAsia" w:cs="Times New Roman"/>
          <w:b/>
          <w:color w:val="5B9BD5" w:themeColor="accent1"/>
          <w:kern w:val="3"/>
          <w:szCs w:val="24"/>
        </w:rPr>
      </w:pPr>
    </w:p>
    <w:p w14:paraId="2AA66F72" w14:textId="77777777" w:rsidR="000B65FE" w:rsidRPr="005B66DE" w:rsidRDefault="000B65FE">
      <w:pPr>
        <w:rPr>
          <w:rFonts w:eastAsiaTheme="majorEastAsia" w:cs="Times New Roman"/>
          <w:b/>
          <w:color w:val="5B9BD5" w:themeColor="accent1"/>
          <w:kern w:val="3"/>
          <w:szCs w:val="24"/>
        </w:rPr>
      </w:pPr>
    </w:p>
    <w:p w14:paraId="4E0E2076" w14:textId="77777777" w:rsidR="00E976C8" w:rsidRDefault="00F70FAC">
      <w:pPr>
        <w:rPr>
          <w:rFonts w:eastAsiaTheme="majorEastAsia" w:cs="Times New Roman"/>
          <w:b/>
          <w:color w:val="5B9BD5" w:themeColor="accent1"/>
          <w:kern w:val="3"/>
          <w:szCs w:val="24"/>
        </w:rPr>
      </w:pPr>
      <w:r w:rsidRPr="005B66DE">
        <w:rPr>
          <w:rFonts w:eastAsiaTheme="majorEastAsia" w:cs="Times New Roman"/>
          <w:b/>
          <w:color w:val="5B9BD5" w:themeColor="accent1"/>
          <w:kern w:val="3"/>
          <w:szCs w:val="24"/>
        </w:rPr>
        <w:t xml:space="preserve">                                                   </w:t>
      </w:r>
    </w:p>
    <w:p w14:paraId="0F00239D" w14:textId="77777777" w:rsidR="00E976C8" w:rsidRDefault="00E976C8">
      <w:pPr>
        <w:spacing w:after="160"/>
        <w:jc w:val="left"/>
        <w:rPr>
          <w:rFonts w:eastAsiaTheme="majorEastAsia" w:cs="Times New Roman"/>
          <w:b/>
          <w:color w:val="5B9BD5" w:themeColor="accent1"/>
          <w:kern w:val="3"/>
          <w:szCs w:val="24"/>
        </w:rPr>
      </w:pPr>
      <w:r>
        <w:rPr>
          <w:rFonts w:eastAsiaTheme="majorEastAsia" w:cs="Times New Roman"/>
          <w:b/>
          <w:color w:val="5B9BD5" w:themeColor="accent1"/>
          <w:kern w:val="3"/>
          <w:szCs w:val="24"/>
        </w:rPr>
        <w:br w:type="page"/>
      </w:r>
    </w:p>
    <w:p w14:paraId="13630239" w14:textId="3E047C48" w:rsidR="00E976C8" w:rsidRPr="004C62EF" w:rsidRDefault="00F70FAC" w:rsidP="00E976C8">
      <w:pPr>
        <w:pStyle w:val="Heading1"/>
        <w:rPr>
          <w:color w:val="0070C0"/>
        </w:rPr>
      </w:pPr>
      <w:bookmarkStart w:id="9" w:name="_Toc62552868"/>
      <w:r w:rsidRPr="004C62EF">
        <w:rPr>
          <w:color w:val="0070C0"/>
        </w:rPr>
        <w:lastRenderedPageBreak/>
        <w:t>LIST OF ABBREVIATIONS</w:t>
      </w:r>
      <w:bookmarkEnd w:id="9"/>
    </w:p>
    <w:p w14:paraId="5859036C" w14:textId="77777777" w:rsidR="00E976C8" w:rsidRPr="00E976C8" w:rsidRDefault="00E976C8" w:rsidP="00E976C8"/>
    <w:p w14:paraId="134D093A" w14:textId="064E20A8"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CAK</w:t>
      </w:r>
      <w:r w:rsidRPr="005B66DE">
        <w:rPr>
          <w:rFonts w:eastAsiaTheme="majorEastAsia" w:cs="Times New Roman"/>
          <w:kern w:val="3"/>
          <w:szCs w:val="24"/>
        </w:rPr>
        <w:t xml:space="preserve">                                </w:t>
      </w:r>
      <w:r>
        <w:rPr>
          <w:rFonts w:eastAsiaTheme="majorEastAsia" w:cs="Times New Roman"/>
          <w:kern w:val="3"/>
          <w:szCs w:val="24"/>
        </w:rPr>
        <w:t xml:space="preserve">           Competition Authority of Kenya</w:t>
      </w:r>
    </w:p>
    <w:p w14:paraId="0A77C0ED" w14:textId="7E4B187F"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 xml:space="preserve">CBA </w:t>
      </w:r>
      <w:r w:rsidRPr="005B66DE">
        <w:rPr>
          <w:rFonts w:eastAsiaTheme="majorEastAsia" w:cs="Times New Roman"/>
          <w:kern w:val="3"/>
          <w:szCs w:val="24"/>
        </w:rPr>
        <w:t xml:space="preserve">                               </w:t>
      </w:r>
      <w:r w:rsidR="002B4A45">
        <w:rPr>
          <w:rFonts w:eastAsiaTheme="majorEastAsia" w:cs="Times New Roman"/>
          <w:kern w:val="3"/>
          <w:szCs w:val="24"/>
        </w:rPr>
        <w:t xml:space="preserve">           Commercial</w:t>
      </w:r>
      <w:r>
        <w:rPr>
          <w:rFonts w:eastAsiaTheme="majorEastAsia" w:cs="Times New Roman"/>
          <w:kern w:val="3"/>
          <w:szCs w:val="24"/>
        </w:rPr>
        <w:t xml:space="preserve"> Bank of </w:t>
      </w:r>
      <w:r w:rsidR="002B4A45">
        <w:rPr>
          <w:rFonts w:eastAsiaTheme="majorEastAsia" w:cs="Times New Roman"/>
          <w:kern w:val="3"/>
          <w:szCs w:val="24"/>
        </w:rPr>
        <w:t>Africa</w:t>
      </w:r>
    </w:p>
    <w:p w14:paraId="69E52158" w14:textId="16948D1C" w:rsidR="00E976C8" w:rsidRDefault="00E976C8" w:rsidP="00E976C8">
      <w:pPr>
        <w:spacing w:line="360" w:lineRule="auto"/>
        <w:rPr>
          <w:rFonts w:eastAsiaTheme="majorEastAsia" w:cs="Times New Roman"/>
          <w:kern w:val="3"/>
          <w:szCs w:val="24"/>
        </w:rPr>
      </w:pPr>
      <w:r w:rsidRPr="005B66DE">
        <w:rPr>
          <w:rFonts w:eastAsiaTheme="majorEastAsia" w:cs="Times New Roman"/>
          <w:kern w:val="3"/>
          <w:szCs w:val="24"/>
        </w:rPr>
        <w:t xml:space="preserve">CBK                                </w:t>
      </w:r>
      <w:r>
        <w:rPr>
          <w:rFonts w:eastAsiaTheme="majorEastAsia" w:cs="Times New Roman"/>
          <w:kern w:val="3"/>
          <w:szCs w:val="24"/>
        </w:rPr>
        <w:t xml:space="preserve">           Central Bank </w:t>
      </w:r>
      <w:r w:rsidR="0095286E">
        <w:rPr>
          <w:rFonts w:eastAsiaTheme="majorEastAsia" w:cs="Times New Roman"/>
          <w:kern w:val="3"/>
          <w:szCs w:val="24"/>
        </w:rPr>
        <w:t>of Kenya</w:t>
      </w:r>
    </w:p>
    <w:p w14:paraId="1ADA0D37" w14:textId="630EE24D"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CMA</w:t>
      </w:r>
      <w:r w:rsidRPr="005B66DE">
        <w:rPr>
          <w:rFonts w:eastAsiaTheme="majorEastAsia" w:cs="Times New Roman"/>
          <w:kern w:val="3"/>
          <w:szCs w:val="24"/>
        </w:rPr>
        <w:t xml:space="preserve">                                </w:t>
      </w:r>
      <w:r>
        <w:rPr>
          <w:rFonts w:eastAsiaTheme="majorEastAsia" w:cs="Times New Roman"/>
          <w:kern w:val="3"/>
          <w:szCs w:val="24"/>
        </w:rPr>
        <w:t xml:space="preserve">          Capital Markets Authority</w:t>
      </w:r>
    </w:p>
    <w:p w14:paraId="3071ED65" w14:textId="6BED545A"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COMESA</w:t>
      </w:r>
      <w:r w:rsidRPr="005B66DE">
        <w:rPr>
          <w:rFonts w:eastAsiaTheme="majorEastAsia" w:cs="Times New Roman"/>
          <w:kern w:val="3"/>
          <w:szCs w:val="24"/>
        </w:rPr>
        <w:t xml:space="preserve">                                </w:t>
      </w:r>
      <w:r>
        <w:rPr>
          <w:rFonts w:eastAsiaTheme="majorEastAsia" w:cs="Times New Roman"/>
          <w:kern w:val="3"/>
          <w:szCs w:val="24"/>
        </w:rPr>
        <w:t xml:space="preserve">   Common Market for East and South Africa</w:t>
      </w:r>
    </w:p>
    <w:p w14:paraId="3A39C43B" w14:textId="5E7B16D9"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EAC</w:t>
      </w:r>
      <w:r w:rsidRPr="005B66DE">
        <w:rPr>
          <w:rFonts w:eastAsiaTheme="majorEastAsia" w:cs="Times New Roman"/>
          <w:kern w:val="3"/>
          <w:szCs w:val="24"/>
        </w:rPr>
        <w:t xml:space="preserve">                                </w:t>
      </w:r>
      <w:r>
        <w:rPr>
          <w:rFonts w:eastAsiaTheme="majorEastAsia" w:cs="Times New Roman"/>
          <w:kern w:val="3"/>
          <w:szCs w:val="24"/>
        </w:rPr>
        <w:t xml:space="preserve">           East African Community Central Bank of Kenya</w:t>
      </w:r>
    </w:p>
    <w:p w14:paraId="68F9A7E7" w14:textId="6F718752" w:rsidR="0095286E" w:rsidRDefault="0095286E" w:rsidP="0095286E">
      <w:pPr>
        <w:spacing w:line="360" w:lineRule="auto"/>
        <w:rPr>
          <w:rFonts w:eastAsiaTheme="majorEastAsia" w:cs="Times New Roman"/>
          <w:kern w:val="3"/>
          <w:szCs w:val="24"/>
        </w:rPr>
      </w:pPr>
      <w:r>
        <w:rPr>
          <w:rFonts w:eastAsiaTheme="majorEastAsia" w:cs="Times New Roman"/>
          <w:kern w:val="3"/>
          <w:szCs w:val="24"/>
        </w:rPr>
        <w:t>NCBA</w:t>
      </w:r>
      <w:r w:rsidRPr="005B66DE">
        <w:rPr>
          <w:rFonts w:eastAsiaTheme="majorEastAsia" w:cs="Times New Roman"/>
          <w:kern w:val="3"/>
          <w:szCs w:val="24"/>
        </w:rPr>
        <w:t xml:space="preserve">                                </w:t>
      </w:r>
      <w:r w:rsidR="002B4A45">
        <w:rPr>
          <w:rFonts w:eastAsiaTheme="majorEastAsia" w:cs="Times New Roman"/>
          <w:kern w:val="3"/>
          <w:szCs w:val="24"/>
        </w:rPr>
        <w:t xml:space="preserve">        </w:t>
      </w:r>
      <w:proofErr w:type="spellStart"/>
      <w:r w:rsidR="002B4A45">
        <w:rPr>
          <w:rFonts w:eastAsiaTheme="majorEastAsia" w:cs="Times New Roman"/>
          <w:kern w:val="3"/>
          <w:szCs w:val="24"/>
        </w:rPr>
        <w:t>NCBA</w:t>
      </w:r>
      <w:proofErr w:type="spellEnd"/>
      <w:r w:rsidR="002B4A45">
        <w:rPr>
          <w:rFonts w:eastAsiaTheme="majorEastAsia" w:cs="Times New Roman"/>
          <w:kern w:val="3"/>
          <w:szCs w:val="24"/>
        </w:rPr>
        <w:t xml:space="preserve"> Bank Kenya Plc.</w:t>
      </w:r>
    </w:p>
    <w:p w14:paraId="44B82F41" w14:textId="472BB174" w:rsidR="0095286E" w:rsidRDefault="002B4A45" w:rsidP="0095286E">
      <w:pPr>
        <w:spacing w:line="360" w:lineRule="auto"/>
        <w:rPr>
          <w:rFonts w:eastAsiaTheme="majorEastAsia" w:cs="Times New Roman"/>
          <w:kern w:val="3"/>
          <w:szCs w:val="24"/>
        </w:rPr>
      </w:pPr>
      <w:r>
        <w:rPr>
          <w:rFonts w:eastAsiaTheme="majorEastAsia" w:cs="Times New Roman"/>
          <w:kern w:val="3"/>
          <w:szCs w:val="24"/>
        </w:rPr>
        <w:t>NIC</w:t>
      </w:r>
      <w:r w:rsidR="0095286E" w:rsidRPr="005B66DE">
        <w:rPr>
          <w:rFonts w:eastAsiaTheme="majorEastAsia" w:cs="Times New Roman"/>
          <w:kern w:val="3"/>
          <w:szCs w:val="24"/>
        </w:rPr>
        <w:t xml:space="preserve">                                </w:t>
      </w:r>
      <w:r w:rsidR="0095286E">
        <w:rPr>
          <w:rFonts w:eastAsiaTheme="majorEastAsia" w:cs="Times New Roman"/>
          <w:kern w:val="3"/>
          <w:szCs w:val="24"/>
        </w:rPr>
        <w:t xml:space="preserve">           </w:t>
      </w:r>
      <w:r>
        <w:rPr>
          <w:rFonts w:eastAsiaTheme="majorEastAsia" w:cs="Times New Roman"/>
          <w:kern w:val="3"/>
          <w:szCs w:val="24"/>
        </w:rPr>
        <w:t xml:space="preserve"> National Industrial Credit </w:t>
      </w:r>
    </w:p>
    <w:p w14:paraId="163D2861" w14:textId="77777777" w:rsidR="00E976C8" w:rsidRPr="005B66DE" w:rsidRDefault="00E976C8" w:rsidP="00E976C8">
      <w:pPr>
        <w:spacing w:line="360" w:lineRule="auto"/>
        <w:rPr>
          <w:rFonts w:eastAsiaTheme="majorEastAsia" w:cs="Times New Roman"/>
          <w:kern w:val="3"/>
          <w:szCs w:val="24"/>
        </w:rPr>
      </w:pPr>
      <w:r w:rsidRPr="005B66DE">
        <w:rPr>
          <w:rFonts w:eastAsiaTheme="majorEastAsia" w:cs="Times New Roman"/>
          <w:kern w:val="3"/>
          <w:szCs w:val="24"/>
        </w:rPr>
        <w:t>SIFI                                            Systematically important financial institutions</w:t>
      </w:r>
    </w:p>
    <w:p w14:paraId="4342CAEF" w14:textId="76704E7D" w:rsidR="00E976C8" w:rsidRDefault="00E976C8" w:rsidP="00E976C8">
      <w:pPr>
        <w:spacing w:line="360" w:lineRule="auto"/>
        <w:rPr>
          <w:rFonts w:eastAsiaTheme="majorEastAsia" w:cs="Times New Roman"/>
          <w:kern w:val="3"/>
          <w:szCs w:val="24"/>
        </w:rPr>
      </w:pPr>
      <w:r w:rsidRPr="005B66DE">
        <w:rPr>
          <w:rFonts w:eastAsiaTheme="majorEastAsia" w:cs="Times New Roman"/>
          <w:kern w:val="3"/>
          <w:szCs w:val="24"/>
        </w:rPr>
        <w:t xml:space="preserve">TBTF             </w:t>
      </w:r>
      <w:r w:rsidR="0095286E">
        <w:rPr>
          <w:rFonts w:eastAsiaTheme="majorEastAsia" w:cs="Times New Roman"/>
          <w:kern w:val="3"/>
          <w:szCs w:val="24"/>
        </w:rPr>
        <w:t xml:space="preserve">                            Too-Big-To-F</w:t>
      </w:r>
      <w:r w:rsidRPr="005B66DE">
        <w:rPr>
          <w:rFonts w:eastAsiaTheme="majorEastAsia" w:cs="Times New Roman"/>
          <w:kern w:val="3"/>
          <w:szCs w:val="24"/>
        </w:rPr>
        <w:t>ail</w:t>
      </w:r>
    </w:p>
    <w:p w14:paraId="7470076A" w14:textId="77777777" w:rsidR="00E976C8" w:rsidRPr="005B66DE" w:rsidRDefault="00E976C8" w:rsidP="00E976C8">
      <w:pPr>
        <w:spacing w:line="360" w:lineRule="auto"/>
        <w:rPr>
          <w:rFonts w:eastAsiaTheme="majorEastAsia" w:cs="Times New Roman"/>
          <w:kern w:val="3"/>
          <w:szCs w:val="24"/>
        </w:rPr>
      </w:pPr>
    </w:p>
    <w:bookmarkEnd w:id="0"/>
    <w:p w14:paraId="74ADD822" w14:textId="77777777" w:rsidR="00CD757A" w:rsidRPr="005B66DE" w:rsidRDefault="00CD757A" w:rsidP="00C115DD">
      <w:pPr>
        <w:keepNext/>
        <w:keepLines/>
        <w:widowControl w:val="0"/>
        <w:suppressAutoHyphens/>
        <w:overflowPunct w:val="0"/>
        <w:autoSpaceDE w:val="0"/>
        <w:autoSpaceDN w:val="0"/>
        <w:spacing w:before="240" w:after="0" w:line="360" w:lineRule="auto"/>
        <w:textAlignment w:val="baseline"/>
        <w:outlineLvl w:val="0"/>
        <w:rPr>
          <w:rFonts w:eastAsiaTheme="majorEastAsia" w:cs="Times New Roman"/>
          <w:b/>
          <w:color w:val="1F3864" w:themeColor="accent5" w:themeShade="80"/>
          <w:kern w:val="3"/>
          <w:sz w:val="28"/>
          <w:szCs w:val="28"/>
        </w:rPr>
      </w:pPr>
    </w:p>
    <w:p w14:paraId="4C497BF3" w14:textId="70F8D81C" w:rsidR="00C115DD" w:rsidRPr="004C62EF" w:rsidRDefault="00E976C8" w:rsidP="00161E5F">
      <w:pPr>
        <w:pStyle w:val="Heading1"/>
        <w:rPr>
          <w:color w:val="0070C0"/>
        </w:rPr>
      </w:pPr>
      <w:bookmarkStart w:id="10" w:name="_Toc62552870"/>
      <w:r w:rsidRPr="004C62EF">
        <w:rPr>
          <w:color w:val="0070C0"/>
        </w:rPr>
        <w:lastRenderedPageBreak/>
        <w:t>CHAPTER 1:</w:t>
      </w:r>
      <w:r w:rsidR="00C115DD" w:rsidRPr="004C62EF">
        <w:rPr>
          <w:color w:val="0070C0"/>
        </w:rPr>
        <w:t xml:space="preserve"> INTRODUCTION</w:t>
      </w:r>
      <w:bookmarkEnd w:id="10"/>
    </w:p>
    <w:p w14:paraId="2E124C32" w14:textId="0F6E8FE7" w:rsidR="00FF4E94" w:rsidRPr="00FF4E94" w:rsidRDefault="00A02E4F" w:rsidP="00FF4E94">
      <w:pPr>
        <w:pStyle w:val="Heading2"/>
        <w:numPr>
          <w:ilvl w:val="1"/>
          <w:numId w:val="3"/>
        </w:numPr>
        <w:jc w:val="both"/>
      </w:pPr>
      <w:r>
        <w:t xml:space="preserve">      </w:t>
      </w:r>
      <w:bookmarkStart w:id="11" w:name="_Toc62552871"/>
      <w:r w:rsidR="00C115DD" w:rsidRPr="00791773">
        <w:t>BACKGROUND</w:t>
      </w:r>
      <w:bookmarkEnd w:id="11"/>
      <w:r w:rsidR="007D33D2" w:rsidRPr="00791773">
        <w:t xml:space="preserve"> </w:t>
      </w:r>
    </w:p>
    <w:p w14:paraId="359E226F" w14:textId="77777777" w:rsidR="007D33D2" w:rsidRPr="005B66DE" w:rsidRDefault="007D33D2" w:rsidP="004A5F49">
      <w:pPr>
        <w:widowControl w:val="0"/>
        <w:suppressAutoHyphens/>
        <w:overflowPunct w:val="0"/>
        <w:autoSpaceDE w:val="0"/>
        <w:autoSpaceDN w:val="0"/>
        <w:spacing w:after="200" w:line="360" w:lineRule="auto"/>
        <w:jc w:val="center"/>
        <w:textAlignment w:val="baseline"/>
        <w:rPr>
          <w:rFonts w:eastAsia="Times New Roman" w:cs="Times New Roman"/>
          <w:kern w:val="3"/>
          <w:szCs w:val="24"/>
        </w:rPr>
      </w:pPr>
      <w:r w:rsidRPr="005B66DE">
        <w:rPr>
          <w:rFonts w:eastAsia="Times New Roman" w:cs="Times New Roman"/>
          <w:kern w:val="3"/>
          <w:szCs w:val="24"/>
        </w:rPr>
        <w:t>“</w:t>
      </w:r>
      <w:r w:rsidRPr="005B66DE">
        <w:rPr>
          <w:rFonts w:eastAsia="Times New Roman" w:cs="Times New Roman"/>
          <w:i/>
          <w:kern w:val="3"/>
          <w:szCs w:val="24"/>
        </w:rPr>
        <w:t>I sincerely believe that banking establishments are more dangerous than standing armies, and that the principle of spending money to be paid by posterity, under the name of funding, is but swindling futurity on a large scale</w:t>
      </w:r>
      <w:r w:rsidRPr="005B66DE">
        <w:rPr>
          <w:rFonts w:eastAsia="Times New Roman" w:cs="Times New Roman"/>
          <w:kern w:val="3"/>
          <w:szCs w:val="24"/>
        </w:rPr>
        <w:t>.” Thomas Jefferson.</w:t>
      </w:r>
    </w:p>
    <w:p w14:paraId="2898580E" w14:textId="4D483D59" w:rsidR="0037386E" w:rsidRDefault="002F0BD3"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sidRPr="005B66DE">
        <w:rPr>
          <w:rFonts w:eastAsia="Times New Roman" w:cs="Times New Roman"/>
          <w:kern w:val="3"/>
          <w:szCs w:val="24"/>
        </w:rPr>
        <w:t>The primary purpose of finance is to facilitate productive economic activity.</w:t>
      </w:r>
      <w:r w:rsidRPr="005B66DE">
        <w:rPr>
          <w:rStyle w:val="FootnoteReference"/>
          <w:rFonts w:eastAsia="Times New Roman" w:cs="Times New Roman"/>
          <w:kern w:val="3"/>
          <w:szCs w:val="24"/>
        </w:rPr>
        <w:footnoteReference w:id="1"/>
      </w:r>
      <w:r w:rsidRPr="005B66DE">
        <w:rPr>
          <w:rFonts w:eastAsia="Times New Roman" w:cs="Times New Roman"/>
          <w:kern w:val="3"/>
          <w:szCs w:val="24"/>
        </w:rPr>
        <w:t xml:space="preserve"> </w:t>
      </w:r>
      <w:r w:rsidR="0037386E">
        <w:rPr>
          <w:rFonts w:eastAsia="Times New Roman" w:cs="Times New Roman"/>
          <w:kern w:val="3"/>
          <w:szCs w:val="24"/>
        </w:rPr>
        <w:t>Consequently, various types of financial i</w:t>
      </w:r>
      <w:r w:rsidR="0037386E" w:rsidRPr="005B66DE">
        <w:rPr>
          <w:rFonts w:eastAsia="Times New Roman" w:cs="Times New Roman"/>
          <w:kern w:val="3"/>
          <w:szCs w:val="24"/>
        </w:rPr>
        <w:t>nstitutions</w:t>
      </w:r>
      <w:r w:rsidR="0037386E">
        <w:rPr>
          <w:rFonts w:eastAsia="Times New Roman" w:cs="Times New Roman"/>
          <w:kern w:val="3"/>
          <w:szCs w:val="24"/>
        </w:rPr>
        <w:t xml:space="preserve"> have emerged over </w:t>
      </w:r>
      <w:r w:rsidR="00896BD1">
        <w:rPr>
          <w:rFonts w:eastAsia="Times New Roman" w:cs="Times New Roman"/>
          <w:kern w:val="3"/>
          <w:szCs w:val="24"/>
        </w:rPr>
        <w:t xml:space="preserve">the </w:t>
      </w:r>
      <w:r w:rsidR="0037386E">
        <w:rPr>
          <w:rFonts w:eastAsia="Times New Roman" w:cs="Times New Roman"/>
          <w:kern w:val="3"/>
          <w:szCs w:val="24"/>
        </w:rPr>
        <w:t>years to provide financial services including deposit- taking, credit provision, investment among others.</w:t>
      </w:r>
      <w:r w:rsidR="00896BD1">
        <w:rPr>
          <w:rStyle w:val="FootnoteReference"/>
          <w:rFonts w:eastAsia="Times New Roman" w:cs="Times New Roman"/>
          <w:kern w:val="3"/>
          <w:szCs w:val="24"/>
        </w:rPr>
        <w:footnoteReference w:id="2"/>
      </w:r>
      <w:r w:rsidR="0037386E">
        <w:rPr>
          <w:rFonts w:eastAsia="Times New Roman" w:cs="Times New Roman"/>
          <w:kern w:val="3"/>
          <w:szCs w:val="24"/>
        </w:rPr>
        <w:t xml:space="preserve"> Banks are considered t</w:t>
      </w:r>
      <w:r w:rsidR="0037386E" w:rsidRPr="005B66DE">
        <w:rPr>
          <w:rFonts w:eastAsia="Times New Roman" w:cs="Times New Roman"/>
          <w:kern w:val="3"/>
          <w:szCs w:val="24"/>
        </w:rPr>
        <w:t>he</w:t>
      </w:r>
      <w:r w:rsidR="0037386E">
        <w:rPr>
          <w:rFonts w:eastAsia="Times New Roman" w:cs="Times New Roman"/>
          <w:kern w:val="3"/>
          <w:szCs w:val="24"/>
        </w:rPr>
        <w:t xml:space="preserve"> oldest and most common category of financial institutions</w:t>
      </w:r>
      <w:r w:rsidR="00896BD1">
        <w:rPr>
          <w:rFonts w:eastAsia="Times New Roman" w:cs="Times New Roman"/>
          <w:kern w:val="3"/>
          <w:szCs w:val="24"/>
        </w:rPr>
        <w:t xml:space="preserve"> and may categorized into </w:t>
      </w:r>
      <w:r w:rsidR="0037386E" w:rsidRPr="005B66DE">
        <w:rPr>
          <w:rFonts w:eastAsia="Times New Roman" w:cs="Times New Roman"/>
          <w:kern w:val="3"/>
          <w:szCs w:val="24"/>
        </w:rPr>
        <w:t>retail banks</w:t>
      </w:r>
      <w:r w:rsidR="00896BD1">
        <w:rPr>
          <w:rFonts w:eastAsia="Times New Roman" w:cs="Times New Roman"/>
          <w:kern w:val="3"/>
          <w:szCs w:val="24"/>
        </w:rPr>
        <w:t>, commercial or corporate banks</w:t>
      </w:r>
      <w:r w:rsidR="0037386E" w:rsidRPr="005B66DE">
        <w:rPr>
          <w:rFonts w:eastAsia="Times New Roman" w:cs="Times New Roman"/>
          <w:kern w:val="3"/>
          <w:szCs w:val="24"/>
        </w:rPr>
        <w:t xml:space="preserve"> and investment banks.</w:t>
      </w:r>
      <w:r w:rsidR="0037386E" w:rsidRPr="005B66DE">
        <w:rPr>
          <w:rFonts w:eastAsia="Times New Roman" w:cs="Times New Roman"/>
          <w:kern w:val="3"/>
          <w:szCs w:val="24"/>
          <w:vertAlign w:val="superscript"/>
        </w:rPr>
        <w:footnoteReference w:id="3"/>
      </w:r>
    </w:p>
    <w:p w14:paraId="0E9BD69E" w14:textId="28D45C47" w:rsidR="002646DC" w:rsidRDefault="00896BD1"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Pr>
          <w:rFonts w:eastAsia="Times New Roman" w:cs="Times New Roman"/>
          <w:kern w:val="3"/>
          <w:szCs w:val="24"/>
        </w:rPr>
        <w:t xml:space="preserve">Important to note is that financial institutions </w:t>
      </w:r>
      <w:r w:rsidR="00C25CCC">
        <w:rPr>
          <w:rFonts w:eastAsia="Times New Roman" w:cs="Times New Roman"/>
          <w:kern w:val="3"/>
          <w:szCs w:val="24"/>
        </w:rPr>
        <w:t xml:space="preserve">primarily strive to act in their </w:t>
      </w:r>
      <w:r>
        <w:rPr>
          <w:rFonts w:eastAsia="Times New Roman" w:cs="Times New Roman"/>
          <w:kern w:val="3"/>
          <w:szCs w:val="24"/>
        </w:rPr>
        <w:t xml:space="preserve">best interest and those of its shareholders by </w:t>
      </w:r>
      <w:r w:rsidR="00F46712">
        <w:rPr>
          <w:rFonts w:eastAsia="Times New Roman" w:cs="Times New Roman"/>
          <w:kern w:val="3"/>
          <w:szCs w:val="24"/>
        </w:rPr>
        <w:t>maximizing</w:t>
      </w:r>
      <w:r>
        <w:rPr>
          <w:rFonts w:eastAsia="Times New Roman" w:cs="Times New Roman"/>
          <w:kern w:val="3"/>
          <w:szCs w:val="24"/>
        </w:rPr>
        <w:t xml:space="preserve"> profits.</w:t>
      </w:r>
      <w:r>
        <w:rPr>
          <w:rStyle w:val="FootnoteReference"/>
          <w:rFonts w:eastAsia="Times New Roman" w:cs="Times New Roman"/>
          <w:kern w:val="3"/>
          <w:szCs w:val="24"/>
        </w:rPr>
        <w:footnoteReference w:id="4"/>
      </w:r>
      <w:r>
        <w:rPr>
          <w:rFonts w:eastAsia="Times New Roman" w:cs="Times New Roman"/>
          <w:kern w:val="3"/>
          <w:szCs w:val="24"/>
        </w:rPr>
        <w:t xml:space="preserve"> </w:t>
      </w:r>
      <w:r w:rsidR="002F0BD3" w:rsidRPr="005B66DE">
        <w:rPr>
          <w:rFonts w:eastAsia="Times New Roman" w:cs="Times New Roman"/>
          <w:kern w:val="3"/>
          <w:szCs w:val="24"/>
        </w:rPr>
        <w:t xml:space="preserve">This </w:t>
      </w:r>
      <w:r w:rsidR="00F355C6">
        <w:rPr>
          <w:rFonts w:eastAsia="Times New Roman" w:cs="Times New Roman"/>
          <w:kern w:val="3"/>
          <w:szCs w:val="24"/>
        </w:rPr>
        <w:t xml:space="preserve">notion was </w:t>
      </w:r>
      <w:proofErr w:type="spellStart"/>
      <w:r w:rsidR="002646DC" w:rsidRPr="005B66DE">
        <w:rPr>
          <w:rFonts w:eastAsia="Times New Roman" w:cs="Times New Roman"/>
          <w:kern w:val="3"/>
          <w:szCs w:val="24"/>
        </w:rPr>
        <w:t>enounced</w:t>
      </w:r>
      <w:proofErr w:type="spellEnd"/>
      <w:r w:rsidR="002646DC" w:rsidRPr="005B66DE">
        <w:rPr>
          <w:rFonts w:eastAsia="Times New Roman" w:cs="Times New Roman"/>
          <w:kern w:val="3"/>
          <w:szCs w:val="24"/>
        </w:rPr>
        <w:t xml:space="preserve"> by Milton Friedman when he published an article in the New</w:t>
      </w:r>
      <w:r w:rsidR="008C03CC" w:rsidRPr="005B66DE">
        <w:rPr>
          <w:rFonts w:eastAsia="Times New Roman" w:cs="Times New Roman"/>
          <w:kern w:val="3"/>
          <w:szCs w:val="24"/>
        </w:rPr>
        <w:t xml:space="preserve"> York Times Magazine entitled ‘</w:t>
      </w:r>
      <w:r w:rsidR="002646DC" w:rsidRPr="005B66DE">
        <w:rPr>
          <w:rFonts w:eastAsia="Times New Roman" w:cs="Times New Roman"/>
          <w:kern w:val="3"/>
          <w:szCs w:val="24"/>
        </w:rPr>
        <w:t>The Social Responsibility of Business is to Increase its profits.’</w:t>
      </w:r>
      <w:r w:rsidR="00C25CCC">
        <w:rPr>
          <w:rStyle w:val="FootnoteReference"/>
          <w:rFonts w:eastAsia="Times New Roman" w:cs="Times New Roman"/>
          <w:kern w:val="3"/>
          <w:szCs w:val="24"/>
        </w:rPr>
        <w:footnoteReference w:id="5"/>
      </w:r>
      <w:r w:rsidR="002646DC" w:rsidRPr="005B66DE">
        <w:rPr>
          <w:rFonts w:eastAsia="Times New Roman" w:cs="Times New Roman"/>
          <w:kern w:val="3"/>
          <w:szCs w:val="24"/>
        </w:rPr>
        <w:t xml:space="preserve"> In this article Friedman argued </w:t>
      </w:r>
      <w:r w:rsidR="00576063">
        <w:rPr>
          <w:rFonts w:eastAsia="Times New Roman" w:cs="Times New Roman"/>
          <w:kern w:val="3"/>
          <w:szCs w:val="24"/>
        </w:rPr>
        <w:t xml:space="preserve">that it was the sole objective </w:t>
      </w:r>
      <w:r w:rsidR="002646DC" w:rsidRPr="005B66DE">
        <w:rPr>
          <w:rFonts w:eastAsia="Times New Roman" w:cs="Times New Roman"/>
          <w:kern w:val="3"/>
          <w:szCs w:val="24"/>
        </w:rPr>
        <w:t>of firms to increase p</w:t>
      </w:r>
      <w:r w:rsidR="00576063">
        <w:rPr>
          <w:rFonts w:eastAsia="Times New Roman" w:cs="Times New Roman"/>
          <w:kern w:val="3"/>
          <w:szCs w:val="24"/>
        </w:rPr>
        <w:t>rofits for their shareholders by</w:t>
      </w:r>
      <w:r w:rsidR="002646DC" w:rsidRPr="005B66DE">
        <w:rPr>
          <w:rFonts w:eastAsia="Times New Roman" w:cs="Times New Roman"/>
          <w:kern w:val="3"/>
          <w:szCs w:val="24"/>
        </w:rPr>
        <w:t xml:space="preserve"> </w:t>
      </w:r>
      <w:r w:rsidR="007D33D2" w:rsidRPr="005B66DE">
        <w:rPr>
          <w:rFonts w:eastAsia="Times New Roman" w:cs="Times New Roman"/>
          <w:kern w:val="3"/>
          <w:szCs w:val="24"/>
        </w:rPr>
        <w:t>grow</w:t>
      </w:r>
      <w:r w:rsidR="00576063">
        <w:rPr>
          <w:rFonts w:eastAsia="Times New Roman" w:cs="Times New Roman"/>
          <w:kern w:val="3"/>
          <w:szCs w:val="24"/>
        </w:rPr>
        <w:t xml:space="preserve">ing and expanding </w:t>
      </w:r>
      <w:r w:rsidR="007D33D2" w:rsidRPr="005B66DE">
        <w:rPr>
          <w:rFonts w:eastAsia="Times New Roman" w:cs="Times New Roman"/>
          <w:kern w:val="3"/>
          <w:szCs w:val="24"/>
        </w:rPr>
        <w:t>their</w:t>
      </w:r>
      <w:r w:rsidR="002646DC" w:rsidRPr="005B66DE">
        <w:rPr>
          <w:rFonts w:eastAsia="Times New Roman" w:cs="Times New Roman"/>
          <w:kern w:val="3"/>
          <w:szCs w:val="24"/>
        </w:rPr>
        <w:t xml:space="preserve"> capital, liquidity and </w:t>
      </w:r>
      <w:r w:rsidR="007D33D2" w:rsidRPr="005B66DE">
        <w:rPr>
          <w:rFonts w:eastAsia="Times New Roman" w:cs="Times New Roman"/>
          <w:kern w:val="3"/>
          <w:szCs w:val="24"/>
        </w:rPr>
        <w:t>profit ratios</w:t>
      </w:r>
      <w:r w:rsidR="002646DC" w:rsidRPr="005B66DE">
        <w:rPr>
          <w:rFonts w:eastAsia="Times New Roman" w:cs="Times New Roman"/>
          <w:kern w:val="3"/>
          <w:szCs w:val="24"/>
        </w:rPr>
        <w:t>.</w:t>
      </w:r>
      <w:r w:rsidR="00C25CCC">
        <w:rPr>
          <w:rStyle w:val="FootnoteReference"/>
          <w:rFonts w:eastAsia="Times New Roman" w:cs="Times New Roman"/>
          <w:kern w:val="3"/>
          <w:szCs w:val="24"/>
        </w:rPr>
        <w:footnoteReference w:id="6"/>
      </w:r>
      <w:r w:rsidR="007D33D2" w:rsidRPr="005B66DE">
        <w:rPr>
          <w:rFonts w:eastAsia="Times New Roman" w:cs="Times New Roman"/>
          <w:kern w:val="3"/>
          <w:szCs w:val="24"/>
        </w:rPr>
        <w:t xml:space="preserve"> </w:t>
      </w:r>
    </w:p>
    <w:p w14:paraId="1A709241" w14:textId="15768020" w:rsidR="00896BD1" w:rsidRPr="005B66DE" w:rsidRDefault="00896BD1"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Pr>
          <w:rFonts w:eastAsia="Times New Roman" w:cs="Times New Roman"/>
          <w:kern w:val="3"/>
          <w:szCs w:val="24"/>
        </w:rPr>
        <w:t>As f</w:t>
      </w:r>
      <w:r w:rsidRPr="005B66DE">
        <w:rPr>
          <w:rFonts w:eastAsia="Times New Roman" w:cs="Times New Roman"/>
          <w:kern w:val="3"/>
          <w:szCs w:val="24"/>
        </w:rPr>
        <w:t>inancial services play a pivotal role in any economy</w:t>
      </w:r>
      <w:r w:rsidR="00576063">
        <w:rPr>
          <w:rFonts w:eastAsia="Times New Roman" w:cs="Times New Roman"/>
          <w:kern w:val="3"/>
          <w:szCs w:val="24"/>
        </w:rPr>
        <w:t xml:space="preserve"> </w:t>
      </w:r>
      <w:r w:rsidR="00F355C6">
        <w:rPr>
          <w:rFonts w:eastAsia="Times New Roman" w:cs="Times New Roman"/>
          <w:kern w:val="3"/>
          <w:szCs w:val="24"/>
        </w:rPr>
        <w:t>coupled</w:t>
      </w:r>
      <w:r w:rsidR="00576063">
        <w:rPr>
          <w:rFonts w:eastAsia="Times New Roman" w:cs="Times New Roman"/>
          <w:kern w:val="3"/>
          <w:szCs w:val="24"/>
        </w:rPr>
        <w:t xml:space="preserve"> with </w:t>
      </w:r>
      <w:r w:rsidR="00F355C6">
        <w:rPr>
          <w:rFonts w:eastAsia="Times New Roman" w:cs="Times New Roman"/>
          <w:kern w:val="3"/>
          <w:szCs w:val="24"/>
        </w:rPr>
        <w:t>the</w:t>
      </w:r>
      <w:r w:rsidR="003C5763">
        <w:rPr>
          <w:rFonts w:eastAsia="Times New Roman" w:cs="Times New Roman"/>
          <w:kern w:val="3"/>
          <w:szCs w:val="24"/>
        </w:rPr>
        <w:t>ir</w:t>
      </w:r>
      <w:r w:rsidR="00576063">
        <w:rPr>
          <w:rFonts w:eastAsia="Times New Roman" w:cs="Times New Roman"/>
          <w:kern w:val="3"/>
          <w:szCs w:val="24"/>
        </w:rPr>
        <w:t xml:space="preserve"> </w:t>
      </w:r>
      <w:r w:rsidR="00F355C6">
        <w:rPr>
          <w:rFonts w:eastAsia="Times New Roman" w:cs="Times New Roman"/>
          <w:kern w:val="3"/>
          <w:szCs w:val="24"/>
        </w:rPr>
        <w:t xml:space="preserve">drive to </w:t>
      </w:r>
      <w:r w:rsidR="00576063">
        <w:rPr>
          <w:rFonts w:eastAsia="Times New Roman" w:cs="Times New Roman"/>
          <w:kern w:val="3"/>
          <w:szCs w:val="24"/>
        </w:rPr>
        <w:t xml:space="preserve">make profit, </w:t>
      </w:r>
      <w:r w:rsidRPr="005B66DE">
        <w:rPr>
          <w:rFonts w:eastAsia="Times New Roman" w:cs="Times New Roman"/>
          <w:kern w:val="3"/>
          <w:szCs w:val="24"/>
        </w:rPr>
        <w:t xml:space="preserve"> </w:t>
      </w:r>
      <w:r>
        <w:rPr>
          <w:rFonts w:eastAsia="Times New Roman" w:cs="Times New Roman"/>
          <w:kern w:val="3"/>
          <w:szCs w:val="24"/>
        </w:rPr>
        <w:t>they make a good case for regulatory intervention</w:t>
      </w:r>
      <w:r w:rsidR="00EB0067">
        <w:rPr>
          <w:rFonts w:eastAsia="Times New Roman" w:cs="Times New Roman"/>
          <w:kern w:val="3"/>
          <w:szCs w:val="24"/>
        </w:rPr>
        <w:t xml:space="preserve"> and this is where legal and regulatory frameworks come in handy.</w:t>
      </w:r>
      <w:r>
        <w:rPr>
          <w:rStyle w:val="FootnoteReference"/>
          <w:rFonts w:eastAsia="Times New Roman" w:cs="Times New Roman"/>
          <w:kern w:val="3"/>
          <w:szCs w:val="24"/>
        </w:rPr>
        <w:footnoteReference w:id="7"/>
      </w:r>
      <w:r w:rsidRPr="005B66DE">
        <w:rPr>
          <w:rFonts w:eastAsia="Times New Roman" w:cs="Times New Roman"/>
          <w:kern w:val="3"/>
          <w:szCs w:val="24"/>
        </w:rPr>
        <w:t xml:space="preserve"> The goals of </w:t>
      </w:r>
      <w:r>
        <w:rPr>
          <w:rFonts w:eastAsia="Times New Roman" w:cs="Times New Roman"/>
          <w:kern w:val="3"/>
          <w:szCs w:val="24"/>
        </w:rPr>
        <w:t xml:space="preserve">such financial regulation </w:t>
      </w:r>
      <w:r w:rsidR="00C25CCC">
        <w:rPr>
          <w:rFonts w:eastAsia="Times New Roman" w:cs="Times New Roman"/>
          <w:kern w:val="3"/>
          <w:szCs w:val="24"/>
        </w:rPr>
        <w:t>include</w:t>
      </w:r>
      <w:r>
        <w:rPr>
          <w:rFonts w:eastAsia="Times New Roman" w:cs="Times New Roman"/>
          <w:kern w:val="3"/>
          <w:szCs w:val="24"/>
        </w:rPr>
        <w:t xml:space="preserve"> i</w:t>
      </w:r>
      <w:r w:rsidRPr="005B66DE">
        <w:rPr>
          <w:rFonts w:eastAsia="Times New Roman" w:cs="Times New Roman"/>
          <w:kern w:val="3"/>
          <w:szCs w:val="24"/>
        </w:rPr>
        <w:t xml:space="preserve">nvestor protection, consumer protection, financial stability, market efficiency, </w:t>
      </w:r>
      <w:r>
        <w:rPr>
          <w:rFonts w:eastAsia="Times New Roman" w:cs="Times New Roman"/>
          <w:kern w:val="3"/>
          <w:szCs w:val="24"/>
        </w:rPr>
        <w:t xml:space="preserve">fair </w:t>
      </w:r>
      <w:r w:rsidRPr="005B66DE">
        <w:rPr>
          <w:rFonts w:eastAsia="Times New Roman" w:cs="Times New Roman"/>
          <w:kern w:val="3"/>
          <w:szCs w:val="24"/>
        </w:rPr>
        <w:t xml:space="preserve">competition, prevention of financial </w:t>
      </w:r>
      <w:r w:rsidRPr="005B66DE">
        <w:rPr>
          <w:rFonts w:eastAsia="Times New Roman" w:cs="Times New Roman"/>
          <w:kern w:val="3"/>
          <w:szCs w:val="24"/>
        </w:rPr>
        <w:lastRenderedPageBreak/>
        <w:t>crimes and fairness.</w:t>
      </w:r>
      <w:r w:rsidRPr="005B66DE">
        <w:rPr>
          <w:rFonts w:eastAsia="Times New Roman" w:cs="Times New Roman"/>
          <w:kern w:val="3"/>
          <w:szCs w:val="24"/>
          <w:vertAlign w:val="superscript"/>
        </w:rPr>
        <w:footnoteReference w:id="8"/>
      </w:r>
      <w:r>
        <w:rPr>
          <w:rFonts w:eastAsia="Times New Roman" w:cs="Times New Roman"/>
          <w:kern w:val="3"/>
          <w:szCs w:val="24"/>
        </w:rPr>
        <w:t xml:space="preserve"> </w:t>
      </w:r>
    </w:p>
    <w:p w14:paraId="48C3716B" w14:textId="3E64E678" w:rsidR="00304C4E" w:rsidRDefault="002646DC"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sidRPr="005B66DE">
        <w:rPr>
          <w:rFonts w:eastAsia="Times New Roman" w:cs="Times New Roman"/>
          <w:kern w:val="3"/>
          <w:szCs w:val="24"/>
        </w:rPr>
        <w:t xml:space="preserve">The </w:t>
      </w:r>
      <w:r w:rsidR="00C25CCC">
        <w:rPr>
          <w:rFonts w:eastAsia="Times New Roman" w:cs="Times New Roman"/>
          <w:kern w:val="3"/>
          <w:szCs w:val="24"/>
        </w:rPr>
        <w:t>“Too-Big-to-</w:t>
      </w:r>
      <w:r w:rsidR="00976DBD" w:rsidRPr="005B66DE">
        <w:rPr>
          <w:rFonts w:eastAsia="Times New Roman" w:cs="Times New Roman"/>
          <w:kern w:val="3"/>
          <w:szCs w:val="24"/>
        </w:rPr>
        <w:t>Fail” (TBTF) doctrine</w:t>
      </w:r>
      <w:r w:rsidR="00576063">
        <w:rPr>
          <w:rFonts w:eastAsia="Times New Roman" w:cs="Times New Roman"/>
          <w:kern w:val="3"/>
          <w:szCs w:val="24"/>
        </w:rPr>
        <w:t xml:space="preserve"> is a widely accepted hypothesis that</w:t>
      </w:r>
      <w:r w:rsidR="00976DBD" w:rsidRPr="005B66DE">
        <w:rPr>
          <w:rFonts w:eastAsia="Times New Roman" w:cs="Times New Roman"/>
          <w:kern w:val="3"/>
          <w:szCs w:val="24"/>
        </w:rPr>
        <w:t xml:space="preserve"> </w:t>
      </w:r>
      <w:r w:rsidR="00576063">
        <w:rPr>
          <w:rFonts w:eastAsia="Times New Roman" w:cs="Times New Roman"/>
          <w:kern w:val="3"/>
          <w:szCs w:val="24"/>
        </w:rPr>
        <w:t xml:space="preserve">argues </w:t>
      </w:r>
      <w:r w:rsidR="00853C75">
        <w:rPr>
          <w:rFonts w:eastAsia="Times New Roman" w:cs="Times New Roman"/>
          <w:kern w:val="3"/>
          <w:szCs w:val="24"/>
        </w:rPr>
        <w:t>that large firms</w:t>
      </w:r>
      <w:r w:rsidR="00576063">
        <w:rPr>
          <w:rFonts w:eastAsia="Times New Roman" w:cs="Times New Roman"/>
          <w:kern w:val="3"/>
          <w:szCs w:val="24"/>
        </w:rPr>
        <w:t xml:space="preserve"> benefit from implicit bail-out guarantees because no government is willing to hazard the consequences of a large bank’s default on a financial system </w:t>
      </w:r>
      <w:r w:rsidR="00465DE0">
        <w:rPr>
          <w:rFonts w:eastAsia="Times New Roman" w:cs="Times New Roman"/>
          <w:kern w:val="3"/>
          <w:szCs w:val="24"/>
        </w:rPr>
        <w:t>and on the economy.</w:t>
      </w:r>
      <w:r w:rsidR="00465DE0">
        <w:rPr>
          <w:rStyle w:val="FootnoteReference"/>
          <w:rFonts w:eastAsia="Times New Roman" w:cs="Times New Roman"/>
          <w:kern w:val="3"/>
          <w:szCs w:val="24"/>
        </w:rPr>
        <w:footnoteReference w:id="9"/>
      </w:r>
      <w:r w:rsidR="00F355C6">
        <w:rPr>
          <w:rFonts w:eastAsia="Times New Roman" w:cs="Times New Roman"/>
          <w:kern w:val="3"/>
          <w:szCs w:val="24"/>
        </w:rPr>
        <w:t xml:space="preserve"> It </w:t>
      </w:r>
      <w:r w:rsidR="00853C75">
        <w:rPr>
          <w:rFonts w:eastAsia="Times New Roman" w:cs="Times New Roman"/>
          <w:kern w:val="3"/>
          <w:szCs w:val="24"/>
        </w:rPr>
        <w:t>emerged</w:t>
      </w:r>
      <w:r w:rsidR="00976DBD" w:rsidRPr="005B66DE">
        <w:rPr>
          <w:rFonts w:eastAsia="Times New Roman" w:cs="Times New Roman"/>
          <w:kern w:val="3"/>
          <w:szCs w:val="24"/>
        </w:rPr>
        <w:t xml:space="preserve"> primarily</w:t>
      </w:r>
      <w:r w:rsidR="00853C75">
        <w:rPr>
          <w:rFonts w:eastAsia="Times New Roman" w:cs="Times New Roman"/>
          <w:kern w:val="3"/>
          <w:szCs w:val="24"/>
        </w:rPr>
        <w:t xml:space="preserve"> in the US under the Roosevelt administration</w:t>
      </w:r>
      <w:r w:rsidR="00304C4E">
        <w:rPr>
          <w:rFonts w:eastAsia="Times New Roman" w:cs="Times New Roman"/>
          <w:kern w:val="3"/>
          <w:szCs w:val="24"/>
        </w:rPr>
        <w:t xml:space="preserve"> as a policy for</w:t>
      </w:r>
      <w:r w:rsidR="00976DBD" w:rsidRPr="005B66DE">
        <w:rPr>
          <w:rFonts w:eastAsia="Times New Roman" w:cs="Times New Roman"/>
          <w:kern w:val="3"/>
          <w:szCs w:val="24"/>
        </w:rPr>
        <w:t xml:space="preserve"> protecting uninsured depositors in large bank failures in order to prevent adverse effects of the financial system.</w:t>
      </w:r>
      <w:r w:rsidR="00976DBD" w:rsidRPr="005B66DE">
        <w:rPr>
          <w:rStyle w:val="FootnoteReference"/>
          <w:rFonts w:eastAsia="Times New Roman" w:cs="Times New Roman"/>
          <w:kern w:val="3"/>
          <w:szCs w:val="24"/>
        </w:rPr>
        <w:footnoteReference w:id="10"/>
      </w:r>
      <w:r w:rsidR="00853C75">
        <w:rPr>
          <w:rFonts w:eastAsia="Times New Roman" w:cs="Times New Roman"/>
          <w:kern w:val="3"/>
          <w:szCs w:val="24"/>
        </w:rPr>
        <w:t xml:space="preserve"> </w:t>
      </w:r>
      <w:r w:rsidR="00304C4E">
        <w:rPr>
          <w:rFonts w:eastAsia="Times New Roman" w:cs="Times New Roman"/>
          <w:kern w:val="3"/>
          <w:szCs w:val="24"/>
        </w:rPr>
        <w:t xml:space="preserve">It was further popularized in </w:t>
      </w:r>
      <w:r w:rsidR="00304C4E" w:rsidRPr="005B66DE">
        <w:rPr>
          <w:rFonts w:eastAsia="Times New Roman" w:cs="Times New Roman"/>
          <w:kern w:val="3"/>
          <w:szCs w:val="24"/>
        </w:rPr>
        <w:t>the 2008 financial crisis with the cases of Bear Stearns, Goldman Sachs, Morgan Stanley and the Lehman Brothers.</w:t>
      </w:r>
      <w:r w:rsidR="00304C4E">
        <w:rPr>
          <w:rStyle w:val="FootnoteReference"/>
          <w:rFonts w:eastAsia="Times New Roman" w:cs="Times New Roman"/>
          <w:kern w:val="3"/>
          <w:szCs w:val="24"/>
        </w:rPr>
        <w:footnoteReference w:id="11"/>
      </w:r>
    </w:p>
    <w:p w14:paraId="0B851A28" w14:textId="2924DCD0" w:rsidR="007D33D2" w:rsidRDefault="007D33D2" w:rsidP="007D33D2">
      <w:pPr>
        <w:widowControl w:val="0"/>
        <w:suppressAutoHyphens/>
        <w:overflowPunct w:val="0"/>
        <w:autoSpaceDE w:val="0"/>
        <w:autoSpaceDN w:val="0"/>
        <w:spacing w:after="200" w:line="360" w:lineRule="auto"/>
        <w:textAlignment w:val="baseline"/>
        <w:rPr>
          <w:rFonts w:eastAsiaTheme="minorEastAsia" w:cs="Times New Roman"/>
          <w:kern w:val="3"/>
          <w:szCs w:val="24"/>
        </w:rPr>
      </w:pPr>
      <w:r w:rsidRPr="005B66DE">
        <w:rPr>
          <w:rFonts w:eastAsia="Times New Roman" w:cs="Times New Roman"/>
          <w:kern w:val="3"/>
          <w:szCs w:val="24"/>
        </w:rPr>
        <w:t xml:space="preserve">The lure for “size” embedded in “economies of </w:t>
      </w:r>
      <w:r w:rsidR="002646DC" w:rsidRPr="005B66DE">
        <w:rPr>
          <w:rFonts w:eastAsia="Times New Roman" w:cs="Times New Roman"/>
          <w:kern w:val="3"/>
          <w:szCs w:val="24"/>
        </w:rPr>
        <w:t xml:space="preserve">scale” </w:t>
      </w:r>
      <w:r w:rsidR="00853C75">
        <w:rPr>
          <w:rFonts w:eastAsia="Times New Roman" w:cs="Times New Roman"/>
          <w:kern w:val="3"/>
          <w:szCs w:val="24"/>
        </w:rPr>
        <w:t>have important risk consequence and results in</w:t>
      </w:r>
      <w:r w:rsidRPr="005B66DE">
        <w:rPr>
          <w:rFonts w:eastAsia="Times New Roman" w:cs="Times New Roman"/>
          <w:kern w:val="3"/>
          <w:szCs w:val="24"/>
        </w:rPr>
        <w:t xml:space="preserve"> the growth of industrial and financial firms to sizes that may be both too large to manage and losses too large to bear.</w:t>
      </w:r>
      <w:r w:rsidRPr="005B66DE">
        <w:rPr>
          <w:rFonts w:eastAsia="Times New Roman" w:cs="Times New Roman"/>
          <w:kern w:val="3"/>
          <w:szCs w:val="24"/>
          <w:vertAlign w:val="superscript"/>
        </w:rPr>
        <w:footnoteReference w:id="12"/>
      </w:r>
      <w:r w:rsidRPr="005B66DE">
        <w:rPr>
          <w:rFonts w:eastAsia="Times New Roman" w:cs="Times New Roman"/>
          <w:kern w:val="3"/>
          <w:szCs w:val="24"/>
        </w:rPr>
        <w:t xml:space="preserve">  This is the case for industrial giants such as Exxon Mobil, General Motors, General Electric and Royal Dutch Shell that have grown into a complex and diversified global enterprises with extremely large risk externalities.</w:t>
      </w:r>
      <w:r w:rsidR="00853C75">
        <w:rPr>
          <w:rStyle w:val="FootnoteReference"/>
          <w:rFonts w:eastAsia="Times New Roman" w:cs="Times New Roman"/>
          <w:kern w:val="3"/>
          <w:szCs w:val="24"/>
        </w:rPr>
        <w:footnoteReference w:id="13"/>
      </w:r>
      <w:r w:rsidRPr="005B66DE">
        <w:rPr>
          <w:rFonts w:eastAsia="Times New Roman" w:cs="Times New Roman"/>
          <w:kern w:val="3"/>
          <w:szCs w:val="24"/>
        </w:rPr>
        <w:t xml:space="preserve">  This is also the case for large banks that bear risks with systemic consequences </w:t>
      </w:r>
      <w:r w:rsidR="00853C75">
        <w:rPr>
          <w:rFonts w:eastAsia="Times New Roman" w:cs="Times New Roman"/>
          <w:kern w:val="3"/>
          <w:szCs w:val="24"/>
        </w:rPr>
        <w:t xml:space="preserve">in an economy such as </w:t>
      </w:r>
      <w:r w:rsidR="002646DC" w:rsidRPr="005B66DE">
        <w:rPr>
          <w:rFonts w:eastAsia="Times New Roman" w:cs="Times New Roman"/>
          <w:kern w:val="3"/>
          <w:szCs w:val="24"/>
        </w:rPr>
        <w:t xml:space="preserve">JP Morgan, Chase, </w:t>
      </w:r>
      <w:r w:rsidR="004A026C" w:rsidRPr="005B66DE">
        <w:rPr>
          <w:rFonts w:eastAsia="Times New Roman" w:cs="Times New Roman"/>
          <w:kern w:val="3"/>
          <w:szCs w:val="24"/>
        </w:rPr>
        <w:t>Deutsche Bank, Bank of China and Bank of America</w:t>
      </w:r>
      <w:r w:rsidR="00853C75">
        <w:rPr>
          <w:rFonts w:eastAsia="Times New Roman" w:cs="Times New Roman"/>
          <w:kern w:val="3"/>
          <w:szCs w:val="24"/>
        </w:rPr>
        <w:t xml:space="preserve"> among others</w:t>
      </w:r>
      <w:r w:rsidRPr="005B66DE">
        <w:rPr>
          <w:rFonts w:eastAsia="Times New Roman" w:cs="Times New Roman"/>
          <w:kern w:val="3"/>
          <w:szCs w:val="24"/>
        </w:rPr>
        <w:t>.</w:t>
      </w:r>
      <w:r w:rsidRPr="005B66DE">
        <w:rPr>
          <w:rFonts w:eastAsia="Times New Roman" w:cs="Times New Roman"/>
          <w:kern w:val="3"/>
          <w:szCs w:val="24"/>
          <w:vertAlign w:val="superscript"/>
        </w:rPr>
        <w:footnoteReference w:id="14"/>
      </w:r>
      <w:r w:rsidRPr="005B66DE">
        <w:rPr>
          <w:rFonts w:eastAsia="Times New Roman" w:cs="Times New Roman"/>
          <w:kern w:val="3"/>
          <w:szCs w:val="24"/>
        </w:rPr>
        <w:t xml:space="preserve"> </w:t>
      </w:r>
      <w:r w:rsidR="00304C4E">
        <w:rPr>
          <w:rFonts w:eastAsia="Times New Roman" w:cs="Times New Roman"/>
          <w:kern w:val="3"/>
          <w:szCs w:val="24"/>
        </w:rPr>
        <w:t>For such large entities, their size provides</w:t>
      </w:r>
      <w:r w:rsidRPr="005B66DE">
        <w:rPr>
          <w:rFonts w:eastAsia="Times New Roman" w:cs="Times New Roman"/>
          <w:kern w:val="3"/>
          <w:szCs w:val="24"/>
        </w:rPr>
        <w:t xml:space="preserve"> a safety net and a guarantee by public authorities that whatever their policy, their survivability is assured at the expense of public funding through</w:t>
      </w:r>
      <w:r w:rsidR="004A026C" w:rsidRPr="005B66DE">
        <w:rPr>
          <w:rFonts w:eastAsia="Times New Roman" w:cs="Times New Roman"/>
          <w:kern w:val="3"/>
          <w:szCs w:val="24"/>
        </w:rPr>
        <w:t xml:space="preserve"> government bailout</w:t>
      </w:r>
      <w:r w:rsidRPr="005B66DE">
        <w:rPr>
          <w:rFonts w:eastAsia="Times New Roman" w:cs="Times New Roman"/>
          <w:kern w:val="3"/>
          <w:szCs w:val="24"/>
        </w:rPr>
        <w:t>.</w:t>
      </w:r>
      <w:r w:rsidR="00304C4E">
        <w:rPr>
          <w:rStyle w:val="FootnoteReference"/>
          <w:rFonts w:eastAsia="Times New Roman" w:cs="Times New Roman"/>
          <w:kern w:val="3"/>
          <w:szCs w:val="24"/>
        </w:rPr>
        <w:footnoteReference w:id="15"/>
      </w:r>
      <w:r w:rsidRPr="005B66DE">
        <w:rPr>
          <w:rFonts w:eastAsia="Times New Roman" w:cs="Times New Roman"/>
          <w:kern w:val="3"/>
          <w:szCs w:val="24"/>
        </w:rPr>
        <w:t xml:space="preserve"> The strategic pursuit of economies of scales can therefore be misleading, based on fallacies that negate the risks of size, </w:t>
      </w:r>
      <w:r w:rsidR="00FF4E94">
        <w:rPr>
          <w:rFonts w:eastAsia="Times New Roman" w:cs="Times New Roman"/>
          <w:kern w:val="3"/>
          <w:szCs w:val="24"/>
        </w:rPr>
        <w:t>lack of accountability for</w:t>
      </w:r>
      <w:r w:rsidRPr="005B66DE">
        <w:rPr>
          <w:rFonts w:eastAsia="Times New Roman" w:cs="Times New Roman"/>
          <w:kern w:val="3"/>
          <w:szCs w:val="24"/>
        </w:rPr>
        <w:t xml:space="preserve"> latent and dependent risks, their moral hazard and significant risk externalities.</w:t>
      </w:r>
      <w:r w:rsidR="00304C4E">
        <w:rPr>
          <w:rStyle w:val="FootnoteReference"/>
          <w:rFonts w:eastAsia="Times New Roman" w:cs="Times New Roman"/>
          <w:kern w:val="3"/>
          <w:szCs w:val="24"/>
        </w:rPr>
        <w:footnoteReference w:id="16"/>
      </w:r>
      <w:r w:rsidRPr="005B66DE">
        <w:rPr>
          <w:rFonts w:eastAsia="Times New Roman" w:cs="Times New Roman"/>
          <w:kern w:val="3"/>
          <w:szCs w:val="24"/>
        </w:rPr>
        <w:t xml:space="preserve"> </w:t>
      </w:r>
      <w:r w:rsidR="00304C4E">
        <w:rPr>
          <w:rFonts w:eastAsia="Times New Roman" w:cs="Times New Roman"/>
          <w:kern w:val="3"/>
          <w:szCs w:val="24"/>
        </w:rPr>
        <w:t xml:space="preserve">TBTF institutions are also referred to as </w:t>
      </w:r>
      <w:r w:rsidRPr="005B66DE">
        <w:rPr>
          <w:rFonts w:eastAsia="Times New Roman" w:cs="Times New Roman"/>
          <w:kern w:val="3"/>
          <w:szCs w:val="24"/>
        </w:rPr>
        <w:t xml:space="preserve">SIFI (Systematically </w:t>
      </w:r>
      <w:r w:rsidRPr="005B66DE">
        <w:rPr>
          <w:rFonts w:eastAsia="Times New Roman" w:cs="Times New Roman"/>
          <w:kern w:val="3"/>
          <w:szCs w:val="24"/>
        </w:rPr>
        <w:lastRenderedPageBreak/>
        <w:t>important financial institution).</w:t>
      </w:r>
      <w:r w:rsidR="0068565D" w:rsidRPr="005B66DE">
        <w:rPr>
          <w:rFonts w:eastAsiaTheme="minorEastAsia" w:cs="Times New Roman"/>
          <w:kern w:val="3"/>
          <w:szCs w:val="24"/>
        </w:rPr>
        <w:t xml:space="preserve"> </w:t>
      </w:r>
    </w:p>
    <w:p w14:paraId="21381AA8" w14:textId="3CBD7CBB" w:rsidR="00FF4E94" w:rsidRDefault="00304C4E"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Pr>
          <w:rFonts w:eastAsia="Times New Roman" w:cs="Times New Roman"/>
          <w:kern w:val="3"/>
          <w:szCs w:val="24"/>
        </w:rPr>
        <w:t xml:space="preserve">Closer home, </w:t>
      </w:r>
      <w:r w:rsidR="007D33D2" w:rsidRPr="005B66DE">
        <w:rPr>
          <w:rFonts w:eastAsia="Times New Roman" w:cs="Times New Roman"/>
          <w:kern w:val="3"/>
          <w:szCs w:val="24"/>
        </w:rPr>
        <w:t xml:space="preserve">Kenya </w:t>
      </w:r>
      <w:r>
        <w:rPr>
          <w:rFonts w:eastAsia="Times New Roman" w:cs="Times New Roman"/>
          <w:kern w:val="3"/>
          <w:szCs w:val="24"/>
        </w:rPr>
        <w:t xml:space="preserve">has </w:t>
      </w:r>
      <w:r w:rsidR="007D33D2" w:rsidRPr="005B66DE">
        <w:rPr>
          <w:rFonts w:eastAsia="Times New Roman" w:cs="Times New Roman"/>
          <w:kern w:val="3"/>
          <w:szCs w:val="24"/>
        </w:rPr>
        <w:t xml:space="preserve">several </w:t>
      </w:r>
      <w:r>
        <w:rPr>
          <w:rFonts w:eastAsia="Times New Roman" w:cs="Times New Roman"/>
          <w:kern w:val="3"/>
          <w:szCs w:val="24"/>
        </w:rPr>
        <w:t>industries</w:t>
      </w:r>
      <w:r w:rsidR="00FF4E94">
        <w:rPr>
          <w:rFonts w:eastAsia="Times New Roman" w:cs="Times New Roman"/>
          <w:kern w:val="3"/>
          <w:szCs w:val="24"/>
        </w:rPr>
        <w:t xml:space="preserve"> that</w:t>
      </w:r>
      <w:r>
        <w:rPr>
          <w:rFonts w:eastAsia="Times New Roman" w:cs="Times New Roman"/>
          <w:kern w:val="3"/>
          <w:szCs w:val="24"/>
        </w:rPr>
        <w:t xml:space="preserve"> have been </w:t>
      </w:r>
      <w:r w:rsidR="00EB0067">
        <w:rPr>
          <w:rFonts w:eastAsia="Times New Roman" w:cs="Times New Roman"/>
          <w:kern w:val="3"/>
          <w:szCs w:val="24"/>
        </w:rPr>
        <w:t>“</w:t>
      </w:r>
      <w:r>
        <w:rPr>
          <w:rFonts w:eastAsia="Times New Roman" w:cs="Times New Roman"/>
          <w:kern w:val="3"/>
          <w:szCs w:val="24"/>
        </w:rPr>
        <w:t>accorded</w:t>
      </w:r>
      <w:r w:rsidR="00EB0067">
        <w:rPr>
          <w:rFonts w:eastAsia="Times New Roman" w:cs="Times New Roman"/>
          <w:kern w:val="3"/>
          <w:szCs w:val="24"/>
        </w:rPr>
        <w:t>”</w:t>
      </w:r>
      <w:r>
        <w:rPr>
          <w:rFonts w:eastAsia="Times New Roman" w:cs="Times New Roman"/>
          <w:kern w:val="3"/>
          <w:szCs w:val="24"/>
        </w:rPr>
        <w:t xml:space="preserve"> the TBTF </w:t>
      </w:r>
      <w:r w:rsidR="00FF4E94">
        <w:rPr>
          <w:rFonts w:eastAsia="Times New Roman" w:cs="Times New Roman"/>
          <w:kern w:val="3"/>
          <w:szCs w:val="24"/>
        </w:rPr>
        <w:t xml:space="preserve">status and their failure resulted in </w:t>
      </w:r>
      <w:r w:rsidR="007D33D2" w:rsidRPr="005B66DE">
        <w:rPr>
          <w:rFonts w:eastAsia="Times New Roman" w:cs="Times New Roman"/>
          <w:kern w:val="3"/>
          <w:szCs w:val="24"/>
        </w:rPr>
        <w:t>governm</w:t>
      </w:r>
      <w:r w:rsidR="00FF4E94">
        <w:rPr>
          <w:rFonts w:eastAsia="Times New Roman" w:cs="Times New Roman"/>
          <w:kern w:val="3"/>
          <w:szCs w:val="24"/>
        </w:rPr>
        <w:t>ents</w:t>
      </w:r>
      <w:r w:rsidR="00EB0067">
        <w:rPr>
          <w:rFonts w:eastAsia="Times New Roman" w:cs="Times New Roman"/>
          <w:kern w:val="3"/>
          <w:szCs w:val="24"/>
        </w:rPr>
        <w:t>’</w:t>
      </w:r>
      <w:r w:rsidR="00FF4E94">
        <w:rPr>
          <w:rFonts w:eastAsia="Times New Roman" w:cs="Times New Roman"/>
          <w:kern w:val="3"/>
          <w:szCs w:val="24"/>
        </w:rPr>
        <w:t xml:space="preserve"> intervention. Most notably, </w:t>
      </w:r>
      <w:r w:rsidR="007D33D2" w:rsidRPr="005B66DE">
        <w:rPr>
          <w:rFonts w:eastAsia="Times New Roman" w:cs="Times New Roman"/>
          <w:kern w:val="3"/>
          <w:szCs w:val="24"/>
        </w:rPr>
        <w:t>Kenya Airways (KQ) required significant government intervention through bailouts and governance.</w:t>
      </w:r>
      <w:r w:rsidR="007D33D2" w:rsidRPr="005B66DE">
        <w:rPr>
          <w:rFonts w:eastAsia="Times New Roman" w:cs="Times New Roman"/>
          <w:kern w:val="3"/>
          <w:szCs w:val="24"/>
          <w:vertAlign w:val="superscript"/>
        </w:rPr>
        <w:footnoteReference w:id="17"/>
      </w:r>
      <w:r w:rsidR="007D33D2" w:rsidRPr="005B66DE">
        <w:rPr>
          <w:rFonts w:eastAsia="Times New Roman" w:cs="Times New Roman"/>
          <w:kern w:val="3"/>
          <w:szCs w:val="24"/>
        </w:rPr>
        <w:t xml:space="preserve"> </w:t>
      </w:r>
      <w:r w:rsidR="0010640F">
        <w:rPr>
          <w:rFonts w:eastAsia="Times New Roman" w:cs="Times New Roman"/>
          <w:kern w:val="3"/>
          <w:szCs w:val="24"/>
        </w:rPr>
        <w:t>In the Banking industry, the desire to amass economies of scale can be evidenced by the prevalence of mer</w:t>
      </w:r>
      <w:r w:rsidR="00FF4E94">
        <w:rPr>
          <w:rFonts w:eastAsia="Times New Roman" w:cs="Times New Roman"/>
          <w:kern w:val="3"/>
          <w:szCs w:val="24"/>
        </w:rPr>
        <w:t>gers of financial institutions.</w:t>
      </w:r>
      <w:r w:rsidR="0010640F">
        <w:rPr>
          <w:rStyle w:val="FootnoteReference"/>
          <w:rFonts w:eastAsia="Times New Roman" w:cs="Times New Roman"/>
          <w:kern w:val="3"/>
          <w:szCs w:val="24"/>
        </w:rPr>
        <w:footnoteReference w:id="18"/>
      </w:r>
      <w:r w:rsidR="0010640F">
        <w:rPr>
          <w:rFonts w:eastAsia="Times New Roman" w:cs="Times New Roman"/>
          <w:kern w:val="3"/>
          <w:szCs w:val="24"/>
        </w:rPr>
        <w:t xml:space="preserve"> </w:t>
      </w:r>
      <w:r w:rsidR="00FF4E94">
        <w:rPr>
          <w:rFonts w:eastAsia="Times New Roman" w:cs="Times New Roman"/>
          <w:kern w:val="3"/>
          <w:szCs w:val="24"/>
        </w:rPr>
        <w:t>The Central Bank of Kenya, the main regulatory institution governing banks in Kenya, classifies banks according to Tiers</w:t>
      </w:r>
      <w:r w:rsidR="00FB07EB">
        <w:rPr>
          <w:rFonts w:eastAsia="Times New Roman" w:cs="Times New Roman"/>
          <w:kern w:val="3"/>
          <w:szCs w:val="24"/>
        </w:rPr>
        <w:t xml:space="preserve"> </w:t>
      </w:r>
      <w:r w:rsidR="003C5763">
        <w:rPr>
          <w:rFonts w:eastAsia="Times New Roman" w:cs="Times New Roman"/>
          <w:kern w:val="3"/>
          <w:szCs w:val="24"/>
        </w:rPr>
        <w:t>bas</w:t>
      </w:r>
      <w:r w:rsidR="00EB0067">
        <w:rPr>
          <w:rFonts w:eastAsia="Times New Roman" w:cs="Times New Roman"/>
          <w:kern w:val="3"/>
          <w:szCs w:val="24"/>
        </w:rPr>
        <w:t>e</w:t>
      </w:r>
      <w:r w:rsidR="003C5763">
        <w:rPr>
          <w:rFonts w:eastAsia="Times New Roman" w:cs="Times New Roman"/>
          <w:kern w:val="3"/>
          <w:szCs w:val="24"/>
        </w:rPr>
        <w:t xml:space="preserve">d on </w:t>
      </w:r>
      <w:r w:rsidR="00FB07EB">
        <w:rPr>
          <w:rFonts w:eastAsia="Times New Roman" w:cs="Times New Roman"/>
          <w:kern w:val="3"/>
          <w:szCs w:val="24"/>
        </w:rPr>
        <w:t>their weighted index; notably, Tier 1 banks are considered TBTF.</w:t>
      </w:r>
      <w:r w:rsidR="00FB07EB">
        <w:rPr>
          <w:rStyle w:val="FootnoteReference"/>
          <w:rFonts w:eastAsia="Times New Roman" w:cs="Times New Roman"/>
          <w:kern w:val="3"/>
          <w:szCs w:val="24"/>
        </w:rPr>
        <w:footnoteReference w:id="19"/>
      </w:r>
    </w:p>
    <w:p w14:paraId="0C493133" w14:textId="00636ADD" w:rsidR="007D33D2" w:rsidRPr="0010640F" w:rsidRDefault="0010640F" w:rsidP="007D33D2">
      <w:pPr>
        <w:widowControl w:val="0"/>
        <w:suppressAutoHyphens/>
        <w:overflowPunct w:val="0"/>
        <w:autoSpaceDE w:val="0"/>
        <w:autoSpaceDN w:val="0"/>
        <w:spacing w:after="200" w:line="360" w:lineRule="auto"/>
        <w:textAlignment w:val="baseline"/>
        <w:rPr>
          <w:rFonts w:eastAsia="Times New Roman" w:cs="Times New Roman"/>
          <w:kern w:val="3"/>
          <w:szCs w:val="24"/>
        </w:rPr>
      </w:pPr>
      <w:r>
        <w:rPr>
          <w:rFonts w:eastAsia="Times New Roman" w:cs="Times New Roman"/>
          <w:kern w:val="3"/>
          <w:szCs w:val="24"/>
        </w:rPr>
        <w:t xml:space="preserve">Consequently, this research </w:t>
      </w:r>
      <w:r w:rsidR="00FF4E94">
        <w:rPr>
          <w:rFonts w:eastAsia="Times New Roman" w:cs="Times New Roman"/>
          <w:kern w:val="3"/>
          <w:szCs w:val="24"/>
        </w:rPr>
        <w:t>suggests that th</w:t>
      </w:r>
      <w:r>
        <w:rPr>
          <w:rFonts w:eastAsia="Times New Roman" w:cs="Times New Roman"/>
          <w:kern w:val="3"/>
          <w:szCs w:val="24"/>
        </w:rPr>
        <w:t xml:space="preserve">e legal </w:t>
      </w:r>
      <w:r w:rsidR="00FF4E94">
        <w:rPr>
          <w:rFonts w:eastAsia="Times New Roman" w:cs="Times New Roman"/>
          <w:kern w:val="3"/>
          <w:szCs w:val="24"/>
        </w:rPr>
        <w:t>framework governing the mergers of banks is a potential catalyst for creation of TBTF banks and provides measures that may govern such growth aimed at curbing the negative effects of TBTF.</w:t>
      </w:r>
    </w:p>
    <w:p w14:paraId="6EF11BA2" w14:textId="6769D24E" w:rsidR="007D33D2" w:rsidRPr="00A02E4F" w:rsidRDefault="00A02E4F" w:rsidP="006A35E3">
      <w:pPr>
        <w:pStyle w:val="ListParagraph"/>
        <w:keepNext/>
        <w:keepLines/>
        <w:widowControl w:val="0"/>
        <w:numPr>
          <w:ilvl w:val="1"/>
          <w:numId w:val="3"/>
        </w:numPr>
        <w:suppressAutoHyphens/>
        <w:overflowPunct w:val="0"/>
        <w:autoSpaceDE w:val="0"/>
        <w:autoSpaceDN w:val="0"/>
        <w:spacing w:before="240" w:after="0" w:line="360" w:lineRule="auto"/>
        <w:textAlignment w:val="baseline"/>
        <w:outlineLvl w:val="0"/>
        <w:rPr>
          <w:rFonts w:eastAsiaTheme="majorEastAsia" w:cs="Times New Roman"/>
          <w:b/>
          <w:color w:val="000000" w:themeColor="text1"/>
          <w:kern w:val="3"/>
          <w:szCs w:val="32"/>
        </w:rPr>
      </w:pPr>
      <w:bookmarkStart w:id="12" w:name="_Toc36098960"/>
      <w:r>
        <w:rPr>
          <w:rStyle w:val="Heading2Char"/>
          <w:color w:val="000000" w:themeColor="text1"/>
        </w:rPr>
        <w:t xml:space="preserve">      </w:t>
      </w:r>
      <w:bookmarkStart w:id="13" w:name="_Toc62552872"/>
      <w:r w:rsidR="007D33D2" w:rsidRPr="00A02E4F">
        <w:rPr>
          <w:rStyle w:val="Heading2Char"/>
          <w:color w:val="000000" w:themeColor="text1"/>
        </w:rPr>
        <w:t>STATEMENT OF PROBLEM</w:t>
      </w:r>
      <w:bookmarkEnd w:id="12"/>
      <w:bookmarkEnd w:id="13"/>
      <w:r w:rsidR="007D33D2" w:rsidRPr="00A02E4F">
        <w:rPr>
          <w:rFonts w:eastAsiaTheme="majorEastAsia" w:cs="Times New Roman"/>
          <w:b/>
          <w:color w:val="000000" w:themeColor="text1"/>
          <w:kern w:val="3"/>
          <w:szCs w:val="32"/>
        </w:rPr>
        <w:t xml:space="preserve"> </w:t>
      </w:r>
    </w:p>
    <w:p w14:paraId="6AD76800" w14:textId="18C5097C" w:rsidR="00FB07EB" w:rsidRDefault="007D33D2" w:rsidP="0068565D">
      <w:pPr>
        <w:widowControl w:val="0"/>
        <w:suppressAutoHyphens/>
        <w:overflowPunct w:val="0"/>
        <w:autoSpaceDE w:val="0"/>
        <w:autoSpaceDN w:val="0"/>
        <w:spacing w:line="360" w:lineRule="auto"/>
        <w:textAlignment w:val="baseline"/>
        <w:rPr>
          <w:rFonts w:eastAsia="Times New Roman" w:cs="Times New Roman"/>
          <w:kern w:val="3"/>
          <w:szCs w:val="24"/>
        </w:rPr>
      </w:pPr>
      <w:r w:rsidRPr="005B66DE">
        <w:rPr>
          <w:rFonts w:eastAsia="Times New Roman" w:cs="Times New Roman"/>
          <w:kern w:val="3"/>
          <w:szCs w:val="24"/>
        </w:rPr>
        <w:t>I</w:t>
      </w:r>
      <w:r w:rsidR="006F7DFD">
        <w:rPr>
          <w:rFonts w:eastAsia="Times New Roman" w:cs="Times New Roman"/>
          <w:kern w:val="3"/>
          <w:szCs w:val="24"/>
        </w:rPr>
        <w:t>t is</w:t>
      </w:r>
      <w:r w:rsidRPr="005B66DE">
        <w:rPr>
          <w:rFonts w:eastAsia="Times New Roman" w:cs="Times New Roman"/>
          <w:kern w:val="3"/>
          <w:szCs w:val="24"/>
        </w:rPr>
        <w:t xml:space="preserve"> expected tha</w:t>
      </w:r>
      <w:r w:rsidR="00767B11">
        <w:rPr>
          <w:rFonts w:eastAsia="Times New Roman" w:cs="Times New Roman"/>
          <w:kern w:val="3"/>
          <w:szCs w:val="24"/>
        </w:rPr>
        <w:t xml:space="preserve">t </w:t>
      </w:r>
      <w:r w:rsidRPr="005B66DE">
        <w:rPr>
          <w:rFonts w:eastAsia="Times New Roman" w:cs="Times New Roman"/>
          <w:kern w:val="3"/>
          <w:szCs w:val="24"/>
        </w:rPr>
        <w:t>le</w:t>
      </w:r>
      <w:r w:rsidR="006F7DFD">
        <w:rPr>
          <w:rFonts w:eastAsia="Times New Roman" w:cs="Times New Roman"/>
          <w:kern w:val="3"/>
          <w:szCs w:val="24"/>
        </w:rPr>
        <w:t xml:space="preserve">gislation </w:t>
      </w:r>
      <w:r w:rsidR="00767B11">
        <w:rPr>
          <w:rFonts w:eastAsia="Times New Roman" w:cs="Times New Roman"/>
          <w:kern w:val="3"/>
          <w:szCs w:val="24"/>
        </w:rPr>
        <w:t xml:space="preserve">and its implementation through relevant institutional framework results in proper </w:t>
      </w:r>
      <w:r w:rsidRPr="005B66DE">
        <w:rPr>
          <w:rFonts w:eastAsia="Times New Roman" w:cs="Times New Roman"/>
          <w:kern w:val="3"/>
          <w:szCs w:val="24"/>
        </w:rPr>
        <w:t xml:space="preserve">governance of banks by ensuring </w:t>
      </w:r>
      <w:r w:rsidR="006F7DFD">
        <w:rPr>
          <w:rFonts w:eastAsia="Times New Roman" w:cs="Times New Roman"/>
          <w:kern w:val="3"/>
          <w:szCs w:val="24"/>
        </w:rPr>
        <w:t xml:space="preserve">that </w:t>
      </w:r>
      <w:r w:rsidR="00DB2B5C">
        <w:rPr>
          <w:rFonts w:eastAsia="Times New Roman" w:cs="Times New Roman"/>
          <w:kern w:val="3"/>
          <w:szCs w:val="24"/>
        </w:rPr>
        <w:t>licensed banks adhere to</w:t>
      </w:r>
      <w:r w:rsidRPr="005B66DE">
        <w:rPr>
          <w:rFonts w:eastAsia="Times New Roman" w:cs="Times New Roman"/>
          <w:kern w:val="3"/>
          <w:szCs w:val="24"/>
        </w:rPr>
        <w:t xml:space="preserve"> principles of healthy banking </w:t>
      </w:r>
      <w:r w:rsidR="00DC0226">
        <w:rPr>
          <w:rFonts w:eastAsia="Times New Roman" w:cs="Times New Roman"/>
          <w:kern w:val="3"/>
          <w:szCs w:val="24"/>
        </w:rPr>
        <w:t xml:space="preserve">including </w:t>
      </w:r>
      <w:r w:rsidRPr="005B66DE">
        <w:rPr>
          <w:rFonts w:eastAsia="Times New Roman" w:cs="Times New Roman"/>
          <w:kern w:val="3"/>
          <w:szCs w:val="24"/>
        </w:rPr>
        <w:t>capital adequacy, asset quality, proper management, protected earnings, liquidity and discerning market risk without much supervision.</w:t>
      </w:r>
      <w:r w:rsidR="006F7DFD">
        <w:rPr>
          <w:rStyle w:val="FootnoteReference"/>
          <w:rFonts w:eastAsia="Times New Roman" w:cs="Times New Roman"/>
          <w:kern w:val="3"/>
          <w:szCs w:val="24"/>
        </w:rPr>
        <w:footnoteReference w:id="20"/>
      </w:r>
      <w:r w:rsidRPr="005B66DE">
        <w:rPr>
          <w:rFonts w:eastAsia="Times New Roman" w:cs="Times New Roman"/>
          <w:kern w:val="3"/>
          <w:szCs w:val="24"/>
        </w:rPr>
        <w:t xml:space="preserve"> However, this does not appear</w:t>
      </w:r>
      <w:r w:rsidR="006F7DFD">
        <w:rPr>
          <w:rFonts w:eastAsia="Times New Roman" w:cs="Times New Roman"/>
          <w:kern w:val="3"/>
          <w:szCs w:val="24"/>
        </w:rPr>
        <w:t xml:space="preserve"> to be the case as envisioned</w:t>
      </w:r>
      <w:r w:rsidR="004E1C57">
        <w:rPr>
          <w:rFonts w:eastAsia="Times New Roman" w:cs="Times New Roman"/>
          <w:kern w:val="3"/>
          <w:szCs w:val="24"/>
        </w:rPr>
        <w:t xml:space="preserve"> by legislators and policy makers as </w:t>
      </w:r>
      <w:r w:rsidR="006F7DFD">
        <w:rPr>
          <w:rFonts w:eastAsia="Times New Roman" w:cs="Times New Roman"/>
          <w:kern w:val="3"/>
          <w:szCs w:val="24"/>
        </w:rPr>
        <w:t>b</w:t>
      </w:r>
      <w:r w:rsidRPr="005B66DE">
        <w:rPr>
          <w:rFonts w:eastAsia="Times New Roman" w:cs="Times New Roman"/>
          <w:kern w:val="3"/>
          <w:szCs w:val="24"/>
        </w:rPr>
        <w:t>anks are still plagued by issues of cor</w:t>
      </w:r>
      <w:r w:rsidR="004E1C57">
        <w:rPr>
          <w:rFonts w:eastAsia="Times New Roman" w:cs="Times New Roman"/>
          <w:kern w:val="3"/>
          <w:szCs w:val="24"/>
        </w:rPr>
        <w:t xml:space="preserve">ruption, mismanagement, </w:t>
      </w:r>
      <w:r w:rsidRPr="005B66DE">
        <w:rPr>
          <w:rFonts w:eastAsia="Times New Roman" w:cs="Times New Roman"/>
          <w:kern w:val="3"/>
          <w:szCs w:val="24"/>
        </w:rPr>
        <w:t>misappropriation and a plethora of other reasons concerning transparency and accountability.</w:t>
      </w:r>
      <w:r w:rsidR="006B38F0">
        <w:rPr>
          <w:rStyle w:val="FootnoteReference"/>
          <w:rFonts w:eastAsia="Times New Roman" w:cs="Times New Roman"/>
          <w:kern w:val="3"/>
          <w:szCs w:val="24"/>
        </w:rPr>
        <w:footnoteReference w:id="21"/>
      </w:r>
      <w:r w:rsidRPr="005B66DE">
        <w:rPr>
          <w:rFonts w:eastAsia="Times New Roman" w:cs="Times New Roman"/>
          <w:kern w:val="3"/>
          <w:szCs w:val="24"/>
        </w:rPr>
        <w:t xml:space="preserve"> </w:t>
      </w:r>
      <w:r w:rsidR="00DC0226">
        <w:rPr>
          <w:rFonts w:eastAsia="Times New Roman" w:cs="Times New Roman"/>
          <w:kern w:val="3"/>
          <w:szCs w:val="24"/>
        </w:rPr>
        <w:t xml:space="preserve">It </w:t>
      </w:r>
      <w:r w:rsidR="006F7DFD">
        <w:rPr>
          <w:rFonts w:eastAsia="Times New Roman" w:cs="Times New Roman"/>
          <w:kern w:val="3"/>
          <w:szCs w:val="24"/>
        </w:rPr>
        <w:t>follows that TBTF</w:t>
      </w:r>
      <w:r w:rsidR="00795954" w:rsidRPr="005B66DE">
        <w:rPr>
          <w:rFonts w:eastAsia="Times New Roman" w:cs="Times New Roman"/>
          <w:kern w:val="3"/>
          <w:szCs w:val="24"/>
        </w:rPr>
        <w:t xml:space="preserve"> banks </w:t>
      </w:r>
      <w:r w:rsidR="006F7DFD">
        <w:rPr>
          <w:rFonts w:eastAsia="Times New Roman" w:cs="Times New Roman"/>
          <w:kern w:val="3"/>
          <w:szCs w:val="24"/>
        </w:rPr>
        <w:t>face the s</w:t>
      </w:r>
      <w:r w:rsidR="00DC0226">
        <w:rPr>
          <w:rFonts w:eastAsia="Times New Roman" w:cs="Times New Roman"/>
          <w:kern w:val="3"/>
          <w:szCs w:val="24"/>
        </w:rPr>
        <w:t xml:space="preserve">ame kind of challenges but pose more </w:t>
      </w:r>
      <w:r w:rsidR="006F7DFD">
        <w:rPr>
          <w:rFonts w:eastAsia="Times New Roman" w:cs="Times New Roman"/>
          <w:kern w:val="3"/>
          <w:szCs w:val="24"/>
        </w:rPr>
        <w:t>adverse consequences</w:t>
      </w:r>
      <w:r w:rsidR="008C18E4">
        <w:rPr>
          <w:rFonts w:eastAsia="Times New Roman" w:cs="Times New Roman"/>
          <w:kern w:val="3"/>
          <w:szCs w:val="24"/>
        </w:rPr>
        <w:t xml:space="preserve"> to the eco</w:t>
      </w:r>
      <w:r w:rsidR="00FB07EB">
        <w:rPr>
          <w:rFonts w:eastAsia="Times New Roman" w:cs="Times New Roman"/>
          <w:kern w:val="3"/>
          <w:szCs w:val="24"/>
        </w:rPr>
        <w:t>nomy</w:t>
      </w:r>
      <w:r w:rsidR="006F7DFD">
        <w:rPr>
          <w:rFonts w:eastAsia="Times New Roman" w:cs="Times New Roman"/>
          <w:kern w:val="3"/>
          <w:szCs w:val="24"/>
        </w:rPr>
        <w:t xml:space="preserve"> due to their</w:t>
      </w:r>
      <w:r w:rsidR="00DC0226">
        <w:rPr>
          <w:rFonts w:eastAsia="Times New Roman" w:cs="Times New Roman"/>
          <w:kern w:val="3"/>
          <w:szCs w:val="24"/>
        </w:rPr>
        <w:t xml:space="preserve"> integral role and extensive scale in</w:t>
      </w:r>
      <w:r w:rsidR="006F7DFD">
        <w:rPr>
          <w:rFonts w:eastAsia="Times New Roman" w:cs="Times New Roman"/>
          <w:kern w:val="3"/>
          <w:szCs w:val="24"/>
        </w:rPr>
        <w:t xml:space="preserve"> </w:t>
      </w:r>
      <w:r w:rsidR="00DC0226">
        <w:rPr>
          <w:rFonts w:eastAsia="Times New Roman" w:cs="Times New Roman"/>
          <w:kern w:val="3"/>
          <w:szCs w:val="24"/>
        </w:rPr>
        <w:t>an economy</w:t>
      </w:r>
      <w:r w:rsidR="00795954" w:rsidRPr="005B66DE">
        <w:rPr>
          <w:rFonts w:eastAsia="Times New Roman" w:cs="Times New Roman"/>
          <w:kern w:val="3"/>
          <w:szCs w:val="24"/>
        </w:rPr>
        <w:t xml:space="preserve">. </w:t>
      </w:r>
      <w:r w:rsidR="00DC0226">
        <w:rPr>
          <w:rFonts w:eastAsia="Times New Roman" w:cs="Times New Roman"/>
          <w:kern w:val="3"/>
          <w:szCs w:val="24"/>
        </w:rPr>
        <w:t xml:space="preserve">Consequently, there is an urgent need </w:t>
      </w:r>
      <w:r w:rsidR="00795954" w:rsidRPr="005B66DE">
        <w:rPr>
          <w:rFonts w:eastAsia="Times New Roman" w:cs="Times New Roman"/>
          <w:kern w:val="3"/>
          <w:szCs w:val="24"/>
        </w:rPr>
        <w:t>to mitigate the</w:t>
      </w:r>
      <w:r w:rsidR="00DC0226">
        <w:rPr>
          <w:rFonts w:eastAsia="Times New Roman" w:cs="Times New Roman"/>
          <w:kern w:val="3"/>
          <w:szCs w:val="24"/>
        </w:rPr>
        <w:t xml:space="preserve"> growth </w:t>
      </w:r>
      <w:r w:rsidR="006B38F0">
        <w:rPr>
          <w:rFonts w:eastAsia="Times New Roman" w:cs="Times New Roman"/>
          <w:kern w:val="3"/>
          <w:szCs w:val="24"/>
        </w:rPr>
        <w:t xml:space="preserve">of </w:t>
      </w:r>
      <w:r w:rsidR="00DC0226">
        <w:rPr>
          <w:rFonts w:eastAsia="Times New Roman" w:cs="Times New Roman"/>
          <w:kern w:val="3"/>
          <w:szCs w:val="24"/>
        </w:rPr>
        <w:t>TBFT</w:t>
      </w:r>
      <w:r w:rsidR="006B38F0">
        <w:rPr>
          <w:rFonts w:eastAsia="Times New Roman" w:cs="Times New Roman"/>
          <w:kern w:val="3"/>
          <w:szCs w:val="24"/>
        </w:rPr>
        <w:t xml:space="preserve"> banks</w:t>
      </w:r>
      <w:r w:rsidR="00DC0226">
        <w:rPr>
          <w:rFonts w:eastAsia="Times New Roman" w:cs="Times New Roman"/>
          <w:kern w:val="3"/>
          <w:szCs w:val="24"/>
        </w:rPr>
        <w:t xml:space="preserve"> and the </w:t>
      </w:r>
      <w:r w:rsidR="00DC0226">
        <w:rPr>
          <w:rFonts w:eastAsia="Times New Roman" w:cs="Times New Roman"/>
          <w:kern w:val="3"/>
          <w:szCs w:val="24"/>
        </w:rPr>
        <w:lastRenderedPageBreak/>
        <w:t>potential risk they</w:t>
      </w:r>
      <w:r w:rsidR="006B38F0">
        <w:rPr>
          <w:rFonts w:eastAsia="Times New Roman" w:cs="Times New Roman"/>
          <w:kern w:val="3"/>
          <w:szCs w:val="24"/>
        </w:rPr>
        <w:t xml:space="preserve"> pose to Kenya’s </w:t>
      </w:r>
      <w:r w:rsidR="00DC0226">
        <w:rPr>
          <w:rFonts w:eastAsia="Times New Roman" w:cs="Times New Roman"/>
          <w:kern w:val="3"/>
          <w:szCs w:val="24"/>
        </w:rPr>
        <w:t>economy</w:t>
      </w:r>
      <w:r w:rsidR="00795954" w:rsidRPr="005B66DE">
        <w:rPr>
          <w:rFonts w:eastAsia="Times New Roman" w:cs="Times New Roman"/>
          <w:kern w:val="3"/>
          <w:szCs w:val="24"/>
        </w:rPr>
        <w:t xml:space="preserve">. </w:t>
      </w:r>
      <w:r w:rsidRPr="005B66DE">
        <w:rPr>
          <w:rFonts w:eastAsia="Times New Roman" w:cs="Times New Roman"/>
          <w:kern w:val="3"/>
          <w:szCs w:val="24"/>
        </w:rPr>
        <w:t xml:space="preserve"> </w:t>
      </w:r>
    </w:p>
    <w:p w14:paraId="3323138E" w14:textId="63B1FE4F" w:rsidR="008C18E4" w:rsidRDefault="006B38F0" w:rsidP="0068565D">
      <w:pPr>
        <w:widowControl w:val="0"/>
        <w:suppressAutoHyphens/>
        <w:overflowPunct w:val="0"/>
        <w:autoSpaceDE w:val="0"/>
        <w:autoSpaceDN w:val="0"/>
        <w:spacing w:line="360" w:lineRule="auto"/>
        <w:textAlignment w:val="baseline"/>
        <w:rPr>
          <w:rFonts w:eastAsia="Times New Roman" w:cs="Times New Roman"/>
          <w:kern w:val="3"/>
          <w:szCs w:val="24"/>
        </w:rPr>
      </w:pPr>
      <w:r>
        <w:rPr>
          <w:rFonts w:eastAsia="Times New Roman" w:cs="Times New Roman"/>
          <w:kern w:val="3"/>
          <w:szCs w:val="24"/>
        </w:rPr>
        <w:t>Drawing from the above, t</w:t>
      </w:r>
      <w:r w:rsidR="00DC0226">
        <w:rPr>
          <w:rFonts w:eastAsia="Times New Roman" w:cs="Times New Roman"/>
          <w:kern w:val="3"/>
          <w:szCs w:val="24"/>
        </w:rPr>
        <w:t xml:space="preserve">his </w:t>
      </w:r>
      <w:r>
        <w:rPr>
          <w:rFonts w:eastAsia="Times New Roman" w:cs="Times New Roman"/>
          <w:kern w:val="3"/>
          <w:szCs w:val="24"/>
        </w:rPr>
        <w:t xml:space="preserve">study </w:t>
      </w:r>
      <w:r w:rsidR="007D33D2" w:rsidRPr="005B66DE">
        <w:rPr>
          <w:rFonts w:eastAsia="Times New Roman" w:cs="Times New Roman"/>
          <w:kern w:val="3"/>
          <w:szCs w:val="24"/>
        </w:rPr>
        <w:t>investigate</w:t>
      </w:r>
      <w:r>
        <w:rPr>
          <w:rFonts w:eastAsia="Times New Roman" w:cs="Times New Roman"/>
          <w:kern w:val="3"/>
          <w:szCs w:val="24"/>
        </w:rPr>
        <w:t xml:space="preserve">s regulations enabling </w:t>
      </w:r>
      <w:r w:rsidR="007D33D2" w:rsidRPr="005B66DE">
        <w:rPr>
          <w:rFonts w:eastAsia="Times New Roman" w:cs="Times New Roman"/>
          <w:kern w:val="3"/>
          <w:szCs w:val="24"/>
        </w:rPr>
        <w:t xml:space="preserve">banks to grow both in size </w:t>
      </w:r>
      <w:r>
        <w:rPr>
          <w:rFonts w:eastAsia="Times New Roman" w:cs="Times New Roman"/>
          <w:kern w:val="3"/>
          <w:szCs w:val="24"/>
        </w:rPr>
        <w:t xml:space="preserve">and </w:t>
      </w:r>
      <w:r w:rsidR="007D33D2" w:rsidRPr="005B66DE">
        <w:rPr>
          <w:rFonts w:eastAsia="Times New Roman" w:cs="Times New Roman"/>
          <w:kern w:val="3"/>
          <w:szCs w:val="24"/>
        </w:rPr>
        <w:t>comple</w:t>
      </w:r>
      <w:r w:rsidR="004E1C57">
        <w:rPr>
          <w:rFonts w:eastAsia="Times New Roman" w:cs="Times New Roman"/>
          <w:kern w:val="3"/>
          <w:szCs w:val="24"/>
        </w:rPr>
        <w:t>xit</w:t>
      </w:r>
      <w:r w:rsidR="000840D6">
        <w:rPr>
          <w:rFonts w:eastAsia="Times New Roman" w:cs="Times New Roman"/>
          <w:kern w:val="3"/>
          <w:szCs w:val="24"/>
        </w:rPr>
        <w:t>y thus</w:t>
      </w:r>
      <w:r w:rsidR="004E1C57">
        <w:rPr>
          <w:rFonts w:eastAsia="Times New Roman" w:cs="Times New Roman"/>
          <w:kern w:val="3"/>
          <w:szCs w:val="24"/>
        </w:rPr>
        <w:t xml:space="preserve"> </w:t>
      </w:r>
      <w:r>
        <w:rPr>
          <w:rFonts w:eastAsia="Times New Roman" w:cs="Times New Roman"/>
          <w:kern w:val="3"/>
          <w:szCs w:val="24"/>
        </w:rPr>
        <w:t xml:space="preserve">ultimately achieving </w:t>
      </w:r>
      <w:r w:rsidR="004E1C57">
        <w:rPr>
          <w:rFonts w:eastAsia="Times New Roman" w:cs="Times New Roman"/>
          <w:kern w:val="3"/>
          <w:szCs w:val="24"/>
        </w:rPr>
        <w:t>TBTF status. Further</w:t>
      </w:r>
      <w:r w:rsidR="00743766">
        <w:rPr>
          <w:rFonts w:eastAsia="Times New Roman" w:cs="Times New Roman"/>
          <w:kern w:val="3"/>
          <w:szCs w:val="24"/>
        </w:rPr>
        <w:t xml:space="preserve">, it evaluates </w:t>
      </w:r>
      <w:r w:rsidR="0031528F">
        <w:rPr>
          <w:rFonts w:eastAsia="Times New Roman" w:cs="Times New Roman"/>
          <w:kern w:val="3"/>
          <w:szCs w:val="24"/>
        </w:rPr>
        <w:t xml:space="preserve">the current legal framework and its efficiency in preventing the </w:t>
      </w:r>
      <w:r w:rsidR="004E1C57">
        <w:rPr>
          <w:rFonts w:eastAsia="Times New Roman" w:cs="Times New Roman"/>
          <w:kern w:val="3"/>
          <w:szCs w:val="24"/>
        </w:rPr>
        <w:t xml:space="preserve">negative externalities </w:t>
      </w:r>
      <w:r w:rsidR="0031528F">
        <w:rPr>
          <w:rFonts w:eastAsia="Times New Roman" w:cs="Times New Roman"/>
          <w:kern w:val="3"/>
          <w:szCs w:val="24"/>
        </w:rPr>
        <w:t xml:space="preserve">caused by </w:t>
      </w:r>
      <w:r w:rsidR="000840D6">
        <w:rPr>
          <w:rFonts w:eastAsia="Times New Roman" w:cs="Times New Roman"/>
          <w:kern w:val="3"/>
          <w:szCs w:val="24"/>
        </w:rPr>
        <w:t xml:space="preserve">TBTF </w:t>
      </w:r>
      <w:r w:rsidR="0031528F">
        <w:rPr>
          <w:rFonts w:eastAsia="Times New Roman" w:cs="Times New Roman"/>
          <w:kern w:val="3"/>
          <w:szCs w:val="24"/>
        </w:rPr>
        <w:t>banks</w:t>
      </w:r>
      <w:r w:rsidR="00743766">
        <w:rPr>
          <w:rFonts w:eastAsia="Times New Roman" w:cs="Times New Roman"/>
          <w:kern w:val="3"/>
          <w:szCs w:val="24"/>
        </w:rPr>
        <w:t xml:space="preserve"> in the event of a financial crisis</w:t>
      </w:r>
      <w:r w:rsidR="0031528F">
        <w:rPr>
          <w:rFonts w:eastAsia="Times New Roman" w:cs="Times New Roman"/>
          <w:kern w:val="3"/>
          <w:szCs w:val="24"/>
        </w:rPr>
        <w:t>.</w:t>
      </w:r>
    </w:p>
    <w:p w14:paraId="3E7600BB" w14:textId="77777777" w:rsidR="008C18E4" w:rsidRPr="005B66DE" w:rsidRDefault="008C18E4" w:rsidP="0068565D">
      <w:pPr>
        <w:widowControl w:val="0"/>
        <w:suppressAutoHyphens/>
        <w:overflowPunct w:val="0"/>
        <w:autoSpaceDE w:val="0"/>
        <w:autoSpaceDN w:val="0"/>
        <w:spacing w:line="360" w:lineRule="auto"/>
        <w:textAlignment w:val="baseline"/>
        <w:rPr>
          <w:rFonts w:eastAsia="Times New Roman" w:cs="Times New Roman"/>
          <w:kern w:val="3"/>
          <w:szCs w:val="24"/>
        </w:rPr>
      </w:pPr>
    </w:p>
    <w:p w14:paraId="41D9A367" w14:textId="576CC44C" w:rsidR="00A02E4F" w:rsidRDefault="00A02E4F" w:rsidP="006A35E3">
      <w:pPr>
        <w:pStyle w:val="Heading2"/>
        <w:numPr>
          <w:ilvl w:val="1"/>
          <w:numId w:val="3"/>
        </w:numPr>
      </w:pPr>
      <w:bookmarkStart w:id="14" w:name="_Toc36098961"/>
      <w:r>
        <w:t xml:space="preserve">      </w:t>
      </w:r>
      <w:bookmarkStart w:id="15" w:name="_Toc62552873"/>
      <w:r w:rsidR="007D33D2" w:rsidRPr="005B66DE">
        <w:t>STATEMENT OF AIM &amp; OBJECTIVES</w:t>
      </w:r>
      <w:bookmarkEnd w:id="14"/>
      <w:bookmarkEnd w:id="15"/>
    </w:p>
    <w:p w14:paraId="1EB4F9CA" w14:textId="6B42FFE0" w:rsidR="000840D6" w:rsidRDefault="007D33D2" w:rsidP="00A02E4F">
      <w:pPr>
        <w:spacing w:line="360" w:lineRule="auto"/>
      </w:pPr>
      <w:r w:rsidRPr="00A02E4F">
        <w:t xml:space="preserve">The </w:t>
      </w:r>
      <w:r w:rsidR="000840D6">
        <w:t>primary aim of this</w:t>
      </w:r>
      <w:r w:rsidRPr="00A02E4F">
        <w:t xml:space="preserve"> study is to</w:t>
      </w:r>
      <w:r w:rsidR="00795954" w:rsidRPr="00A02E4F">
        <w:t xml:space="preserve"> understand the </w:t>
      </w:r>
      <w:r w:rsidR="000840D6">
        <w:t>role of the Kenya’s regulatory framework in promoting growth of TBTF banks. Further, this research aims to</w:t>
      </w:r>
      <w:r w:rsidR="00741C43">
        <w:t xml:space="preserve"> ascertain</w:t>
      </w:r>
      <w:r w:rsidR="000840D6">
        <w:t xml:space="preserve">: </w:t>
      </w:r>
    </w:p>
    <w:p w14:paraId="14727AAF" w14:textId="7CCB63BB" w:rsidR="00743766" w:rsidRPr="00CC400D" w:rsidRDefault="00741C43" w:rsidP="006A35E3">
      <w:pPr>
        <w:pStyle w:val="ListParagraph"/>
        <w:numPr>
          <w:ilvl w:val="0"/>
          <w:numId w:val="4"/>
        </w:numPr>
        <w:spacing w:line="360" w:lineRule="auto"/>
      </w:pPr>
      <w:r>
        <w:t>Whether b</w:t>
      </w:r>
      <w:r w:rsidR="00743766" w:rsidRPr="00CC400D">
        <w:t>ank mergers a</w:t>
      </w:r>
      <w:r>
        <w:t>re</w:t>
      </w:r>
      <w:r w:rsidR="00743766">
        <w:t xml:space="preserve"> a</w:t>
      </w:r>
      <w:r w:rsidR="00FB07EB">
        <w:t xml:space="preserve"> </w:t>
      </w:r>
      <w:r w:rsidR="00743766" w:rsidRPr="00CC400D">
        <w:t xml:space="preserve">cause of banking institutions </w:t>
      </w:r>
      <w:r w:rsidR="00743766">
        <w:t>attaining TBTF status.</w:t>
      </w:r>
    </w:p>
    <w:p w14:paraId="06D94D5D" w14:textId="317767B6" w:rsidR="00743766" w:rsidRPr="00CC400D" w:rsidRDefault="00743766" w:rsidP="006A35E3">
      <w:pPr>
        <w:pStyle w:val="ListParagraph"/>
        <w:widowControl w:val="0"/>
        <w:numPr>
          <w:ilvl w:val="0"/>
          <w:numId w:val="4"/>
        </w:numPr>
        <w:suppressAutoHyphens/>
        <w:overflowPunct w:val="0"/>
        <w:autoSpaceDE w:val="0"/>
        <w:autoSpaceDN w:val="0"/>
        <w:spacing w:after="0" w:line="360" w:lineRule="auto"/>
        <w:textAlignment w:val="baseline"/>
        <w:rPr>
          <w:rFonts w:eastAsia="Times New Roman" w:cs="Times New Roman"/>
          <w:kern w:val="3"/>
          <w:szCs w:val="24"/>
        </w:rPr>
      </w:pPr>
      <w:r>
        <w:rPr>
          <w:rFonts w:eastAsia="Times New Roman" w:cs="Times New Roman"/>
          <w:kern w:val="3"/>
          <w:szCs w:val="24"/>
        </w:rPr>
        <w:t xml:space="preserve">The role of the current </w:t>
      </w:r>
      <w:r w:rsidRPr="00CC400D">
        <w:rPr>
          <w:rFonts w:eastAsia="Times New Roman" w:cs="Times New Roman"/>
          <w:kern w:val="3"/>
          <w:szCs w:val="24"/>
        </w:rPr>
        <w:t xml:space="preserve">regulatory framework </w:t>
      </w:r>
      <w:r>
        <w:rPr>
          <w:rFonts w:eastAsia="Times New Roman" w:cs="Times New Roman"/>
          <w:kern w:val="3"/>
          <w:szCs w:val="24"/>
        </w:rPr>
        <w:t>in promoting</w:t>
      </w:r>
      <w:r w:rsidRPr="00CC400D">
        <w:rPr>
          <w:rFonts w:eastAsia="Times New Roman" w:cs="Times New Roman"/>
          <w:kern w:val="3"/>
          <w:szCs w:val="24"/>
        </w:rPr>
        <w:t xml:space="preserve"> the grow</w:t>
      </w:r>
      <w:r w:rsidR="00DB2B5C">
        <w:rPr>
          <w:rFonts w:eastAsia="Times New Roman" w:cs="Times New Roman"/>
          <w:kern w:val="3"/>
          <w:szCs w:val="24"/>
        </w:rPr>
        <w:t>th of TBTF banking institutions.</w:t>
      </w:r>
    </w:p>
    <w:p w14:paraId="5979AEB1" w14:textId="3FF3BB2C" w:rsidR="00743766" w:rsidRPr="005B66DE" w:rsidRDefault="00743766" w:rsidP="006A35E3">
      <w:pPr>
        <w:widowControl w:val="0"/>
        <w:numPr>
          <w:ilvl w:val="0"/>
          <w:numId w:val="4"/>
        </w:numPr>
        <w:suppressAutoHyphens/>
        <w:overflowPunct w:val="0"/>
        <w:autoSpaceDE w:val="0"/>
        <w:autoSpaceDN w:val="0"/>
        <w:spacing w:after="0" w:line="360" w:lineRule="auto"/>
        <w:contextualSpacing/>
        <w:textAlignment w:val="baseline"/>
        <w:rPr>
          <w:rFonts w:eastAsia="Times New Roman" w:cs="Times New Roman"/>
          <w:kern w:val="3"/>
          <w:szCs w:val="24"/>
        </w:rPr>
      </w:pPr>
      <w:r>
        <w:rPr>
          <w:rFonts w:eastAsia="Times New Roman" w:cs="Times New Roman"/>
          <w:kern w:val="3"/>
          <w:szCs w:val="24"/>
        </w:rPr>
        <w:t xml:space="preserve">The </w:t>
      </w:r>
      <w:r w:rsidRPr="005B66DE">
        <w:rPr>
          <w:rFonts w:eastAsia="Times New Roman" w:cs="Times New Roman"/>
          <w:kern w:val="3"/>
          <w:szCs w:val="24"/>
        </w:rPr>
        <w:t>impacts of TBTF banking institutions</w:t>
      </w:r>
      <w:r>
        <w:rPr>
          <w:rFonts w:eastAsia="Times New Roman" w:cs="Times New Roman"/>
          <w:kern w:val="3"/>
          <w:szCs w:val="24"/>
        </w:rPr>
        <w:t xml:space="preserve"> in an economy</w:t>
      </w:r>
      <w:r w:rsidR="00DB2B5C">
        <w:rPr>
          <w:rFonts w:eastAsia="Times New Roman" w:cs="Times New Roman"/>
          <w:kern w:val="3"/>
          <w:szCs w:val="24"/>
        </w:rPr>
        <w:t>.</w:t>
      </w:r>
    </w:p>
    <w:p w14:paraId="66640E8D" w14:textId="04606B3E" w:rsidR="000840D6" w:rsidRPr="008C18E4" w:rsidRDefault="00743766" w:rsidP="006A35E3">
      <w:pPr>
        <w:widowControl w:val="0"/>
        <w:numPr>
          <w:ilvl w:val="0"/>
          <w:numId w:val="4"/>
        </w:numPr>
        <w:suppressAutoHyphens/>
        <w:overflowPunct w:val="0"/>
        <w:autoSpaceDE w:val="0"/>
        <w:autoSpaceDN w:val="0"/>
        <w:spacing w:after="0" w:line="360" w:lineRule="auto"/>
        <w:contextualSpacing/>
        <w:textAlignment w:val="baseline"/>
        <w:rPr>
          <w:rFonts w:eastAsiaTheme="minorEastAsia"/>
          <w:szCs w:val="24"/>
        </w:rPr>
      </w:pPr>
      <w:r>
        <w:rPr>
          <w:rFonts w:eastAsia="Calibri" w:cs="Times New Roman"/>
          <w:kern w:val="3"/>
          <w:szCs w:val="24"/>
        </w:rPr>
        <w:t>Reforms</w:t>
      </w:r>
      <w:r w:rsidRPr="00161E5F">
        <w:rPr>
          <w:rFonts w:eastAsia="Calibri" w:cs="Times New Roman"/>
          <w:kern w:val="3"/>
          <w:szCs w:val="24"/>
        </w:rPr>
        <w:t xml:space="preserve"> to limit the grow</w:t>
      </w:r>
      <w:bookmarkStart w:id="16" w:name="_Toc36098962"/>
      <w:r>
        <w:rPr>
          <w:rFonts w:eastAsia="Calibri" w:cs="Times New Roman"/>
          <w:kern w:val="3"/>
          <w:szCs w:val="24"/>
        </w:rPr>
        <w:t>th of TBTF banking institutions</w:t>
      </w:r>
      <w:r w:rsidR="00DB2B5C">
        <w:rPr>
          <w:rFonts w:eastAsia="Calibri" w:cs="Times New Roman"/>
          <w:kern w:val="3"/>
          <w:szCs w:val="24"/>
        </w:rPr>
        <w:t>.</w:t>
      </w:r>
    </w:p>
    <w:p w14:paraId="523BD20B" w14:textId="77777777" w:rsidR="008C18E4" w:rsidRPr="00743766" w:rsidRDefault="008C18E4" w:rsidP="008C18E4">
      <w:pPr>
        <w:widowControl w:val="0"/>
        <w:suppressAutoHyphens/>
        <w:overflowPunct w:val="0"/>
        <w:autoSpaceDE w:val="0"/>
        <w:autoSpaceDN w:val="0"/>
        <w:spacing w:after="0" w:line="360" w:lineRule="auto"/>
        <w:ind w:left="1080"/>
        <w:contextualSpacing/>
        <w:textAlignment w:val="baseline"/>
        <w:rPr>
          <w:rFonts w:eastAsiaTheme="minorEastAsia"/>
          <w:szCs w:val="24"/>
        </w:rPr>
      </w:pPr>
    </w:p>
    <w:p w14:paraId="3544C4AD" w14:textId="156193FB" w:rsidR="00CC400D" w:rsidRPr="00CC400D" w:rsidRDefault="00A02E4F" w:rsidP="006A35E3">
      <w:pPr>
        <w:pStyle w:val="Heading2"/>
        <w:numPr>
          <w:ilvl w:val="1"/>
          <w:numId w:val="3"/>
        </w:numPr>
        <w:rPr>
          <w:rFonts w:eastAsia="Times New Roman" w:cs="Times New Roman"/>
          <w:kern w:val="3"/>
          <w:szCs w:val="24"/>
        </w:rPr>
      </w:pPr>
      <w:r>
        <w:t xml:space="preserve">      </w:t>
      </w:r>
      <w:bookmarkStart w:id="17" w:name="_Toc62552874"/>
      <w:r w:rsidR="007D33D2" w:rsidRPr="00A02E4F">
        <w:t>RESEARCH QUESTIONS</w:t>
      </w:r>
      <w:bookmarkEnd w:id="16"/>
      <w:bookmarkEnd w:id="17"/>
    </w:p>
    <w:p w14:paraId="3AD397D4" w14:textId="6702FF76" w:rsidR="00CD757A" w:rsidRPr="00CC400D" w:rsidRDefault="00CD757A" w:rsidP="006A35E3">
      <w:pPr>
        <w:pStyle w:val="ListParagraph"/>
        <w:numPr>
          <w:ilvl w:val="0"/>
          <w:numId w:val="7"/>
        </w:numPr>
        <w:spacing w:line="360" w:lineRule="auto"/>
      </w:pPr>
      <w:r w:rsidRPr="00CC400D">
        <w:t>How are bank mergers a major cause of banking institutions to attain TBTF status?</w:t>
      </w:r>
    </w:p>
    <w:p w14:paraId="62747967" w14:textId="3C810FD1" w:rsidR="00CD757A" w:rsidRPr="00CC400D" w:rsidRDefault="00CD757A" w:rsidP="006A35E3">
      <w:pPr>
        <w:pStyle w:val="ListParagraph"/>
        <w:widowControl w:val="0"/>
        <w:numPr>
          <w:ilvl w:val="0"/>
          <w:numId w:val="7"/>
        </w:numPr>
        <w:suppressAutoHyphens/>
        <w:overflowPunct w:val="0"/>
        <w:autoSpaceDE w:val="0"/>
        <w:autoSpaceDN w:val="0"/>
        <w:spacing w:after="0" w:line="360" w:lineRule="auto"/>
        <w:textAlignment w:val="baseline"/>
        <w:rPr>
          <w:rFonts w:eastAsia="Times New Roman" w:cs="Times New Roman"/>
          <w:kern w:val="3"/>
          <w:szCs w:val="24"/>
        </w:rPr>
      </w:pPr>
      <w:r w:rsidRPr="00CC400D">
        <w:rPr>
          <w:rFonts w:eastAsia="Times New Roman" w:cs="Times New Roman"/>
          <w:kern w:val="3"/>
          <w:szCs w:val="24"/>
        </w:rPr>
        <w:t>How does the Kenyan regulatory framework promote the growth of TBTF banking institutions?</w:t>
      </w:r>
    </w:p>
    <w:p w14:paraId="29625902" w14:textId="77777777" w:rsidR="00CD757A" w:rsidRPr="005B66DE" w:rsidRDefault="00CD757A" w:rsidP="006A35E3">
      <w:pPr>
        <w:widowControl w:val="0"/>
        <w:numPr>
          <w:ilvl w:val="0"/>
          <w:numId w:val="7"/>
        </w:numPr>
        <w:suppressAutoHyphens/>
        <w:overflowPunct w:val="0"/>
        <w:autoSpaceDE w:val="0"/>
        <w:autoSpaceDN w:val="0"/>
        <w:spacing w:after="0" w:line="360" w:lineRule="auto"/>
        <w:contextualSpacing/>
        <w:textAlignment w:val="baseline"/>
        <w:rPr>
          <w:rFonts w:eastAsia="Times New Roman" w:cs="Times New Roman"/>
          <w:kern w:val="3"/>
          <w:szCs w:val="24"/>
        </w:rPr>
      </w:pPr>
      <w:r w:rsidRPr="005B66DE">
        <w:rPr>
          <w:rFonts w:eastAsia="Times New Roman" w:cs="Times New Roman"/>
          <w:kern w:val="3"/>
          <w:szCs w:val="24"/>
        </w:rPr>
        <w:t>What are the impacts and effects of TBTF banking institutions</w:t>
      </w:r>
      <w:r w:rsidR="00680208" w:rsidRPr="005B66DE">
        <w:rPr>
          <w:rFonts w:eastAsia="Times New Roman" w:cs="Times New Roman"/>
          <w:kern w:val="3"/>
          <w:szCs w:val="24"/>
        </w:rPr>
        <w:t>?</w:t>
      </w:r>
    </w:p>
    <w:p w14:paraId="3CFD6D7B" w14:textId="77777777" w:rsidR="00161E5F" w:rsidRPr="008C18E4" w:rsidRDefault="005D3A78" w:rsidP="006A35E3">
      <w:pPr>
        <w:widowControl w:val="0"/>
        <w:numPr>
          <w:ilvl w:val="0"/>
          <w:numId w:val="7"/>
        </w:numPr>
        <w:suppressAutoHyphens/>
        <w:overflowPunct w:val="0"/>
        <w:autoSpaceDE w:val="0"/>
        <w:autoSpaceDN w:val="0"/>
        <w:spacing w:after="0" w:line="360" w:lineRule="auto"/>
        <w:contextualSpacing/>
        <w:textAlignment w:val="baseline"/>
        <w:rPr>
          <w:rFonts w:eastAsiaTheme="minorEastAsia"/>
          <w:szCs w:val="24"/>
        </w:rPr>
      </w:pPr>
      <w:r w:rsidRPr="00161E5F">
        <w:rPr>
          <w:rFonts w:eastAsia="Calibri" w:cs="Times New Roman"/>
          <w:kern w:val="3"/>
          <w:szCs w:val="24"/>
        </w:rPr>
        <w:t>What reforms can be proposed to limit the growth of TBTF banking institutions?</w:t>
      </w:r>
      <w:bookmarkStart w:id="18" w:name="_Toc36098964"/>
    </w:p>
    <w:p w14:paraId="46072EF7" w14:textId="77777777" w:rsidR="008C18E4" w:rsidRPr="00161E5F" w:rsidRDefault="008C18E4" w:rsidP="008C18E4">
      <w:pPr>
        <w:widowControl w:val="0"/>
        <w:suppressAutoHyphens/>
        <w:overflowPunct w:val="0"/>
        <w:autoSpaceDE w:val="0"/>
        <w:autoSpaceDN w:val="0"/>
        <w:spacing w:after="0" w:line="360" w:lineRule="auto"/>
        <w:ind w:left="1080"/>
        <w:contextualSpacing/>
        <w:textAlignment w:val="baseline"/>
        <w:rPr>
          <w:rFonts w:eastAsiaTheme="minorEastAsia"/>
          <w:szCs w:val="24"/>
        </w:rPr>
      </w:pPr>
    </w:p>
    <w:p w14:paraId="615DD3A9" w14:textId="77777777" w:rsidR="007D33D2" w:rsidRPr="007924CB" w:rsidRDefault="00A02E4F" w:rsidP="006A35E3">
      <w:pPr>
        <w:pStyle w:val="ListParagraph"/>
        <w:widowControl w:val="0"/>
        <w:numPr>
          <w:ilvl w:val="1"/>
          <w:numId w:val="3"/>
        </w:numPr>
        <w:suppressAutoHyphens/>
        <w:overflowPunct w:val="0"/>
        <w:autoSpaceDE w:val="0"/>
        <w:autoSpaceDN w:val="0"/>
        <w:spacing w:after="0" w:line="360" w:lineRule="auto"/>
        <w:textAlignment w:val="baseline"/>
        <w:rPr>
          <w:rFonts w:eastAsiaTheme="minorEastAsia"/>
          <w:szCs w:val="24"/>
        </w:rPr>
      </w:pPr>
      <w:r>
        <w:rPr>
          <w:rFonts w:eastAsiaTheme="minorEastAsia"/>
          <w:b/>
        </w:rPr>
        <w:t xml:space="preserve">      </w:t>
      </w:r>
      <w:r w:rsidR="007D33D2" w:rsidRPr="007924CB">
        <w:rPr>
          <w:rFonts w:eastAsiaTheme="minorEastAsia"/>
          <w:b/>
        </w:rPr>
        <w:t>SIGNIFICANCE OF THE STUDY</w:t>
      </w:r>
      <w:bookmarkEnd w:id="18"/>
    </w:p>
    <w:p w14:paraId="32183F2A" w14:textId="1112972D" w:rsidR="008C18E4" w:rsidRPr="005B66DE" w:rsidRDefault="007924CB" w:rsidP="007D33D2">
      <w:pPr>
        <w:widowControl w:val="0"/>
        <w:suppressAutoHyphens/>
        <w:overflowPunct w:val="0"/>
        <w:autoSpaceDE w:val="0"/>
        <w:autoSpaceDN w:val="0"/>
        <w:spacing w:line="360" w:lineRule="auto"/>
        <w:textAlignment w:val="baseline"/>
        <w:rPr>
          <w:rFonts w:eastAsia="Times New Roman" w:cs="Times New Roman"/>
          <w:kern w:val="3"/>
          <w:szCs w:val="24"/>
        </w:rPr>
      </w:pPr>
      <w:r>
        <w:rPr>
          <w:rFonts w:eastAsia="Times New Roman" w:cs="Times New Roman"/>
          <w:kern w:val="3"/>
          <w:szCs w:val="24"/>
        </w:rPr>
        <w:t xml:space="preserve">Studies have proven </w:t>
      </w:r>
      <w:r w:rsidR="007E04A9">
        <w:rPr>
          <w:rFonts w:eastAsia="Times New Roman" w:cs="Times New Roman"/>
          <w:kern w:val="3"/>
          <w:szCs w:val="24"/>
        </w:rPr>
        <w:t>that</w:t>
      </w:r>
      <w:r>
        <w:rPr>
          <w:rFonts w:eastAsia="Times New Roman" w:cs="Times New Roman"/>
          <w:kern w:val="3"/>
          <w:szCs w:val="24"/>
        </w:rPr>
        <w:t xml:space="preserve"> TBTF policy was at the core of the </w:t>
      </w:r>
      <w:r w:rsidR="007E04A9">
        <w:rPr>
          <w:rFonts w:eastAsia="Times New Roman" w:cs="Times New Roman"/>
          <w:kern w:val="3"/>
          <w:szCs w:val="24"/>
        </w:rPr>
        <w:t>2008 financial crisis.</w:t>
      </w:r>
      <w:r w:rsidR="007E04A9">
        <w:rPr>
          <w:rStyle w:val="FootnoteReference"/>
          <w:rFonts w:eastAsia="Times New Roman" w:cs="Times New Roman"/>
          <w:kern w:val="3"/>
          <w:szCs w:val="24"/>
        </w:rPr>
        <w:footnoteReference w:id="22"/>
      </w:r>
      <w:r w:rsidR="007E04A9">
        <w:rPr>
          <w:rFonts w:eastAsia="Times New Roman" w:cs="Times New Roman"/>
          <w:kern w:val="3"/>
          <w:szCs w:val="24"/>
        </w:rPr>
        <w:t xml:space="preserve"> In Kenya, there is has been a surge of bank mergers and it is predicated that more mergers are yet to occur.</w:t>
      </w:r>
      <w:r w:rsidR="007E04A9">
        <w:rPr>
          <w:rStyle w:val="FootnoteReference"/>
          <w:rFonts w:eastAsia="Times New Roman" w:cs="Times New Roman"/>
          <w:kern w:val="3"/>
          <w:szCs w:val="24"/>
        </w:rPr>
        <w:footnoteReference w:id="23"/>
      </w:r>
      <w:r w:rsidR="007E04A9">
        <w:rPr>
          <w:rFonts w:eastAsia="Times New Roman" w:cs="Times New Roman"/>
          <w:kern w:val="3"/>
          <w:szCs w:val="24"/>
        </w:rPr>
        <w:t xml:space="preserve"> </w:t>
      </w:r>
      <w:r w:rsidR="007D33D2" w:rsidRPr="005B66DE">
        <w:rPr>
          <w:rFonts w:eastAsia="Times New Roman" w:cs="Times New Roman"/>
          <w:kern w:val="3"/>
          <w:szCs w:val="24"/>
        </w:rPr>
        <w:t>The purpose of this</w:t>
      </w:r>
      <w:r w:rsidR="00251BC5" w:rsidRPr="005B66DE">
        <w:rPr>
          <w:rFonts w:eastAsia="Times New Roman" w:cs="Times New Roman"/>
          <w:kern w:val="3"/>
          <w:szCs w:val="24"/>
        </w:rPr>
        <w:t xml:space="preserve"> study is to</w:t>
      </w:r>
      <w:r w:rsidR="00B57F21">
        <w:rPr>
          <w:rFonts w:eastAsia="Times New Roman" w:cs="Times New Roman"/>
          <w:kern w:val="3"/>
          <w:szCs w:val="24"/>
        </w:rPr>
        <w:t xml:space="preserve"> investigate the cause of TBTF banks,</w:t>
      </w:r>
      <w:r w:rsidR="00CD757A" w:rsidRPr="005B66DE">
        <w:rPr>
          <w:rFonts w:eastAsia="Times New Roman" w:cs="Times New Roman"/>
          <w:kern w:val="3"/>
          <w:szCs w:val="24"/>
        </w:rPr>
        <w:t xml:space="preserve"> examine </w:t>
      </w:r>
      <w:r w:rsidR="00B57F21">
        <w:rPr>
          <w:rFonts w:eastAsia="Times New Roman" w:cs="Times New Roman"/>
          <w:kern w:val="3"/>
          <w:szCs w:val="24"/>
        </w:rPr>
        <w:t xml:space="preserve">the role of regulation in promoting </w:t>
      </w:r>
      <w:r w:rsidR="00CD757A" w:rsidRPr="005B66DE">
        <w:rPr>
          <w:rFonts w:eastAsia="Times New Roman" w:cs="Times New Roman"/>
          <w:kern w:val="3"/>
          <w:szCs w:val="24"/>
        </w:rPr>
        <w:t>the growth of TBTF banking institutions</w:t>
      </w:r>
      <w:r w:rsidR="00B57F21">
        <w:rPr>
          <w:rFonts w:eastAsia="Times New Roman" w:cs="Times New Roman"/>
          <w:kern w:val="3"/>
          <w:szCs w:val="24"/>
        </w:rPr>
        <w:t xml:space="preserve">, </w:t>
      </w:r>
      <w:r w:rsidR="00251BC5" w:rsidRPr="005B66DE">
        <w:rPr>
          <w:rFonts w:eastAsia="Times New Roman" w:cs="Times New Roman"/>
          <w:kern w:val="3"/>
          <w:szCs w:val="24"/>
        </w:rPr>
        <w:t xml:space="preserve">how </w:t>
      </w:r>
      <w:r w:rsidR="00CD757A" w:rsidRPr="005B66DE">
        <w:rPr>
          <w:rFonts w:eastAsia="Times New Roman" w:cs="Times New Roman"/>
          <w:kern w:val="3"/>
          <w:szCs w:val="24"/>
        </w:rPr>
        <w:t>the size and</w:t>
      </w:r>
      <w:r w:rsidR="007D33D2" w:rsidRPr="005B66DE">
        <w:rPr>
          <w:rFonts w:eastAsia="Times New Roman" w:cs="Times New Roman"/>
          <w:kern w:val="3"/>
          <w:szCs w:val="24"/>
        </w:rPr>
        <w:t xml:space="preserve"> risk externalities may be too big to bear— in which case </w:t>
      </w:r>
      <w:r w:rsidR="003C5763">
        <w:rPr>
          <w:rFonts w:eastAsia="Times New Roman" w:cs="Times New Roman"/>
          <w:kern w:val="3"/>
          <w:szCs w:val="24"/>
        </w:rPr>
        <w:t xml:space="preserve">a </w:t>
      </w:r>
      <w:r w:rsidR="007D33D2" w:rsidRPr="005B66DE">
        <w:rPr>
          <w:rFonts w:eastAsia="Times New Roman" w:cs="Times New Roman"/>
          <w:kern w:val="3"/>
          <w:szCs w:val="24"/>
        </w:rPr>
        <w:t xml:space="preserve">firm may be too big to fail.  Such firms are “polluters” either by </w:t>
      </w:r>
      <w:r w:rsidR="007D33D2" w:rsidRPr="005B66DE">
        <w:rPr>
          <w:rFonts w:eastAsia="Times New Roman" w:cs="Times New Roman"/>
          <w:kern w:val="3"/>
          <w:szCs w:val="24"/>
        </w:rPr>
        <w:lastRenderedPageBreak/>
        <w:t>design when they overleverage their financial bets or speculative positions and are struck by a Black Swan.</w:t>
      </w:r>
      <w:r w:rsidR="007D33D2" w:rsidRPr="005B66DE">
        <w:rPr>
          <w:rFonts w:eastAsia="Times New Roman" w:cs="Times New Roman"/>
          <w:kern w:val="3"/>
          <w:szCs w:val="24"/>
          <w:vertAlign w:val="superscript"/>
        </w:rPr>
        <w:footnoteReference w:id="24"/>
      </w:r>
      <w:r w:rsidR="004A5F49">
        <w:rPr>
          <w:rFonts w:eastAsia="Times New Roman" w:cs="Times New Roman"/>
          <w:kern w:val="3"/>
          <w:szCs w:val="24"/>
        </w:rPr>
        <w:t xml:space="preserve"> A Black Swan </w:t>
      </w:r>
      <w:r w:rsidR="00741C43">
        <w:rPr>
          <w:rFonts w:eastAsia="Times New Roman" w:cs="Times New Roman"/>
          <w:kern w:val="3"/>
          <w:szCs w:val="24"/>
        </w:rPr>
        <w:t>is an unpredictable event that is beyond what is normally expected of a situation and has potentially severe consequences.</w:t>
      </w:r>
      <w:r w:rsidR="00741C43">
        <w:rPr>
          <w:rStyle w:val="FootnoteReference"/>
          <w:rFonts w:eastAsia="Times New Roman" w:cs="Times New Roman"/>
          <w:kern w:val="3"/>
          <w:szCs w:val="24"/>
        </w:rPr>
        <w:footnoteReference w:id="25"/>
      </w:r>
    </w:p>
    <w:p w14:paraId="48220750" w14:textId="2D8A86CA" w:rsidR="007D33D2" w:rsidRPr="005B66DE" w:rsidRDefault="00A02E4F" w:rsidP="006A35E3">
      <w:pPr>
        <w:pStyle w:val="Heading2"/>
        <w:numPr>
          <w:ilvl w:val="1"/>
          <w:numId w:val="3"/>
        </w:numPr>
        <w:jc w:val="both"/>
      </w:pPr>
      <w:bookmarkStart w:id="19" w:name="_Toc36098965"/>
      <w:r>
        <w:rPr>
          <w:rFonts w:eastAsia="Times New Roman"/>
        </w:rPr>
        <w:t xml:space="preserve">      </w:t>
      </w:r>
      <w:bookmarkStart w:id="20" w:name="_Toc62552875"/>
      <w:r w:rsidR="007D33D2" w:rsidRPr="005B66DE">
        <w:rPr>
          <w:rFonts w:eastAsia="Times New Roman"/>
        </w:rPr>
        <w:t>RESEARCH METHODOLOGY</w:t>
      </w:r>
      <w:bookmarkEnd w:id="19"/>
      <w:bookmarkEnd w:id="20"/>
      <w:r w:rsidR="007D33D2" w:rsidRPr="005B66DE">
        <w:rPr>
          <w:rFonts w:eastAsia="Times New Roman"/>
        </w:rPr>
        <w:t xml:space="preserve"> </w:t>
      </w:r>
    </w:p>
    <w:p w14:paraId="10E249CA" w14:textId="7952D4DC" w:rsidR="00AE08C2" w:rsidRDefault="007D33D2" w:rsidP="007D33D2">
      <w:pPr>
        <w:widowControl w:val="0"/>
        <w:suppressAutoHyphens/>
        <w:overflowPunct w:val="0"/>
        <w:autoSpaceDE w:val="0"/>
        <w:autoSpaceDN w:val="0"/>
        <w:spacing w:line="360" w:lineRule="auto"/>
        <w:textAlignment w:val="baseline"/>
        <w:rPr>
          <w:rFonts w:eastAsia="Times New Roman" w:cs="Times New Roman"/>
          <w:kern w:val="3"/>
          <w:szCs w:val="24"/>
        </w:rPr>
      </w:pPr>
      <w:r w:rsidRPr="005B66DE">
        <w:rPr>
          <w:rFonts w:eastAsia="Times New Roman" w:cs="Times New Roman"/>
          <w:kern w:val="3"/>
          <w:szCs w:val="24"/>
        </w:rPr>
        <w:t xml:space="preserve">The research </w:t>
      </w:r>
      <w:r w:rsidR="00B57F21">
        <w:rPr>
          <w:rFonts w:eastAsia="Times New Roman" w:cs="Times New Roman"/>
          <w:kern w:val="3"/>
          <w:szCs w:val="24"/>
        </w:rPr>
        <w:t xml:space="preserve">will employ a </w:t>
      </w:r>
      <w:r w:rsidRPr="005B66DE">
        <w:rPr>
          <w:rFonts w:eastAsia="Times New Roman" w:cs="Times New Roman"/>
          <w:kern w:val="3"/>
          <w:szCs w:val="24"/>
        </w:rPr>
        <w:t xml:space="preserve">qualitative </w:t>
      </w:r>
      <w:r w:rsidR="00723D83">
        <w:rPr>
          <w:rFonts w:eastAsia="Times New Roman" w:cs="Times New Roman"/>
          <w:kern w:val="3"/>
          <w:szCs w:val="24"/>
        </w:rPr>
        <w:t xml:space="preserve">research </w:t>
      </w:r>
      <w:r w:rsidRPr="005B66DE">
        <w:rPr>
          <w:rFonts w:eastAsia="Times New Roman" w:cs="Times New Roman"/>
          <w:kern w:val="3"/>
          <w:szCs w:val="24"/>
        </w:rPr>
        <w:t xml:space="preserve">technique </w:t>
      </w:r>
      <w:r w:rsidR="00B57F21">
        <w:rPr>
          <w:rFonts w:eastAsia="Times New Roman" w:cs="Times New Roman"/>
          <w:kern w:val="3"/>
          <w:szCs w:val="24"/>
        </w:rPr>
        <w:t>through</w:t>
      </w:r>
      <w:r w:rsidR="00AE08C2">
        <w:rPr>
          <w:rFonts w:eastAsia="Times New Roman" w:cs="Times New Roman"/>
          <w:kern w:val="3"/>
          <w:szCs w:val="24"/>
        </w:rPr>
        <w:t xml:space="preserve"> conducting extensive analysis of literature</w:t>
      </w:r>
      <w:r w:rsidRPr="005B66DE">
        <w:rPr>
          <w:rFonts w:eastAsia="Times New Roman" w:cs="Times New Roman"/>
          <w:kern w:val="3"/>
          <w:szCs w:val="24"/>
        </w:rPr>
        <w:t xml:space="preserve">. </w:t>
      </w:r>
      <w:r w:rsidR="00AE08C2">
        <w:rPr>
          <w:rFonts w:eastAsia="Times New Roman" w:cs="Times New Roman"/>
          <w:kern w:val="3"/>
          <w:szCs w:val="24"/>
        </w:rPr>
        <w:t xml:space="preserve">It will use </w:t>
      </w:r>
      <w:r w:rsidR="009800D0">
        <w:rPr>
          <w:rFonts w:eastAsia="Times New Roman" w:cs="Times New Roman"/>
          <w:kern w:val="3"/>
          <w:szCs w:val="24"/>
        </w:rPr>
        <w:t xml:space="preserve">primary </w:t>
      </w:r>
      <w:r w:rsidR="00AE08C2">
        <w:rPr>
          <w:rFonts w:eastAsia="Times New Roman" w:cs="Times New Roman"/>
          <w:kern w:val="3"/>
          <w:szCs w:val="24"/>
        </w:rPr>
        <w:t xml:space="preserve">sources </w:t>
      </w:r>
      <w:r w:rsidR="009800D0">
        <w:rPr>
          <w:rFonts w:eastAsia="Times New Roman" w:cs="Times New Roman"/>
          <w:kern w:val="3"/>
          <w:szCs w:val="24"/>
        </w:rPr>
        <w:t>i</w:t>
      </w:r>
      <w:r w:rsidR="00AE08C2">
        <w:rPr>
          <w:rFonts w:eastAsia="Times New Roman" w:cs="Times New Roman"/>
          <w:kern w:val="3"/>
          <w:szCs w:val="24"/>
        </w:rPr>
        <w:t>ncluding</w:t>
      </w:r>
      <w:r w:rsidR="009800D0">
        <w:rPr>
          <w:rFonts w:eastAsia="Times New Roman" w:cs="Times New Roman"/>
          <w:kern w:val="3"/>
          <w:szCs w:val="24"/>
        </w:rPr>
        <w:t xml:space="preserve"> the Constitution of Kenya, </w:t>
      </w:r>
      <w:r w:rsidR="00AE08C2">
        <w:rPr>
          <w:rFonts w:eastAsia="Times New Roman" w:cs="Times New Roman"/>
          <w:kern w:val="3"/>
          <w:szCs w:val="24"/>
        </w:rPr>
        <w:t>legislation and policies which will provide the legal and institutional framework in relation to the subject</w:t>
      </w:r>
      <w:r w:rsidR="00FB07EB">
        <w:rPr>
          <w:rFonts w:eastAsia="Times New Roman" w:cs="Times New Roman"/>
          <w:kern w:val="3"/>
          <w:szCs w:val="24"/>
        </w:rPr>
        <w:t xml:space="preserve"> and a brief case study of the CBA-NIC merger</w:t>
      </w:r>
      <w:r w:rsidR="00AE08C2">
        <w:rPr>
          <w:rFonts w:eastAsia="Times New Roman" w:cs="Times New Roman"/>
          <w:kern w:val="3"/>
          <w:szCs w:val="24"/>
        </w:rPr>
        <w:t xml:space="preserve">. Further it will employ secondary sources such as </w:t>
      </w:r>
      <w:r w:rsidRPr="005B66DE">
        <w:rPr>
          <w:rFonts w:eastAsia="Times New Roman" w:cs="Times New Roman"/>
          <w:kern w:val="3"/>
          <w:szCs w:val="24"/>
        </w:rPr>
        <w:t xml:space="preserve">articles, books, journals, case law, newspapers and online internet resources. </w:t>
      </w:r>
      <w:r w:rsidR="009800D0">
        <w:rPr>
          <w:rFonts w:eastAsia="Times New Roman" w:cs="Times New Roman"/>
          <w:kern w:val="3"/>
          <w:szCs w:val="24"/>
        </w:rPr>
        <w:t>The said approach</w:t>
      </w:r>
      <w:r w:rsidRPr="005B66DE">
        <w:rPr>
          <w:rFonts w:eastAsia="Times New Roman" w:cs="Times New Roman"/>
          <w:kern w:val="3"/>
          <w:szCs w:val="24"/>
        </w:rPr>
        <w:t xml:space="preserve"> is advantageous </w:t>
      </w:r>
      <w:r w:rsidR="00AE08C2">
        <w:rPr>
          <w:rFonts w:eastAsia="Times New Roman" w:cs="Times New Roman"/>
          <w:kern w:val="3"/>
          <w:szCs w:val="24"/>
        </w:rPr>
        <w:t xml:space="preserve">as </w:t>
      </w:r>
      <w:r w:rsidR="009800D0">
        <w:rPr>
          <w:rFonts w:eastAsia="Times New Roman" w:cs="Times New Roman"/>
          <w:kern w:val="3"/>
          <w:szCs w:val="24"/>
        </w:rPr>
        <w:t>it is both cost and time efficient.</w:t>
      </w:r>
      <w:r w:rsidR="00723D83">
        <w:rPr>
          <w:rFonts w:eastAsia="Times New Roman" w:cs="Times New Roman"/>
          <w:kern w:val="3"/>
          <w:szCs w:val="24"/>
        </w:rPr>
        <w:t xml:space="preserve"> Notably, t</w:t>
      </w:r>
      <w:r w:rsidR="00AE08C2">
        <w:rPr>
          <w:rFonts w:eastAsia="Times New Roman" w:cs="Times New Roman"/>
          <w:kern w:val="3"/>
          <w:szCs w:val="24"/>
        </w:rPr>
        <w:t>he study will not involve any fieldw</w:t>
      </w:r>
      <w:r w:rsidR="00723D83">
        <w:rPr>
          <w:rFonts w:eastAsia="Times New Roman" w:cs="Times New Roman"/>
          <w:kern w:val="3"/>
          <w:szCs w:val="24"/>
        </w:rPr>
        <w:t xml:space="preserve">ork due to timelines set for the completion of the study. </w:t>
      </w:r>
    </w:p>
    <w:p w14:paraId="5006CC37" w14:textId="77777777" w:rsidR="008C18E4" w:rsidRPr="005B66DE" w:rsidRDefault="008C18E4" w:rsidP="007D33D2">
      <w:pPr>
        <w:widowControl w:val="0"/>
        <w:suppressAutoHyphens/>
        <w:overflowPunct w:val="0"/>
        <w:autoSpaceDE w:val="0"/>
        <w:autoSpaceDN w:val="0"/>
        <w:spacing w:line="360" w:lineRule="auto"/>
        <w:textAlignment w:val="baseline"/>
        <w:rPr>
          <w:rFonts w:eastAsia="Times New Roman" w:cs="Times New Roman"/>
          <w:kern w:val="3"/>
          <w:szCs w:val="24"/>
        </w:rPr>
      </w:pPr>
    </w:p>
    <w:p w14:paraId="1D3AB3D6" w14:textId="39DC895F" w:rsidR="0034128A" w:rsidRDefault="00A02E4F" w:rsidP="006A35E3">
      <w:pPr>
        <w:pStyle w:val="Heading2"/>
        <w:numPr>
          <w:ilvl w:val="1"/>
          <w:numId w:val="3"/>
        </w:numPr>
        <w:rPr>
          <w:rFonts w:eastAsiaTheme="minorEastAsia"/>
        </w:rPr>
      </w:pPr>
      <w:r>
        <w:rPr>
          <w:rFonts w:eastAsiaTheme="minorEastAsia"/>
        </w:rPr>
        <w:t xml:space="preserve">     </w:t>
      </w:r>
      <w:bookmarkStart w:id="21" w:name="_Toc62552876"/>
      <w:r w:rsidR="0034128A" w:rsidRPr="00663821">
        <w:rPr>
          <w:rFonts w:eastAsiaTheme="minorEastAsia"/>
        </w:rPr>
        <w:t>LITERATURE REVIEW</w:t>
      </w:r>
      <w:bookmarkEnd w:id="21"/>
    </w:p>
    <w:p w14:paraId="37ADF6EE" w14:textId="03149BE9" w:rsidR="00F4777D" w:rsidRDefault="0005128B" w:rsidP="0005128B">
      <w:pPr>
        <w:spacing w:line="360" w:lineRule="auto"/>
      </w:pPr>
      <w:r>
        <w:t xml:space="preserve">The term TBTF dates back to 1984 following a statement made by the U.S Comptroller of the currency in relation to the failure of U.S. bank continental Illinois in reference to the size of the large U.S. money </w:t>
      </w:r>
      <w:r w:rsidR="00E11193">
        <w:t>centers that caused financial instability</w:t>
      </w:r>
      <w:r w:rsidR="00CA5242">
        <w:t xml:space="preserve"> due </w:t>
      </w:r>
      <w:r w:rsidR="00E11193">
        <w:t>mandating government intervention.</w:t>
      </w:r>
      <w:r w:rsidR="00E11193">
        <w:rPr>
          <w:rStyle w:val="FootnoteReference"/>
        </w:rPr>
        <w:footnoteReference w:id="26"/>
      </w:r>
      <w:r w:rsidR="00E11193">
        <w:t xml:space="preserve"> Since then, th</w:t>
      </w:r>
      <w:r w:rsidR="00CA5242">
        <w:t>e TBTF doctrine has evolved and birthed several areas of studies on the effect of systematically relevant banks such as government exposure, creation of moral hazard where market discipline is distorted as taxpayers bears the externaliti</w:t>
      </w:r>
      <w:r w:rsidR="0074353C">
        <w:t xml:space="preserve">es of bank risk taking behavior, </w:t>
      </w:r>
      <w:r w:rsidR="00CA5242">
        <w:t xml:space="preserve">among others. </w:t>
      </w:r>
      <w:r w:rsidR="00CA5242">
        <w:rPr>
          <w:rStyle w:val="FootnoteReference"/>
        </w:rPr>
        <w:footnoteReference w:id="27"/>
      </w:r>
      <w:r w:rsidR="00CA5242">
        <w:t xml:space="preserve"> </w:t>
      </w:r>
      <w:r w:rsidR="0074353C">
        <w:t xml:space="preserve">More recently, the </w:t>
      </w:r>
      <w:r w:rsidR="00CA5242">
        <w:t xml:space="preserve">2007-2008 </w:t>
      </w:r>
      <w:r w:rsidR="0074353C">
        <w:t xml:space="preserve">financial </w:t>
      </w:r>
      <w:r w:rsidR="00CA5242">
        <w:t xml:space="preserve">crisis </w:t>
      </w:r>
      <w:r w:rsidR="0074353C">
        <w:t>was instrumental in shedding the spotlight on the risks of TBTF thus motivating a wave of research on the area.</w:t>
      </w:r>
      <w:r w:rsidR="0074353C">
        <w:rPr>
          <w:rStyle w:val="FootnoteReference"/>
        </w:rPr>
        <w:footnoteReference w:id="28"/>
      </w:r>
      <w:r w:rsidR="00DF1FDA">
        <w:t xml:space="preserve"> </w:t>
      </w:r>
    </w:p>
    <w:p w14:paraId="48ADDFA2" w14:textId="77777777" w:rsidR="009C1F73" w:rsidRDefault="009C1F73" w:rsidP="0005128B">
      <w:pPr>
        <w:spacing w:line="360" w:lineRule="auto"/>
      </w:pPr>
    </w:p>
    <w:p w14:paraId="1CDCED19" w14:textId="2F90221B" w:rsidR="009C1F73" w:rsidRDefault="00DF1FDA" w:rsidP="0005128B">
      <w:pPr>
        <w:spacing w:line="360" w:lineRule="auto"/>
      </w:pPr>
      <w:r>
        <w:lastRenderedPageBreak/>
        <w:t>The proponents of TBTF</w:t>
      </w:r>
      <w:r w:rsidR="009C1F73">
        <w:t xml:space="preserve"> argue</w:t>
      </w:r>
      <w:r>
        <w:t xml:space="preserve"> that the existence </w:t>
      </w:r>
      <w:r w:rsidR="00115EB0">
        <w:t>of systematically important banks</w:t>
      </w:r>
      <w:r>
        <w:t xml:space="preserve"> is necessary</w:t>
      </w:r>
      <w:r w:rsidR="00115EB0">
        <w:t xml:space="preserve"> for an</w:t>
      </w:r>
      <w:r>
        <w:t xml:space="preserve"> economy and should therefore b</w:t>
      </w:r>
      <w:r w:rsidR="00F4777D">
        <w:t xml:space="preserve">e </w:t>
      </w:r>
      <w:r w:rsidR="00115EB0">
        <w:t xml:space="preserve">freely allowed </w:t>
      </w:r>
      <w:r w:rsidR="009C1F73">
        <w:t>to exist.</w:t>
      </w:r>
      <w:r w:rsidR="00F4777D">
        <w:rPr>
          <w:rStyle w:val="FootnoteReference"/>
        </w:rPr>
        <w:footnoteReference w:id="29"/>
      </w:r>
      <w:r>
        <w:t xml:space="preserve"> </w:t>
      </w:r>
      <w:r w:rsidR="009C1F73">
        <w:t xml:space="preserve">Such advantages include cheaper loans, market diversity and public confidence. </w:t>
      </w:r>
      <w:r w:rsidR="009C1F73">
        <w:rPr>
          <w:rStyle w:val="FootnoteReference"/>
        </w:rPr>
        <w:footnoteReference w:id="30"/>
      </w:r>
      <w:r w:rsidR="00663821">
        <w:t xml:space="preserve">At </w:t>
      </w:r>
      <w:r w:rsidR="001F308F">
        <w:t xml:space="preserve">the core of their argument is the idea that TBTF banks should not be allowed to fail due to </w:t>
      </w:r>
      <w:r w:rsidR="00663821">
        <w:t xml:space="preserve">the </w:t>
      </w:r>
      <w:r w:rsidR="001F308F">
        <w:t>immediate and ripple effect on</w:t>
      </w:r>
      <w:r w:rsidR="009C1F73">
        <w:t xml:space="preserve"> other institutions, the</w:t>
      </w:r>
      <w:r w:rsidR="001F308F">
        <w:t xml:space="preserve"> </w:t>
      </w:r>
      <w:r w:rsidR="00115EB0">
        <w:t>real economy</w:t>
      </w:r>
      <w:r w:rsidR="009C1F73">
        <w:t xml:space="preserve"> and global relations</w:t>
      </w:r>
      <w:r w:rsidR="001F308F">
        <w:t xml:space="preserve"> thus warranting government intervention as a necessary action.</w:t>
      </w:r>
      <w:r w:rsidR="00115EB0">
        <w:rPr>
          <w:rStyle w:val="FootnoteReference"/>
        </w:rPr>
        <w:footnoteReference w:id="31"/>
      </w:r>
      <w:r w:rsidR="001F308F">
        <w:t xml:space="preserve"> However, the opponents of the TBTF doctrine opine that government intervention may seem like an attractive idea </w:t>
      </w:r>
      <w:r w:rsidR="00663821">
        <w:t>but the long-run</w:t>
      </w:r>
      <w:r w:rsidR="001F308F">
        <w:t xml:space="preserve"> financial costs are higher.</w:t>
      </w:r>
      <w:r w:rsidR="00663821">
        <w:rPr>
          <w:rStyle w:val="FootnoteReference"/>
        </w:rPr>
        <w:footnoteReference w:id="32"/>
      </w:r>
      <w:r w:rsidR="00663821">
        <w:t xml:space="preserve"> Further, the doctrine negatively influences policies around competition, market risk- behavior among others.</w:t>
      </w:r>
      <w:r w:rsidR="00663821">
        <w:rPr>
          <w:rStyle w:val="FootnoteReference"/>
        </w:rPr>
        <w:footnoteReference w:id="33"/>
      </w:r>
      <w:r w:rsidR="006C26CC">
        <w:t xml:space="preserve"> </w:t>
      </w:r>
    </w:p>
    <w:p w14:paraId="62809E37" w14:textId="463C21C3" w:rsidR="009C1F73" w:rsidRDefault="00D57E54" w:rsidP="0005128B">
      <w:pPr>
        <w:spacing w:line="360" w:lineRule="auto"/>
      </w:pPr>
      <w:proofErr w:type="spellStart"/>
      <w:r>
        <w:t>Goodlet</w:t>
      </w:r>
      <w:proofErr w:type="spellEnd"/>
      <w:r>
        <w:t xml:space="preserve"> C</w:t>
      </w:r>
      <w:r w:rsidR="006C26CC">
        <w:t>l</w:t>
      </w:r>
      <w:r>
        <w:t>y</w:t>
      </w:r>
      <w:r w:rsidR="006C26CC">
        <w:t>de in his article ‘</w:t>
      </w:r>
      <w:r w:rsidR="006C26CC" w:rsidRPr="006C26CC">
        <w:t>Too Big to Fail: A Misguided Policy in Times of Financial Turmoil’</w:t>
      </w:r>
      <w:r w:rsidR="006C26CC">
        <w:t xml:space="preserve"> highlights the inevitability of bank failures, the benefits</w:t>
      </w:r>
      <w:r w:rsidR="001D6015">
        <w:t xml:space="preserve"> of,</w:t>
      </w:r>
      <w:r w:rsidR="006C26CC">
        <w:t xml:space="preserve"> and challenges of TBTF policy</w:t>
      </w:r>
      <w:r>
        <w:t xml:space="preserve"> in the </w:t>
      </w:r>
      <w:r w:rsidR="009C1F73">
        <w:t>context</w:t>
      </w:r>
      <w:r>
        <w:t xml:space="preserve"> of the USA and Canada</w:t>
      </w:r>
      <w:r w:rsidR="006C26CC">
        <w:t>.</w:t>
      </w:r>
      <w:r w:rsidR="006C26CC">
        <w:rPr>
          <w:rStyle w:val="FootnoteReference"/>
        </w:rPr>
        <w:footnoteReference w:id="34"/>
      </w:r>
      <w:r>
        <w:t xml:space="preserve"> He conducts and in depth analysis of the 2008 financia</w:t>
      </w:r>
      <w:r w:rsidR="009C1F73">
        <w:t xml:space="preserve">l crisis and provides evidence which backs up </w:t>
      </w:r>
      <w:r>
        <w:t>the</w:t>
      </w:r>
      <w:r w:rsidR="009C1F73">
        <w:t xml:space="preserve"> idea that</w:t>
      </w:r>
      <w:r>
        <w:t xml:space="preserve"> existence of TBTF policy tends to be engrained in financial systems at both a policy level by governments engaging in bailouts and legislative level where governments avoid regularization of TBTF</w:t>
      </w:r>
      <w:r w:rsidR="009C1F73">
        <w:t xml:space="preserve"> banks on the basis of free market principles</w:t>
      </w:r>
      <w:r>
        <w:t>.</w:t>
      </w:r>
      <w:r>
        <w:rPr>
          <w:rStyle w:val="FootnoteReference"/>
        </w:rPr>
        <w:footnoteReference w:id="35"/>
      </w:r>
      <w:r>
        <w:t xml:space="preserve"> In the end, Clyde finds that despite the numerous benefits, TBFT policy</w:t>
      </w:r>
      <w:r w:rsidR="009C1F73">
        <w:t xml:space="preserve"> neither creates a </w:t>
      </w:r>
      <w:r w:rsidR="00C7680B">
        <w:t>stable nor</w:t>
      </w:r>
      <w:r>
        <w:t xml:space="preserve"> efficient </w:t>
      </w:r>
      <w:r w:rsidR="00C7680B">
        <w:t xml:space="preserve">economy </w:t>
      </w:r>
      <w:r>
        <w:t xml:space="preserve">and </w:t>
      </w:r>
      <w:r w:rsidR="009C1F73">
        <w:t>further the policy results in</w:t>
      </w:r>
      <w:r w:rsidR="00C071FC">
        <w:t xml:space="preserve"> huge financial and market losses.</w:t>
      </w:r>
      <w:r w:rsidR="00C071FC">
        <w:rPr>
          <w:rStyle w:val="FootnoteReference"/>
        </w:rPr>
        <w:footnoteReference w:id="36"/>
      </w:r>
    </w:p>
    <w:p w14:paraId="7E9DD578" w14:textId="743B28A7" w:rsidR="00DF1FDA" w:rsidRDefault="001A6CD9" w:rsidP="0005128B">
      <w:pPr>
        <w:spacing w:line="360" w:lineRule="auto"/>
      </w:pPr>
      <w:r>
        <w:t xml:space="preserve">In Kenya, </w:t>
      </w:r>
      <w:proofErr w:type="spellStart"/>
      <w:r>
        <w:t>Odundo</w:t>
      </w:r>
      <w:proofErr w:type="spellEnd"/>
      <w:r>
        <w:t xml:space="preserve"> Geoffrey and </w:t>
      </w:r>
      <w:proofErr w:type="spellStart"/>
      <w:r>
        <w:t>Orwaru</w:t>
      </w:r>
      <w:proofErr w:type="spellEnd"/>
      <w:r>
        <w:t xml:space="preserve"> James explore the </w:t>
      </w:r>
      <w:r w:rsidR="00C7680B">
        <w:t>impact of the</w:t>
      </w:r>
      <w:r>
        <w:t xml:space="preserve"> growth of banks to TBTF status on the bank</w:t>
      </w:r>
      <w:r w:rsidR="00DF1FDA">
        <w:t>’</w:t>
      </w:r>
      <w:r>
        <w:t xml:space="preserve">s </w:t>
      </w:r>
      <w:r w:rsidR="00DF1FDA">
        <w:t xml:space="preserve">financial </w:t>
      </w:r>
      <w:r>
        <w:t>stability</w:t>
      </w:r>
      <w:r w:rsidR="00DF1FDA">
        <w:t xml:space="preserve">. </w:t>
      </w:r>
      <w:r>
        <w:t>The research</w:t>
      </w:r>
      <w:r w:rsidR="00C071FC">
        <w:t xml:space="preserve"> employs quantitative </w:t>
      </w:r>
      <w:r w:rsidR="00C7680B">
        <w:t>method,</w:t>
      </w:r>
      <w:r w:rsidR="00C071FC">
        <w:t xml:space="preserve"> </w:t>
      </w:r>
      <w:r w:rsidR="00C7680B">
        <w:t>correlati</w:t>
      </w:r>
      <w:r w:rsidR="00513A0B">
        <w:t xml:space="preserve">on design technique, in analyzing 10 </w:t>
      </w:r>
      <w:r w:rsidR="00C7680B">
        <w:t>publicly-listed banks</w:t>
      </w:r>
      <w:r w:rsidR="00096C6A">
        <w:t xml:space="preserve"> including Kenya Commercial Bank of Kenya, Equity Bank, Cooperative Bank, I&amp;M Bank amongst others </w:t>
      </w:r>
      <w:r w:rsidR="00C7680B">
        <w:t>.</w:t>
      </w:r>
      <w:r w:rsidR="00C7680B">
        <w:rPr>
          <w:rStyle w:val="FootnoteReference"/>
        </w:rPr>
        <w:footnoteReference w:id="37"/>
      </w:r>
      <w:r w:rsidR="00513A0B">
        <w:t xml:space="preserve"> Relevant to this research, </w:t>
      </w:r>
      <w:r w:rsidR="00513A0B">
        <w:lastRenderedPageBreak/>
        <w:t xml:space="preserve">the study found that bank size has a negative effect on the stability of a bank due to the high-risk decisions taken by such TBTF banks premised on assured government guarantees. </w:t>
      </w:r>
      <w:r w:rsidR="009C1F73">
        <w:rPr>
          <w:rStyle w:val="FootnoteReference"/>
        </w:rPr>
        <w:footnoteReference w:id="38"/>
      </w:r>
    </w:p>
    <w:p w14:paraId="63BE1609" w14:textId="3C949549" w:rsidR="008C18E4" w:rsidRDefault="00513A0B" w:rsidP="00096C6A">
      <w:pPr>
        <w:spacing w:line="360" w:lineRule="auto"/>
      </w:pPr>
      <w:r>
        <w:t xml:space="preserve">This research will provide a Kenyan context to studies conducted </w:t>
      </w:r>
      <w:r w:rsidR="009C1F73">
        <w:t xml:space="preserve">by the likes of Clyde. Further it will build </w:t>
      </w:r>
      <w:r>
        <w:t xml:space="preserve">on </w:t>
      </w:r>
      <w:proofErr w:type="spellStart"/>
      <w:r>
        <w:t>Odundo’s</w:t>
      </w:r>
      <w:proofErr w:type="spellEnd"/>
      <w:r>
        <w:t xml:space="preserve"> and </w:t>
      </w:r>
      <w:proofErr w:type="spellStart"/>
      <w:r>
        <w:t>Orwaru’</w:t>
      </w:r>
      <w:r w:rsidR="009C1F73">
        <w:t>s</w:t>
      </w:r>
      <w:proofErr w:type="spellEnd"/>
      <w:r w:rsidR="009C1F73">
        <w:t xml:space="preserve"> research</w:t>
      </w:r>
      <w:r>
        <w:t xml:space="preserve"> by looking at the</w:t>
      </w:r>
      <w:r w:rsidR="009C1F73">
        <w:t xml:space="preserve"> cause of TBTF and its impact on not</w:t>
      </w:r>
      <w:r w:rsidR="00096C6A">
        <w:t xml:space="preserve"> only financial stability of</w:t>
      </w:r>
      <w:r w:rsidR="009C1F73">
        <w:t xml:space="preserve"> individual bank</w:t>
      </w:r>
      <w:r w:rsidR="00096C6A">
        <w:t>s</w:t>
      </w:r>
      <w:r w:rsidR="009C1F73">
        <w:t xml:space="preserve"> but the wider externalities </w:t>
      </w:r>
      <w:r w:rsidR="00096C6A">
        <w:t xml:space="preserve">of TBTF policy </w:t>
      </w:r>
      <w:r w:rsidR="009C1F73">
        <w:t>on the economy.</w:t>
      </w:r>
      <w:r>
        <w:t xml:space="preserve"> </w:t>
      </w:r>
    </w:p>
    <w:p w14:paraId="704232C2" w14:textId="77777777" w:rsidR="00096C6A" w:rsidRPr="00096C6A" w:rsidRDefault="00096C6A" w:rsidP="00096C6A">
      <w:pPr>
        <w:spacing w:line="360" w:lineRule="auto"/>
      </w:pPr>
    </w:p>
    <w:p w14:paraId="1B7F94BE" w14:textId="228209DB" w:rsidR="0034128A" w:rsidRPr="005B66DE" w:rsidRDefault="005D3A78" w:rsidP="00161E5F">
      <w:pPr>
        <w:pStyle w:val="Heading2"/>
        <w:jc w:val="both"/>
      </w:pPr>
      <w:bookmarkStart w:id="22" w:name="_Toc62552877"/>
      <w:r w:rsidRPr="005B66DE">
        <w:t>1.8</w:t>
      </w:r>
      <w:r w:rsidR="0034128A" w:rsidRPr="005B66DE">
        <w:t xml:space="preserve"> </w:t>
      </w:r>
      <w:r w:rsidR="00CC400D">
        <w:t xml:space="preserve">      </w:t>
      </w:r>
      <w:r w:rsidR="0034128A" w:rsidRPr="00576063">
        <w:t>THEORETICAL FRAMEWORK</w:t>
      </w:r>
      <w:bookmarkEnd w:id="22"/>
    </w:p>
    <w:p w14:paraId="7C50F47C" w14:textId="6369BA8A" w:rsidR="001B3772" w:rsidRDefault="00E55A98" w:rsidP="0034128A">
      <w:pPr>
        <w:widowControl w:val="0"/>
        <w:suppressAutoHyphens/>
        <w:overflowPunct w:val="0"/>
        <w:autoSpaceDE w:val="0"/>
        <w:autoSpaceDN w:val="0"/>
        <w:spacing w:line="360" w:lineRule="auto"/>
        <w:textAlignment w:val="baseline"/>
        <w:rPr>
          <w:rFonts w:eastAsiaTheme="minorEastAsia" w:cs="Times New Roman"/>
          <w:kern w:val="3"/>
          <w:szCs w:val="24"/>
        </w:rPr>
      </w:pPr>
      <w:r>
        <w:rPr>
          <w:rFonts w:eastAsiaTheme="minorEastAsia" w:cs="Times New Roman"/>
          <w:kern w:val="3"/>
          <w:szCs w:val="24"/>
        </w:rPr>
        <w:t>This study relies on p</w:t>
      </w:r>
      <w:r w:rsidR="0034128A" w:rsidRPr="005B66DE">
        <w:rPr>
          <w:rFonts w:eastAsiaTheme="minorEastAsia" w:cs="Times New Roman"/>
          <w:kern w:val="3"/>
          <w:szCs w:val="24"/>
        </w:rPr>
        <w:t>ositive theories of law</w:t>
      </w:r>
      <w:r>
        <w:rPr>
          <w:rFonts w:eastAsiaTheme="minorEastAsia" w:cs="Times New Roman"/>
          <w:kern w:val="3"/>
          <w:szCs w:val="24"/>
        </w:rPr>
        <w:t xml:space="preserve"> which</w:t>
      </w:r>
      <w:r w:rsidR="0034128A" w:rsidRPr="005B66DE">
        <w:rPr>
          <w:rFonts w:eastAsiaTheme="minorEastAsia" w:cs="Times New Roman"/>
          <w:kern w:val="3"/>
          <w:szCs w:val="24"/>
        </w:rPr>
        <w:t xml:space="preserve"> examine why </w:t>
      </w:r>
      <w:hyperlink r:id="rId8" w:history="1">
        <w:r w:rsidR="0034128A" w:rsidRPr="005B66DE">
          <w:rPr>
            <w:rFonts w:eastAsiaTheme="minorEastAsia" w:cs="Times New Roman"/>
            <w:kern w:val="3"/>
            <w:szCs w:val="24"/>
          </w:rPr>
          <w:t>regulation</w:t>
        </w:r>
      </w:hyperlink>
      <w:r w:rsidR="0034128A" w:rsidRPr="005B66DE">
        <w:rPr>
          <w:rFonts w:eastAsiaTheme="minorEastAsia" w:cs="Times New Roman"/>
          <w:kern w:val="3"/>
          <w:szCs w:val="24"/>
        </w:rPr>
        <w:t xml:space="preserve"> occurs</w:t>
      </w:r>
      <w:r w:rsidR="00833F6E">
        <w:rPr>
          <w:rFonts w:eastAsiaTheme="minorEastAsia" w:cs="Times New Roman"/>
          <w:kern w:val="3"/>
          <w:szCs w:val="24"/>
        </w:rPr>
        <w:t xml:space="preserve"> and the need for such regulation</w:t>
      </w:r>
      <w:r w:rsidR="0034128A" w:rsidRPr="005B66DE">
        <w:rPr>
          <w:rFonts w:eastAsiaTheme="minorEastAsia" w:cs="Times New Roman"/>
          <w:kern w:val="3"/>
          <w:szCs w:val="24"/>
        </w:rPr>
        <w:t>.</w:t>
      </w:r>
      <w:r w:rsidR="009C1752">
        <w:rPr>
          <w:rStyle w:val="FootnoteReference"/>
          <w:rFonts w:eastAsiaTheme="minorEastAsia" w:cs="Times New Roman"/>
          <w:kern w:val="3"/>
          <w:szCs w:val="24"/>
        </w:rPr>
        <w:footnoteReference w:id="39"/>
      </w:r>
      <w:r w:rsidR="00833F6E">
        <w:rPr>
          <w:rFonts w:eastAsiaTheme="minorEastAsia" w:cs="Times New Roman"/>
          <w:kern w:val="3"/>
          <w:szCs w:val="24"/>
        </w:rPr>
        <w:t xml:space="preserve"> The aforesaid </w:t>
      </w:r>
      <w:r w:rsidR="0034128A" w:rsidRPr="005B66DE">
        <w:rPr>
          <w:rFonts w:eastAsiaTheme="minorEastAsia" w:cs="Times New Roman"/>
          <w:kern w:val="3"/>
          <w:szCs w:val="24"/>
        </w:rPr>
        <w:t xml:space="preserve">theories of </w:t>
      </w:r>
      <w:hyperlink r:id="rId9" w:history="1">
        <w:r w:rsidR="0034128A" w:rsidRPr="005B66DE">
          <w:rPr>
            <w:rFonts w:eastAsiaTheme="minorEastAsia" w:cs="Times New Roman"/>
            <w:kern w:val="3"/>
            <w:szCs w:val="24"/>
          </w:rPr>
          <w:t>regulation</w:t>
        </w:r>
      </w:hyperlink>
      <w:r w:rsidR="0034128A" w:rsidRPr="005B66DE">
        <w:rPr>
          <w:rFonts w:eastAsiaTheme="minorEastAsia" w:cs="Times New Roman"/>
          <w:kern w:val="3"/>
          <w:szCs w:val="24"/>
        </w:rPr>
        <w:t xml:space="preserve">  include theories of </w:t>
      </w:r>
      <w:hyperlink r:id="rId10" w:history="1">
        <w:r w:rsidR="0034128A" w:rsidRPr="005B66DE">
          <w:rPr>
            <w:rFonts w:eastAsiaTheme="minorEastAsia" w:cs="Times New Roman"/>
            <w:kern w:val="3"/>
            <w:szCs w:val="24"/>
          </w:rPr>
          <w:t>market power</w:t>
        </w:r>
      </w:hyperlink>
      <w:r w:rsidR="0034128A" w:rsidRPr="005B66DE">
        <w:rPr>
          <w:rFonts w:eastAsiaTheme="minorEastAsia" w:cs="Times New Roman"/>
          <w:kern w:val="3"/>
          <w:szCs w:val="24"/>
        </w:rPr>
        <w:t>,</w:t>
      </w:r>
      <w:r w:rsidR="0034128A" w:rsidRPr="005B66DE">
        <w:rPr>
          <w:rFonts w:eastAsiaTheme="minorEastAsia" w:cs="Times New Roman"/>
          <w:kern w:val="3"/>
          <w:szCs w:val="24"/>
          <w:vertAlign w:val="superscript"/>
        </w:rPr>
        <w:t xml:space="preserve"> </w:t>
      </w:r>
      <w:r w:rsidR="0034128A" w:rsidRPr="005B66DE">
        <w:rPr>
          <w:rFonts w:eastAsiaTheme="minorEastAsia" w:cs="Times New Roman"/>
          <w:kern w:val="3"/>
          <w:szCs w:val="24"/>
        </w:rPr>
        <w:t xml:space="preserve"> interest group theories that describe stakeholders’ interests in </w:t>
      </w:r>
      <w:hyperlink r:id="rId11" w:history="1">
        <w:r w:rsidR="0034128A" w:rsidRPr="005B66DE">
          <w:rPr>
            <w:rFonts w:eastAsiaTheme="minorEastAsia" w:cs="Times New Roman"/>
            <w:kern w:val="3"/>
            <w:szCs w:val="24"/>
          </w:rPr>
          <w:t>regulation</w:t>
        </w:r>
      </w:hyperlink>
      <w:r w:rsidR="001B3772">
        <w:rPr>
          <w:rFonts w:eastAsiaTheme="minorEastAsia" w:cs="Times New Roman"/>
          <w:kern w:val="3"/>
          <w:szCs w:val="24"/>
        </w:rPr>
        <w:t xml:space="preserve"> </w:t>
      </w:r>
      <w:r w:rsidR="0034128A" w:rsidRPr="005B66DE">
        <w:rPr>
          <w:rFonts w:eastAsiaTheme="minorEastAsia" w:cs="Times New Roman"/>
          <w:kern w:val="3"/>
          <w:szCs w:val="24"/>
        </w:rPr>
        <w:t xml:space="preserve">and theories of government </w:t>
      </w:r>
      <w:hyperlink r:id="rId12" w:history="1">
        <w:r w:rsidR="0034128A" w:rsidRPr="005B66DE">
          <w:rPr>
            <w:rFonts w:eastAsiaTheme="minorEastAsia" w:cs="Times New Roman"/>
            <w:kern w:val="3"/>
            <w:szCs w:val="24"/>
          </w:rPr>
          <w:t>opportunism</w:t>
        </w:r>
      </w:hyperlink>
      <w:r w:rsidR="0034128A" w:rsidRPr="005B66DE">
        <w:rPr>
          <w:rFonts w:eastAsiaTheme="minorEastAsia" w:cs="Times New Roman"/>
          <w:kern w:val="3"/>
          <w:szCs w:val="24"/>
        </w:rPr>
        <w:t xml:space="preserve"> that describe why restrictions on government disc</w:t>
      </w:r>
      <w:r w:rsidR="001B3772">
        <w:rPr>
          <w:rFonts w:eastAsiaTheme="minorEastAsia" w:cs="Times New Roman"/>
          <w:kern w:val="3"/>
          <w:szCs w:val="24"/>
        </w:rPr>
        <w:t xml:space="preserve">retion may be necessary for a </w:t>
      </w:r>
      <w:r w:rsidR="0034128A" w:rsidRPr="005B66DE">
        <w:rPr>
          <w:rFonts w:eastAsiaTheme="minorEastAsia" w:cs="Times New Roman"/>
          <w:kern w:val="3"/>
          <w:szCs w:val="24"/>
        </w:rPr>
        <w:t xml:space="preserve">sector to provide </w:t>
      </w:r>
      <w:hyperlink r:id="rId13" w:history="1">
        <w:r w:rsidR="0034128A" w:rsidRPr="005B66DE">
          <w:rPr>
            <w:rFonts w:eastAsiaTheme="minorEastAsia" w:cs="Times New Roman"/>
            <w:kern w:val="3"/>
            <w:szCs w:val="24"/>
          </w:rPr>
          <w:t>efficient</w:t>
        </w:r>
      </w:hyperlink>
      <w:r w:rsidR="0034128A" w:rsidRPr="005B66DE">
        <w:rPr>
          <w:rFonts w:eastAsiaTheme="minorEastAsia" w:cs="Times New Roman"/>
          <w:kern w:val="3"/>
          <w:szCs w:val="24"/>
        </w:rPr>
        <w:t xml:space="preserve"> services for </w:t>
      </w:r>
      <w:hyperlink r:id="rId14" w:history="1">
        <w:r w:rsidR="0034128A" w:rsidRPr="005B66DE">
          <w:rPr>
            <w:rFonts w:eastAsiaTheme="minorEastAsia" w:cs="Times New Roman"/>
            <w:kern w:val="3"/>
            <w:szCs w:val="24"/>
          </w:rPr>
          <w:t>customers</w:t>
        </w:r>
      </w:hyperlink>
      <w:r w:rsidR="0034128A" w:rsidRPr="005B66DE">
        <w:rPr>
          <w:rFonts w:eastAsiaTheme="minorEastAsia" w:cs="Times New Roman"/>
          <w:kern w:val="3"/>
          <w:szCs w:val="24"/>
        </w:rPr>
        <w:t>.</w:t>
      </w:r>
      <w:r w:rsidR="004B59E0">
        <w:rPr>
          <w:rStyle w:val="FootnoteReference"/>
          <w:rFonts w:eastAsiaTheme="minorEastAsia" w:cs="Times New Roman"/>
          <w:kern w:val="3"/>
          <w:szCs w:val="24"/>
        </w:rPr>
        <w:footnoteReference w:id="40"/>
      </w:r>
      <w:r w:rsidR="0034128A" w:rsidRPr="005B66DE">
        <w:rPr>
          <w:rFonts w:eastAsiaTheme="minorEastAsia" w:cs="Times New Roman"/>
          <w:kern w:val="3"/>
          <w:szCs w:val="24"/>
        </w:rPr>
        <w:t xml:space="preserve"> In general, the conclusions of these theories are that </w:t>
      </w:r>
      <w:hyperlink r:id="rId15" w:history="1">
        <w:r w:rsidR="0034128A" w:rsidRPr="005B66DE">
          <w:rPr>
            <w:rFonts w:eastAsiaTheme="minorEastAsia" w:cs="Times New Roman"/>
            <w:kern w:val="3"/>
            <w:szCs w:val="24"/>
          </w:rPr>
          <w:t>regulation</w:t>
        </w:r>
      </w:hyperlink>
      <w:r w:rsidR="0034128A" w:rsidRPr="005B66DE">
        <w:rPr>
          <w:rFonts w:eastAsiaTheme="minorEastAsia" w:cs="Times New Roman"/>
          <w:kern w:val="3"/>
          <w:szCs w:val="24"/>
        </w:rPr>
        <w:t xml:space="preserve"> oc</w:t>
      </w:r>
      <w:r w:rsidR="001B3772">
        <w:rPr>
          <w:rFonts w:eastAsiaTheme="minorEastAsia" w:cs="Times New Roman"/>
          <w:kern w:val="3"/>
          <w:szCs w:val="24"/>
        </w:rPr>
        <w:t xml:space="preserve">curs because </w:t>
      </w:r>
      <w:r w:rsidR="0034128A" w:rsidRPr="005B66DE">
        <w:rPr>
          <w:rFonts w:eastAsiaTheme="minorEastAsia" w:cs="Times New Roman"/>
          <w:kern w:val="3"/>
          <w:szCs w:val="24"/>
        </w:rPr>
        <w:t>the governmen</w:t>
      </w:r>
      <w:r w:rsidR="001B3772">
        <w:rPr>
          <w:rFonts w:eastAsiaTheme="minorEastAsia" w:cs="Times New Roman"/>
          <w:kern w:val="3"/>
          <w:szCs w:val="24"/>
        </w:rPr>
        <w:t xml:space="preserve">t is interested in aligning </w:t>
      </w:r>
      <w:r w:rsidR="0034128A" w:rsidRPr="005B66DE">
        <w:rPr>
          <w:rFonts w:eastAsiaTheme="minorEastAsia" w:cs="Times New Roman"/>
          <w:kern w:val="3"/>
          <w:szCs w:val="24"/>
        </w:rPr>
        <w:t>banks</w:t>
      </w:r>
      <w:r w:rsidR="001B3772">
        <w:rPr>
          <w:rFonts w:eastAsiaTheme="minorEastAsia" w:cs="Times New Roman"/>
          <w:kern w:val="3"/>
          <w:szCs w:val="24"/>
        </w:rPr>
        <w:t>’</w:t>
      </w:r>
      <w:r w:rsidR="0034128A" w:rsidRPr="005B66DE">
        <w:rPr>
          <w:rFonts w:eastAsiaTheme="minorEastAsia" w:cs="Times New Roman"/>
          <w:kern w:val="3"/>
          <w:szCs w:val="24"/>
        </w:rPr>
        <w:t xml:space="preserve"> interest with the government’s interest,</w:t>
      </w:r>
      <w:r w:rsidR="0034128A" w:rsidRPr="005B66DE">
        <w:rPr>
          <w:rFonts w:eastAsiaTheme="minorEastAsia" w:cs="Times New Roman"/>
          <w:kern w:val="3"/>
          <w:szCs w:val="24"/>
          <w:vertAlign w:val="superscript"/>
        </w:rPr>
        <w:t xml:space="preserve"> </w:t>
      </w:r>
      <w:r w:rsidR="0034128A" w:rsidRPr="005B66DE">
        <w:rPr>
          <w:rFonts w:eastAsiaTheme="minorEastAsia" w:cs="Times New Roman"/>
          <w:kern w:val="3"/>
          <w:szCs w:val="24"/>
        </w:rPr>
        <w:t xml:space="preserve"> </w:t>
      </w:r>
      <w:hyperlink r:id="rId16" w:history="1">
        <w:r w:rsidR="0034128A" w:rsidRPr="005B66DE">
          <w:rPr>
            <w:rFonts w:eastAsiaTheme="minorEastAsia" w:cs="Times New Roman"/>
            <w:kern w:val="3"/>
            <w:szCs w:val="24"/>
          </w:rPr>
          <w:t>customers</w:t>
        </w:r>
      </w:hyperlink>
      <w:r w:rsidR="0034128A" w:rsidRPr="005B66DE">
        <w:rPr>
          <w:rFonts w:eastAsiaTheme="minorEastAsia" w:cs="Times New Roman"/>
          <w:kern w:val="3"/>
          <w:szCs w:val="24"/>
        </w:rPr>
        <w:t xml:space="preserve"> desire protection from </w:t>
      </w:r>
      <w:hyperlink r:id="rId17" w:history="1">
        <w:r w:rsidR="0034128A" w:rsidRPr="005B66DE">
          <w:rPr>
            <w:rFonts w:eastAsiaTheme="minorEastAsia" w:cs="Times New Roman"/>
            <w:kern w:val="3"/>
            <w:szCs w:val="24"/>
          </w:rPr>
          <w:t>market power</w:t>
        </w:r>
      </w:hyperlink>
      <w:r w:rsidR="0034128A" w:rsidRPr="005B66DE">
        <w:rPr>
          <w:rFonts w:eastAsiaTheme="minorEastAsia" w:cs="Times New Roman"/>
          <w:kern w:val="3"/>
          <w:szCs w:val="24"/>
        </w:rPr>
        <w:t xml:space="preserve"> when </w:t>
      </w:r>
      <w:hyperlink r:id="rId18" w:history="1">
        <w:r w:rsidR="0034128A" w:rsidRPr="005B66DE">
          <w:rPr>
            <w:rFonts w:eastAsiaTheme="minorEastAsia" w:cs="Times New Roman"/>
            <w:kern w:val="3"/>
            <w:szCs w:val="24"/>
          </w:rPr>
          <w:t>competition</w:t>
        </w:r>
      </w:hyperlink>
      <w:r w:rsidR="0034128A" w:rsidRPr="005B66DE">
        <w:rPr>
          <w:rFonts w:eastAsiaTheme="minorEastAsia" w:cs="Times New Roman"/>
          <w:kern w:val="3"/>
          <w:szCs w:val="24"/>
        </w:rPr>
        <w:t xml:space="preserve"> is non-existent or ineffective, banks desire protection from rivals, or banks desire protection from government </w:t>
      </w:r>
      <w:hyperlink r:id="rId19" w:history="1">
        <w:r w:rsidR="0034128A" w:rsidRPr="005B66DE">
          <w:rPr>
            <w:rFonts w:eastAsiaTheme="minorEastAsia" w:cs="Times New Roman"/>
            <w:kern w:val="3"/>
            <w:szCs w:val="24"/>
          </w:rPr>
          <w:t>opportunism</w:t>
        </w:r>
      </w:hyperlink>
      <w:r w:rsidR="0034128A" w:rsidRPr="005B66DE">
        <w:rPr>
          <w:rFonts w:eastAsiaTheme="minorEastAsia" w:cs="Times New Roman"/>
          <w:kern w:val="3"/>
          <w:szCs w:val="24"/>
        </w:rPr>
        <w:t>.</w:t>
      </w:r>
      <w:r w:rsidR="0034128A" w:rsidRPr="005B66DE">
        <w:rPr>
          <w:rFonts w:eastAsiaTheme="minorEastAsia" w:cs="Times New Roman"/>
          <w:kern w:val="3"/>
          <w:szCs w:val="24"/>
          <w:vertAlign w:val="superscript"/>
        </w:rPr>
        <w:footnoteReference w:id="41"/>
      </w:r>
      <w:r w:rsidR="0034128A" w:rsidRPr="005B66DE">
        <w:rPr>
          <w:rFonts w:eastAsiaTheme="minorEastAsia" w:cs="Times New Roman"/>
          <w:kern w:val="3"/>
          <w:szCs w:val="24"/>
        </w:rPr>
        <w:t xml:space="preserve"> </w:t>
      </w:r>
      <w:r w:rsidR="001B3772">
        <w:rPr>
          <w:rFonts w:eastAsiaTheme="minorEastAsia" w:cs="Times New Roman"/>
          <w:kern w:val="3"/>
          <w:szCs w:val="24"/>
        </w:rPr>
        <w:t xml:space="preserve"> </w:t>
      </w:r>
    </w:p>
    <w:p w14:paraId="26016D46" w14:textId="4A469B12" w:rsidR="00767B11" w:rsidRDefault="001B3772" w:rsidP="0034128A">
      <w:pPr>
        <w:widowControl w:val="0"/>
        <w:suppressAutoHyphens/>
        <w:overflowPunct w:val="0"/>
        <w:autoSpaceDE w:val="0"/>
        <w:autoSpaceDN w:val="0"/>
        <w:spacing w:line="360" w:lineRule="auto"/>
        <w:textAlignment w:val="baseline"/>
        <w:rPr>
          <w:rFonts w:eastAsiaTheme="minorEastAsia" w:cs="Times New Roman"/>
          <w:kern w:val="3"/>
          <w:szCs w:val="24"/>
        </w:rPr>
      </w:pPr>
      <w:r>
        <w:rPr>
          <w:rFonts w:eastAsiaTheme="minorEastAsia" w:cs="Times New Roman"/>
          <w:kern w:val="3"/>
          <w:szCs w:val="24"/>
        </w:rPr>
        <w:t xml:space="preserve">Hobbes, </w:t>
      </w:r>
      <w:r w:rsidR="0034128A" w:rsidRPr="005B66DE">
        <w:rPr>
          <w:rFonts w:eastAsiaTheme="minorEastAsia" w:cs="Times New Roman"/>
          <w:kern w:val="3"/>
          <w:szCs w:val="24"/>
        </w:rPr>
        <w:t xml:space="preserve">a </w:t>
      </w:r>
      <w:hyperlink r:id="rId20" w:tooltip="Social contract" w:history="1">
        <w:r w:rsidR="0034128A" w:rsidRPr="005B66DE">
          <w:rPr>
            <w:rFonts w:eastAsiaTheme="minorEastAsia" w:cs="Times New Roman"/>
            <w:kern w:val="3"/>
            <w:szCs w:val="24"/>
          </w:rPr>
          <w:t>social contractarian</w:t>
        </w:r>
      </w:hyperlink>
      <w:r>
        <w:rPr>
          <w:rFonts w:eastAsiaTheme="minorEastAsia" w:cs="Times New Roman"/>
          <w:kern w:val="3"/>
          <w:szCs w:val="24"/>
        </w:rPr>
        <w:t xml:space="preserve">, </w:t>
      </w:r>
      <w:r w:rsidR="0034128A" w:rsidRPr="005B66DE">
        <w:rPr>
          <w:rFonts w:eastAsiaTheme="minorEastAsia" w:cs="Times New Roman"/>
          <w:kern w:val="3"/>
          <w:szCs w:val="24"/>
        </w:rPr>
        <w:t xml:space="preserve">believed </w:t>
      </w:r>
      <w:r w:rsidR="00B76B6D">
        <w:rPr>
          <w:rFonts w:eastAsiaTheme="minorEastAsia" w:cs="Times New Roman"/>
          <w:kern w:val="3"/>
          <w:szCs w:val="24"/>
        </w:rPr>
        <w:t xml:space="preserve">that the law had peoples' implied </w:t>
      </w:r>
      <w:r w:rsidR="0034128A" w:rsidRPr="005B66DE">
        <w:rPr>
          <w:rFonts w:eastAsiaTheme="minorEastAsia" w:cs="Times New Roman"/>
          <w:kern w:val="3"/>
          <w:szCs w:val="24"/>
        </w:rPr>
        <w:t>cons</w:t>
      </w:r>
      <w:r>
        <w:rPr>
          <w:rFonts w:eastAsiaTheme="minorEastAsia" w:cs="Times New Roman"/>
          <w:kern w:val="3"/>
          <w:szCs w:val="24"/>
        </w:rPr>
        <w:t xml:space="preserve">ent and </w:t>
      </w:r>
      <w:r w:rsidR="0034128A" w:rsidRPr="005B66DE">
        <w:rPr>
          <w:rFonts w:eastAsiaTheme="minorEastAsia" w:cs="Times New Roman"/>
          <w:kern w:val="3"/>
          <w:szCs w:val="24"/>
        </w:rPr>
        <w:t xml:space="preserve">society was formed from a </w:t>
      </w:r>
      <w:hyperlink r:id="rId21" w:tooltip="State of nature" w:history="1">
        <w:r w:rsidR="0034128A" w:rsidRPr="005B66DE">
          <w:rPr>
            <w:rFonts w:eastAsiaTheme="minorEastAsia" w:cs="Times New Roman"/>
            <w:kern w:val="3"/>
            <w:szCs w:val="24"/>
          </w:rPr>
          <w:t>state of nature</w:t>
        </w:r>
      </w:hyperlink>
      <w:r w:rsidR="0034128A" w:rsidRPr="005B66DE">
        <w:rPr>
          <w:rFonts w:eastAsiaTheme="minorEastAsia" w:cs="Times New Roman"/>
          <w:kern w:val="3"/>
          <w:szCs w:val="24"/>
        </w:rPr>
        <w:t xml:space="preserve"> to </w:t>
      </w:r>
      <w:r w:rsidR="00B76B6D" w:rsidRPr="000969CA">
        <w:rPr>
          <w:rFonts w:eastAsiaTheme="minorEastAsia" w:cs="Times New Roman"/>
          <w:kern w:val="3"/>
          <w:szCs w:val="24"/>
        </w:rPr>
        <w:t xml:space="preserve">shield persons </w:t>
      </w:r>
      <w:r w:rsidR="0034128A" w:rsidRPr="000969CA">
        <w:rPr>
          <w:rFonts w:eastAsiaTheme="minorEastAsia" w:cs="Times New Roman"/>
          <w:kern w:val="3"/>
          <w:szCs w:val="24"/>
        </w:rPr>
        <w:t>from the state of war that would exist otherwise.</w:t>
      </w:r>
      <w:r w:rsidRPr="000969CA">
        <w:rPr>
          <w:rStyle w:val="FootnoteReference"/>
          <w:rFonts w:eastAsiaTheme="minorEastAsia" w:cs="Times New Roman"/>
          <w:kern w:val="3"/>
          <w:szCs w:val="24"/>
        </w:rPr>
        <w:footnoteReference w:id="42"/>
      </w:r>
      <w:r w:rsidR="0034128A" w:rsidRPr="000969CA">
        <w:rPr>
          <w:rFonts w:eastAsiaTheme="minorEastAsia" w:cs="Times New Roman"/>
          <w:kern w:val="3"/>
          <w:szCs w:val="24"/>
        </w:rPr>
        <w:t xml:space="preserve"> In </w:t>
      </w:r>
      <w:hyperlink r:id="rId22" w:tooltip="Leviathan (Hobbes book)" w:history="1">
        <w:r w:rsidR="0034128A" w:rsidRPr="000969CA">
          <w:rPr>
            <w:rFonts w:eastAsiaTheme="minorEastAsia" w:cs="Times New Roman"/>
            <w:i/>
            <w:iCs/>
            <w:kern w:val="3"/>
            <w:szCs w:val="24"/>
          </w:rPr>
          <w:t>Leviathan</w:t>
        </w:r>
      </w:hyperlink>
      <w:r w:rsidR="00B76B6D" w:rsidRPr="000969CA">
        <w:rPr>
          <w:rFonts w:eastAsiaTheme="minorEastAsia" w:cs="Times New Roman"/>
          <w:kern w:val="3"/>
          <w:szCs w:val="24"/>
        </w:rPr>
        <w:t>, Hobbes maintains</w:t>
      </w:r>
      <w:r w:rsidR="0034128A" w:rsidRPr="000969CA">
        <w:rPr>
          <w:rFonts w:eastAsiaTheme="minorEastAsia" w:cs="Times New Roman"/>
          <w:kern w:val="3"/>
          <w:szCs w:val="24"/>
        </w:rPr>
        <w:t xml:space="preserve"> that without an ordered societ</w:t>
      </w:r>
      <w:r w:rsidR="00B76B6D" w:rsidRPr="000969CA">
        <w:rPr>
          <w:rFonts w:eastAsiaTheme="minorEastAsia" w:cs="Times New Roman"/>
          <w:kern w:val="3"/>
          <w:szCs w:val="24"/>
        </w:rPr>
        <w:t>y life would be chaotic.</w:t>
      </w:r>
      <w:r w:rsidRPr="000969CA">
        <w:rPr>
          <w:rFonts w:eastAsiaTheme="minorEastAsia" w:cs="Times New Roman"/>
          <w:kern w:val="3"/>
          <w:szCs w:val="24"/>
        </w:rPr>
        <w:t xml:space="preserve"> According to </w:t>
      </w:r>
      <w:r w:rsidR="0034128A" w:rsidRPr="000969CA">
        <w:rPr>
          <w:rFonts w:eastAsiaTheme="minorEastAsia" w:cs="Times New Roman"/>
          <w:kern w:val="3"/>
          <w:szCs w:val="24"/>
        </w:rPr>
        <w:t xml:space="preserve">Austin and Bentham, a </w:t>
      </w:r>
      <w:r w:rsidR="00B76B6D" w:rsidRPr="000969CA">
        <w:rPr>
          <w:rFonts w:eastAsiaTheme="minorEastAsia" w:cs="Times New Roman"/>
          <w:kern w:val="3"/>
          <w:szCs w:val="24"/>
        </w:rPr>
        <w:t xml:space="preserve">sovereign governs </w:t>
      </w:r>
      <w:r w:rsidR="0034128A" w:rsidRPr="000969CA">
        <w:rPr>
          <w:rFonts w:eastAsiaTheme="minorEastAsia" w:cs="Times New Roman"/>
          <w:kern w:val="3"/>
          <w:szCs w:val="24"/>
        </w:rPr>
        <w:t>society</w:t>
      </w:r>
      <w:r w:rsidR="00B76B6D" w:rsidRPr="000969CA">
        <w:rPr>
          <w:rFonts w:eastAsiaTheme="minorEastAsia" w:cs="Times New Roman"/>
          <w:kern w:val="3"/>
          <w:szCs w:val="24"/>
        </w:rPr>
        <w:t xml:space="preserve"> through de facto </w:t>
      </w:r>
      <w:r w:rsidR="0034128A" w:rsidRPr="000969CA">
        <w:rPr>
          <w:rFonts w:eastAsiaTheme="minorEastAsia" w:cs="Times New Roman"/>
          <w:kern w:val="3"/>
          <w:szCs w:val="24"/>
        </w:rPr>
        <w:t>authority.</w:t>
      </w:r>
      <w:r w:rsidR="0034128A" w:rsidRPr="000969CA">
        <w:rPr>
          <w:rFonts w:eastAsiaTheme="minorEastAsia" w:cs="Times New Roman"/>
          <w:kern w:val="3"/>
          <w:szCs w:val="24"/>
          <w:vertAlign w:val="superscript"/>
        </w:rPr>
        <w:footnoteReference w:id="43"/>
      </w:r>
      <w:r w:rsidR="0034128A" w:rsidRPr="000969CA">
        <w:rPr>
          <w:rFonts w:eastAsiaTheme="minorEastAsia" w:cs="Times New Roman"/>
          <w:kern w:val="3"/>
          <w:szCs w:val="24"/>
        </w:rPr>
        <w:t xml:space="preserve"> </w:t>
      </w:r>
      <w:r w:rsidR="00B76B6D" w:rsidRPr="000969CA">
        <w:rPr>
          <w:rFonts w:eastAsiaTheme="minorEastAsia" w:cs="Times New Roman"/>
          <w:kern w:val="3"/>
          <w:szCs w:val="24"/>
        </w:rPr>
        <w:t>Laws come through the sovereign’s authority</w:t>
      </w:r>
      <w:r w:rsidR="0034128A" w:rsidRPr="000969CA">
        <w:rPr>
          <w:rFonts w:eastAsiaTheme="minorEastAsia" w:cs="Times New Roman"/>
          <w:kern w:val="3"/>
          <w:szCs w:val="24"/>
        </w:rPr>
        <w:t xml:space="preserve">, </w:t>
      </w:r>
      <w:r w:rsidRPr="000969CA">
        <w:rPr>
          <w:rFonts w:eastAsiaTheme="minorEastAsia" w:cs="Times New Roman"/>
          <w:kern w:val="3"/>
          <w:szCs w:val="24"/>
        </w:rPr>
        <w:t xml:space="preserve">defined </w:t>
      </w:r>
      <w:r w:rsidR="00767B11" w:rsidRPr="000969CA">
        <w:rPr>
          <w:rFonts w:eastAsiaTheme="minorEastAsia" w:cs="Times New Roman"/>
          <w:kern w:val="3"/>
          <w:szCs w:val="24"/>
        </w:rPr>
        <w:t xml:space="preserve">by Austin and Bentham as </w:t>
      </w:r>
      <w:r w:rsidR="00B76B6D" w:rsidRPr="000969CA">
        <w:rPr>
          <w:rFonts w:eastAsiaTheme="minorEastAsia" w:cs="Times New Roman"/>
          <w:kern w:val="3"/>
          <w:szCs w:val="24"/>
        </w:rPr>
        <w:t>orders</w:t>
      </w:r>
      <w:r w:rsidR="0034128A" w:rsidRPr="000969CA">
        <w:rPr>
          <w:rFonts w:eastAsiaTheme="minorEastAsia" w:cs="Times New Roman"/>
          <w:kern w:val="3"/>
          <w:szCs w:val="24"/>
        </w:rPr>
        <w:t xml:space="preserve"> backed by sanctions </w:t>
      </w:r>
      <w:r w:rsidR="0034128A" w:rsidRPr="000969CA">
        <w:rPr>
          <w:rFonts w:eastAsiaTheme="minorEastAsia" w:cs="Times New Roman"/>
          <w:kern w:val="3"/>
          <w:szCs w:val="24"/>
        </w:rPr>
        <w:lastRenderedPageBreak/>
        <w:t>for non-compliance.</w:t>
      </w:r>
      <w:r w:rsidR="0034128A" w:rsidRPr="000969CA">
        <w:rPr>
          <w:rFonts w:eastAsiaTheme="minorEastAsia" w:cs="Times New Roman"/>
          <w:kern w:val="3"/>
          <w:szCs w:val="24"/>
          <w:vertAlign w:val="superscript"/>
        </w:rPr>
        <w:footnoteReference w:id="44"/>
      </w:r>
      <w:r w:rsidR="000969CA" w:rsidRPr="000969CA">
        <w:rPr>
          <w:rFonts w:eastAsiaTheme="minorEastAsia" w:cs="Times New Roman"/>
          <w:kern w:val="3"/>
          <w:szCs w:val="24"/>
        </w:rPr>
        <w:t xml:space="preserve"> The law is made up</w:t>
      </w:r>
      <w:r w:rsidR="00833F6E" w:rsidRPr="000969CA">
        <w:rPr>
          <w:rFonts w:eastAsiaTheme="minorEastAsia" w:cs="Times New Roman"/>
          <w:kern w:val="3"/>
          <w:szCs w:val="24"/>
        </w:rPr>
        <w:t xml:space="preserve"> of </w:t>
      </w:r>
      <w:r w:rsidR="0034128A" w:rsidRPr="000969CA">
        <w:rPr>
          <w:rFonts w:eastAsiaTheme="minorEastAsia" w:cs="Times New Roman"/>
          <w:kern w:val="3"/>
          <w:szCs w:val="24"/>
        </w:rPr>
        <w:t xml:space="preserve">primary rules </w:t>
      </w:r>
      <w:r w:rsidR="00767B11" w:rsidRPr="000969CA">
        <w:rPr>
          <w:rFonts w:eastAsiaTheme="minorEastAsia" w:cs="Times New Roman"/>
          <w:kern w:val="3"/>
          <w:szCs w:val="24"/>
        </w:rPr>
        <w:t>and secondary rules</w:t>
      </w:r>
      <w:r w:rsidR="000969CA" w:rsidRPr="000969CA">
        <w:rPr>
          <w:rFonts w:eastAsiaTheme="minorEastAsia" w:cs="Times New Roman"/>
          <w:kern w:val="3"/>
          <w:szCs w:val="24"/>
        </w:rPr>
        <w:t xml:space="preserve"> said Hart,</w:t>
      </w:r>
      <w:r w:rsidR="00767B11" w:rsidRPr="000969CA">
        <w:rPr>
          <w:rFonts w:eastAsiaTheme="minorEastAsia" w:cs="Times New Roman"/>
          <w:kern w:val="3"/>
          <w:szCs w:val="24"/>
        </w:rPr>
        <w:t xml:space="preserve"> p</w:t>
      </w:r>
      <w:r w:rsidR="000969CA" w:rsidRPr="000969CA">
        <w:rPr>
          <w:rFonts w:eastAsiaTheme="minorEastAsia" w:cs="Times New Roman"/>
          <w:kern w:val="3"/>
          <w:szCs w:val="24"/>
        </w:rPr>
        <w:t>rimary rules demand</w:t>
      </w:r>
      <w:r w:rsidR="0034128A" w:rsidRPr="000969CA">
        <w:rPr>
          <w:rFonts w:eastAsiaTheme="minorEastAsia" w:cs="Times New Roman"/>
          <w:kern w:val="3"/>
          <w:szCs w:val="24"/>
        </w:rPr>
        <w:t xml:space="preserve"> individuals to act or not act in certain ways and create du</w:t>
      </w:r>
      <w:r w:rsidR="00767B11" w:rsidRPr="000969CA">
        <w:rPr>
          <w:rFonts w:eastAsiaTheme="minorEastAsia" w:cs="Times New Roman"/>
          <w:kern w:val="3"/>
          <w:szCs w:val="24"/>
        </w:rPr>
        <w:t>ties for the governed to obey whereas s</w:t>
      </w:r>
      <w:r w:rsidR="0034128A" w:rsidRPr="000969CA">
        <w:rPr>
          <w:rFonts w:eastAsiaTheme="minorEastAsia" w:cs="Times New Roman"/>
          <w:kern w:val="3"/>
          <w:szCs w:val="24"/>
        </w:rPr>
        <w:t>econdary rules are rules that confer authority to create new primary rules or modify existing ones.</w:t>
      </w:r>
      <w:r w:rsidR="00767B11" w:rsidRPr="000969CA">
        <w:rPr>
          <w:rStyle w:val="FootnoteReference"/>
          <w:rFonts w:eastAsiaTheme="minorEastAsia" w:cs="Times New Roman"/>
          <w:kern w:val="3"/>
          <w:szCs w:val="24"/>
        </w:rPr>
        <w:footnoteReference w:id="45"/>
      </w:r>
      <w:r w:rsidR="0034128A" w:rsidRPr="000969CA">
        <w:rPr>
          <w:rFonts w:eastAsiaTheme="minorEastAsia" w:cs="Times New Roman"/>
          <w:kern w:val="3"/>
          <w:szCs w:val="24"/>
        </w:rPr>
        <w:t xml:space="preserve"> Secondary rules are</w:t>
      </w:r>
      <w:r w:rsidR="00767B11" w:rsidRPr="000969CA">
        <w:rPr>
          <w:rFonts w:eastAsiaTheme="minorEastAsia" w:cs="Times New Roman"/>
          <w:kern w:val="3"/>
          <w:szCs w:val="24"/>
        </w:rPr>
        <w:t xml:space="preserve"> then</w:t>
      </w:r>
      <w:r w:rsidR="0034128A" w:rsidRPr="000969CA">
        <w:rPr>
          <w:rFonts w:eastAsiaTheme="minorEastAsia" w:cs="Times New Roman"/>
          <w:kern w:val="3"/>
          <w:szCs w:val="24"/>
        </w:rPr>
        <w:t xml:space="preserve"> divi</w:t>
      </w:r>
      <w:r w:rsidR="00767B11" w:rsidRPr="000969CA">
        <w:rPr>
          <w:rFonts w:eastAsiaTheme="minorEastAsia" w:cs="Times New Roman"/>
          <w:kern w:val="3"/>
          <w:szCs w:val="24"/>
        </w:rPr>
        <w:t xml:space="preserve">ded into rules of adjudication; </w:t>
      </w:r>
      <w:r w:rsidR="0034128A" w:rsidRPr="000969CA">
        <w:rPr>
          <w:rFonts w:eastAsiaTheme="minorEastAsia" w:cs="Times New Roman"/>
          <w:kern w:val="3"/>
          <w:szCs w:val="24"/>
        </w:rPr>
        <w:t>how to resolve legal disputes</w:t>
      </w:r>
      <w:r w:rsidR="00767B11" w:rsidRPr="000969CA">
        <w:rPr>
          <w:rFonts w:eastAsiaTheme="minorEastAsia" w:cs="Times New Roman"/>
          <w:kern w:val="3"/>
          <w:szCs w:val="24"/>
        </w:rPr>
        <w:t xml:space="preserve">, rules of change; </w:t>
      </w:r>
      <w:r w:rsidR="0034128A" w:rsidRPr="000969CA">
        <w:rPr>
          <w:rFonts w:eastAsiaTheme="minorEastAsia" w:cs="Times New Roman"/>
          <w:kern w:val="3"/>
          <w:szCs w:val="24"/>
        </w:rPr>
        <w:t xml:space="preserve">how </w:t>
      </w:r>
      <w:r w:rsidR="00767B11" w:rsidRPr="000969CA">
        <w:rPr>
          <w:rFonts w:eastAsiaTheme="minorEastAsia" w:cs="Times New Roman"/>
          <w:kern w:val="3"/>
          <w:szCs w:val="24"/>
        </w:rPr>
        <w:t xml:space="preserve">to amend </w:t>
      </w:r>
      <w:r w:rsidR="0034128A" w:rsidRPr="000969CA">
        <w:rPr>
          <w:rFonts w:eastAsiaTheme="minorEastAsia" w:cs="Times New Roman"/>
          <w:kern w:val="3"/>
          <w:szCs w:val="24"/>
        </w:rPr>
        <w:t xml:space="preserve">laws </w:t>
      </w:r>
      <w:r w:rsidR="00767B11" w:rsidRPr="000969CA">
        <w:rPr>
          <w:rFonts w:eastAsiaTheme="minorEastAsia" w:cs="Times New Roman"/>
          <w:kern w:val="3"/>
          <w:szCs w:val="24"/>
        </w:rPr>
        <w:t xml:space="preserve">and the rule of recognition; </w:t>
      </w:r>
      <w:r w:rsidR="000969CA" w:rsidRPr="000969CA">
        <w:rPr>
          <w:rFonts w:eastAsiaTheme="minorEastAsia" w:cs="Times New Roman"/>
          <w:kern w:val="3"/>
          <w:szCs w:val="24"/>
        </w:rPr>
        <w:t>how laws are recognized</w:t>
      </w:r>
      <w:r w:rsidR="0034128A" w:rsidRPr="000969CA">
        <w:rPr>
          <w:rFonts w:eastAsiaTheme="minorEastAsia" w:cs="Times New Roman"/>
          <w:kern w:val="3"/>
          <w:szCs w:val="24"/>
        </w:rPr>
        <w:t xml:space="preserve"> as valid.</w:t>
      </w:r>
      <w:r w:rsidR="0034128A" w:rsidRPr="000969CA">
        <w:rPr>
          <w:rFonts w:eastAsiaTheme="minorEastAsia" w:cs="Times New Roman"/>
          <w:kern w:val="3"/>
          <w:szCs w:val="24"/>
          <w:vertAlign w:val="superscript"/>
        </w:rPr>
        <w:footnoteReference w:id="46"/>
      </w:r>
      <w:r w:rsidR="0034128A" w:rsidRPr="005B66DE">
        <w:rPr>
          <w:rFonts w:eastAsiaTheme="minorEastAsia" w:cs="Times New Roman"/>
          <w:kern w:val="3"/>
          <w:szCs w:val="24"/>
        </w:rPr>
        <w:t xml:space="preserve"> </w:t>
      </w:r>
    </w:p>
    <w:p w14:paraId="4C8D07D2" w14:textId="1BA8994C" w:rsidR="0034128A" w:rsidRDefault="00833F6E" w:rsidP="0034128A">
      <w:pPr>
        <w:widowControl w:val="0"/>
        <w:suppressAutoHyphens/>
        <w:overflowPunct w:val="0"/>
        <w:autoSpaceDE w:val="0"/>
        <w:autoSpaceDN w:val="0"/>
        <w:spacing w:line="360" w:lineRule="auto"/>
        <w:textAlignment w:val="baseline"/>
        <w:rPr>
          <w:rFonts w:eastAsiaTheme="minorEastAsia" w:cs="Times New Roman"/>
          <w:kern w:val="3"/>
          <w:szCs w:val="24"/>
        </w:rPr>
      </w:pPr>
      <w:r>
        <w:rPr>
          <w:rFonts w:eastAsiaTheme="minorEastAsia" w:cs="Times New Roman"/>
          <w:kern w:val="3"/>
          <w:szCs w:val="24"/>
        </w:rPr>
        <w:t xml:space="preserve">In instances where TBTF </w:t>
      </w:r>
      <w:r w:rsidR="0034128A" w:rsidRPr="005B66DE">
        <w:rPr>
          <w:rFonts w:eastAsiaTheme="minorEastAsia" w:cs="Times New Roman"/>
          <w:kern w:val="3"/>
          <w:szCs w:val="24"/>
        </w:rPr>
        <w:t xml:space="preserve">banks </w:t>
      </w:r>
      <w:r>
        <w:rPr>
          <w:rFonts w:eastAsiaTheme="minorEastAsia" w:cs="Times New Roman"/>
          <w:kern w:val="3"/>
          <w:szCs w:val="24"/>
        </w:rPr>
        <w:t xml:space="preserve">fails, the necessary consequence includes </w:t>
      </w:r>
      <w:r w:rsidR="0034128A" w:rsidRPr="005B66DE">
        <w:rPr>
          <w:rFonts w:eastAsiaTheme="minorEastAsia" w:cs="Times New Roman"/>
          <w:kern w:val="3"/>
          <w:szCs w:val="24"/>
        </w:rPr>
        <w:t>bailout at the expense of the taxpayer in order to cushion austerity and hardship that results from the bank’s network.</w:t>
      </w:r>
      <w:r>
        <w:rPr>
          <w:rStyle w:val="FootnoteReference"/>
          <w:rFonts w:eastAsiaTheme="minorEastAsia" w:cs="Times New Roman"/>
          <w:kern w:val="3"/>
          <w:szCs w:val="24"/>
        </w:rPr>
        <w:footnoteReference w:id="47"/>
      </w:r>
      <w:r w:rsidR="0034128A" w:rsidRPr="005B66DE">
        <w:rPr>
          <w:rFonts w:eastAsiaTheme="minorEastAsia" w:cs="Times New Roman"/>
          <w:kern w:val="3"/>
          <w:szCs w:val="24"/>
        </w:rPr>
        <w:t xml:space="preserve"> The moral obligation for financial intervention promotes risky practices rather than deter the practices because the bank knows that there is a safety net for them.</w:t>
      </w:r>
      <w:r>
        <w:rPr>
          <w:rFonts w:eastAsiaTheme="minorEastAsia" w:cs="Times New Roman"/>
          <w:kern w:val="3"/>
          <w:szCs w:val="24"/>
        </w:rPr>
        <w:t xml:space="preserve"> Consequently, there is need for regulation of </w:t>
      </w:r>
      <w:r w:rsidR="00413B5D">
        <w:rPr>
          <w:rFonts w:eastAsiaTheme="minorEastAsia" w:cs="Times New Roman"/>
          <w:kern w:val="3"/>
          <w:szCs w:val="24"/>
        </w:rPr>
        <w:t xml:space="preserve">banks from attaining TBTF status. </w:t>
      </w:r>
    </w:p>
    <w:p w14:paraId="0E6050BB" w14:textId="77777777" w:rsidR="008C18E4" w:rsidRPr="005B66DE" w:rsidRDefault="008C18E4" w:rsidP="0034128A">
      <w:pPr>
        <w:widowControl w:val="0"/>
        <w:suppressAutoHyphens/>
        <w:overflowPunct w:val="0"/>
        <w:autoSpaceDE w:val="0"/>
        <w:autoSpaceDN w:val="0"/>
        <w:spacing w:line="360" w:lineRule="auto"/>
        <w:textAlignment w:val="baseline"/>
        <w:rPr>
          <w:rFonts w:eastAsiaTheme="minorEastAsia" w:cs="Times New Roman"/>
          <w:kern w:val="3"/>
          <w:szCs w:val="24"/>
        </w:rPr>
      </w:pPr>
    </w:p>
    <w:p w14:paraId="02F4AD5E" w14:textId="1214C5FD" w:rsidR="0034128A" w:rsidRPr="005B66DE" w:rsidRDefault="0034128A" w:rsidP="00161E5F">
      <w:pPr>
        <w:pStyle w:val="Heading2"/>
        <w:jc w:val="both"/>
      </w:pPr>
      <w:bookmarkStart w:id="23" w:name="_Toc36098967"/>
      <w:bookmarkStart w:id="24" w:name="_Toc62552878"/>
      <w:r w:rsidRPr="005B66DE">
        <w:t>1.9</w:t>
      </w:r>
      <w:r w:rsidRPr="005B66DE">
        <w:tab/>
        <w:t>HYPOTHESES</w:t>
      </w:r>
      <w:bookmarkEnd w:id="23"/>
      <w:bookmarkEnd w:id="24"/>
      <w:r w:rsidRPr="005B66DE">
        <w:t xml:space="preserve"> </w:t>
      </w:r>
    </w:p>
    <w:p w14:paraId="7FABA252" w14:textId="77777777" w:rsidR="0034128A" w:rsidRPr="005B66DE" w:rsidRDefault="0034128A" w:rsidP="0034128A">
      <w:pPr>
        <w:widowControl w:val="0"/>
        <w:suppressAutoHyphens/>
        <w:overflowPunct w:val="0"/>
        <w:autoSpaceDE w:val="0"/>
        <w:autoSpaceDN w:val="0"/>
        <w:spacing w:line="360" w:lineRule="auto"/>
        <w:textAlignment w:val="baseline"/>
        <w:rPr>
          <w:rFonts w:eastAsiaTheme="minorEastAsia" w:cs="Times New Roman"/>
          <w:kern w:val="3"/>
          <w:szCs w:val="24"/>
        </w:rPr>
      </w:pPr>
      <w:r w:rsidRPr="005B66DE">
        <w:rPr>
          <w:rFonts w:eastAsia="Times New Roman" w:cs="Times New Roman"/>
          <w:kern w:val="3"/>
          <w:szCs w:val="24"/>
        </w:rPr>
        <w:t>The research is based on the following hypotheses:</w:t>
      </w:r>
    </w:p>
    <w:p w14:paraId="6BB88027" w14:textId="7D43191B" w:rsidR="0034128A" w:rsidRDefault="00CD757A" w:rsidP="006A35E3">
      <w:pPr>
        <w:pStyle w:val="ListParagraph"/>
        <w:widowControl w:val="0"/>
        <w:numPr>
          <w:ilvl w:val="0"/>
          <w:numId w:val="2"/>
        </w:numPr>
        <w:suppressAutoHyphens/>
        <w:overflowPunct w:val="0"/>
        <w:autoSpaceDE w:val="0"/>
        <w:autoSpaceDN w:val="0"/>
        <w:spacing w:line="360" w:lineRule="auto"/>
        <w:textAlignment w:val="baseline"/>
        <w:rPr>
          <w:rFonts w:eastAsia="Times New Roman" w:cs="Times New Roman"/>
          <w:kern w:val="3"/>
          <w:szCs w:val="24"/>
        </w:rPr>
      </w:pPr>
      <w:r w:rsidRPr="0067009C">
        <w:rPr>
          <w:rFonts w:eastAsia="Times New Roman" w:cs="Times New Roman"/>
          <w:kern w:val="3"/>
          <w:szCs w:val="24"/>
        </w:rPr>
        <w:t xml:space="preserve">That </w:t>
      </w:r>
      <w:r w:rsidR="001D6B03">
        <w:rPr>
          <w:rFonts w:eastAsia="Times New Roman" w:cs="Times New Roman"/>
          <w:kern w:val="3"/>
          <w:szCs w:val="24"/>
        </w:rPr>
        <w:t>bank mergers are a</w:t>
      </w:r>
      <w:r w:rsidR="00031B4B">
        <w:rPr>
          <w:rFonts w:eastAsia="Times New Roman" w:cs="Times New Roman"/>
          <w:kern w:val="3"/>
          <w:szCs w:val="24"/>
        </w:rPr>
        <w:t xml:space="preserve"> cause for growth of TBTF banks</w:t>
      </w:r>
    </w:p>
    <w:p w14:paraId="062CCD19" w14:textId="2CBE03ED" w:rsidR="00FB07EB" w:rsidRDefault="00031B4B" w:rsidP="001D6B03">
      <w:pPr>
        <w:pStyle w:val="ListParagraph"/>
        <w:widowControl w:val="0"/>
        <w:numPr>
          <w:ilvl w:val="0"/>
          <w:numId w:val="2"/>
        </w:numPr>
        <w:suppressAutoHyphens/>
        <w:overflowPunct w:val="0"/>
        <w:autoSpaceDE w:val="0"/>
        <w:autoSpaceDN w:val="0"/>
        <w:spacing w:line="360" w:lineRule="auto"/>
        <w:textAlignment w:val="baseline"/>
        <w:rPr>
          <w:rFonts w:eastAsia="Times New Roman" w:cs="Times New Roman"/>
          <w:kern w:val="3"/>
          <w:szCs w:val="24"/>
        </w:rPr>
      </w:pPr>
      <w:r w:rsidRPr="00161E5F">
        <w:rPr>
          <w:rFonts w:eastAsia="Times New Roman" w:cs="Times New Roman"/>
          <w:kern w:val="3"/>
          <w:szCs w:val="24"/>
        </w:rPr>
        <w:t>That the</w:t>
      </w:r>
      <w:r w:rsidR="00741C43">
        <w:rPr>
          <w:rFonts w:eastAsia="Times New Roman" w:cs="Times New Roman"/>
          <w:kern w:val="3"/>
          <w:szCs w:val="24"/>
        </w:rPr>
        <w:t xml:space="preserve"> prevailing</w:t>
      </w:r>
      <w:r w:rsidRPr="00161E5F">
        <w:rPr>
          <w:rFonts w:eastAsia="Times New Roman" w:cs="Times New Roman"/>
          <w:kern w:val="3"/>
          <w:szCs w:val="24"/>
        </w:rPr>
        <w:t xml:space="preserve"> Kenyan regulatory framewo</w:t>
      </w:r>
      <w:r>
        <w:rPr>
          <w:rFonts w:eastAsia="Times New Roman" w:cs="Times New Roman"/>
          <w:kern w:val="3"/>
          <w:szCs w:val="24"/>
        </w:rPr>
        <w:t xml:space="preserve">rk </w:t>
      </w:r>
      <w:r w:rsidR="004D34D8">
        <w:rPr>
          <w:rFonts w:eastAsia="Times New Roman" w:cs="Times New Roman"/>
          <w:kern w:val="3"/>
          <w:szCs w:val="24"/>
        </w:rPr>
        <w:t xml:space="preserve">is not adequate in governing </w:t>
      </w:r>
      <w:r w:rsidRPr="00161E5F">
        <w:rPr>
          <w:rFonts w:eastAsia="Times New Roman" w:cs="Times New Roman"/>
          <w:kern w:val="3"/>
          <w:szCs w:val="24"/>
        </w:rPr>
        <w:t>TBTF banking institutions.</w:t>
      </w:r>
    </w:p>
    <w:p w14:paraId="79EBF7C7" w14:textId="77777777" w:rsidR="001D6B03" w:rsidRPr="001D6B03" w:rsidRDefault="001D6B03" w:rsidP="001D6B03">
      <w:pPr>
        <w:pStyle w:val="ListParagraph"/>
        <w:widowControl w:val="0"/>
        <w:suppressAutoHyphens/>
        <w:overflowPunct w:val="0"/>
        <w:autoSpaceDE w:val="0"/>
        <w:autoSpaceDN w:val="0"/>
        <w:spacing w:line="360" w:lineRule="auto"/>
        <w:textAlignment w:val="baseline"/>
        <w:rPr>
          <w:rFonts w:eastAsia="Times New Roman" w:cs="Times New Roman"/>
          <w:kern w:val="3"/>
          <w:szCs w:val="24"/>
        </w:rPr>
      </w:pPr>
    </w:p>
    <w:p w14:paraId="2554571C" w14:textId="538394B0" w:rsidR="0034128A" w:rsidRPr="001D6B03" w:rsidRDefault="0067009C" w:rsidP="001D6B03">
      <w:pPr>
        <w:pStyle w:val="Heading2"/>
        <w:numPr>
          <w:ilvl w:val="1"/>
          <w:numId w:val="5"/>
        </w:numPr>
      </w:pPr>
      <w:bookmarkStart w:id="25" w:name="_Toc36098968"/>
      <w:r>
        <w:t xml:space="preserve">      </w:t>
      </w:r>
      <w:bookmarkStart w:id="26" w:name="_Toc62552879"/>
      <w:r w:rsidR="0034128A" w:rsidRPr="005B66DE">
        <w:t>CHAPTER BREAKDOWN</w:t>
      </w:r>
      <w:bookmarkEnd w:id="25"/>
      <w:bookmarkEnd w:id="26"/>
      <w:r w:rsidR="0034128A" w:rsidRPr="005B66DE">
        <w:t xml:space="preserve"> </w:t>
      </w:r>
    </w:p>
    <w:p w14:paraId="2F9E8764" w14:textId="19D581A4" w:rsidR="0034128A" w:rsidRPr="0067009C" w:rsidRDefault="0067009C" w:rsidP="006A35E3">
      <w:pPr>
        <w:pStyle w:val="ListParagraph"/>
        <w:widowControl w:val="0"/>
        <w:numPr>
          <w:ilvl w:val="0"/>
          <w:numId w:val="6"/>
        </w:numPr>
        <w:suppressAutoHyphens/>
        <w:overflowPunct w:val="0"/>
        <w:autoSpaceDE w:val="0"/>
        <w:autoSpaceDN w:val="0"/>
        <w:spacing w:line="360" w:lineRule="auto"/>
        <w:textAlignment w:val="baseline"/>
        <w:rPr>
          <w:rFonts w:eastAsiaTheme="minorEastAsia" w:cs="Times New Roman"/>
          <w:kern w:val="3"/>
          <w:szCs w:val="24"/>
        </w:rPr>
      </w:pPr>
      <w:r>
        <w:rPr>
          <w:rFonts w:eastAsia="Times New Roman" w:cs="Times New Roman"/>
          <w:kern w:val="3"/>
          <w:szCs w:val="24"/>
        </w:rPr>
        <w:t xml:space="preserve">Chapter 1 - </w:t>
      </w:r>
      <w:r w:rsidR="0034128A" w:rsidRPr="0067009C">
        <w:rPr>
          <w:rFonts w:eastAsia="Times New Roman" w:cs="Times New Roman"/>
          <w:kern w:val="3"/>
          <w:szCs w:val="24"/>
        </w:rPr>
        <w:t>In</w:t>
      </w:r>
      <w:r>
        <w:rPr>
          <w:rFonts w:eastAsia="Times New Roman" w:cs="Times New Roman"/>
          <w:kern w:val="3"/>
          <w:szCs w:val="24"/>
        </w:rPr>
        <w:t xml:space="preserve">troduction </w:t>
      </w:r>
    </w:p>
    <w:p w14:paraId="17627CE7" w14:textId="3446AF69" w:rsidR="0067009C" w:rsidRPr="0067009C" w:rsidRDefault="0067009C" w:rsidP="0067009C">
      <w:pPr>
        <w:widowControl w:val="0"/>
        <w:suppressAutoHyphens/>
        <w:overflowPunct w:val="0"/>
        <w:autoSpaceDE w:val="0"/>
        <w:autoSpaceDN w:val="0"/>
        <w:spacing w:line="360" w:lineRule="auto"/>
        <w:ind w:left="360"/>
        <w:textAlignment w:val="baseline"/>
        <w:rPr>
          <w:rFonts w:eastAsiaTheme="minorEastAsia" w:cs="Times New Roman"/>
          <w:kern w:val="3"/>
          <w:szCs w:val="24"/>
        </w:rPr>
      </w:pPr>
      <w:r>
        <w:rPr>
          <w:rFonts w:eastAsiaTheme="minorEastAsia" w:cs="Times New Roman"/>
          <w:kern w:val="3"/>
          <w:szCs w:val="24"/>
        </w:rPr>
        <w:t xml:space="preserve">This chapter provides a background to the study, the statement of the problem, the literature review, the objectives and questions, the hypothesis, the conceptual framework and the methodology of the study. </w:t>
      </w:r>
    </w:p>
    <w:p w14:paraId="6FBCE656" w14:textId="2EDB2075" w:rsidR="0034128A" w:rsidRDefault="0067009C" w:rsidP="006A35E3">
      <w:pPr>
        <w:pStyle w:val="ListParagraph"/>
        <w:widowControl w:val="0"/>
        <w:numPr>
          <w:ilvl w:val="0"/>
          <w:numId w:val="6"/>
        </w:numPr>
        <w:suppressAutoHyphens/>
        <w:overflowPunct w:val="0"/>
        <w:autoSpaceDE w:val="0"/>
        <w:autoSpaceDN w:val="0"/>
        <w:spacing w:line="360" w:lineRule="auto"/>
        <w:textAlignment w:val="baseline"/>
        <w:rPr>
          <w:rFonts w:eastAsia="Times New Roman" w:cs="Times New Roman"/>
          <w:kern w:val="3"/>
          <w:szCs w:val="24"/>
        </w:rPr>
      </w:pPr>
      <w:r>
        <w:rPr>
          <w:rFonts w:eastAsia="Times New Roman" w:cs="Times New Roman"/>
          <w:kern w:val="3"/>
          <w:szCs w:val="24"/>
        </w:rPr>
        <w:t xml:space="preserve">Chapter 2 </w:t>
      </w:r>
      <w:r w:rsidR="00991F3E">
        <w:rPr>
          <w:rFonts w:eastAsia="Times New Roman" w:cs="Times New Roman"/>
          <w:kern w:val="3"/>
          <w:szCs w:val="24"/>
        </w:rPr>
        <w:t>–</w:t>
      </w:r>
      <w:r>
        <w:rPr>
          <w:rFonts w:eastAsia="Times New Roman" w:cs="Times New Roman"/>
          <w:kern w:val="3"/>
          <w:szCs w:val="24"/>
        </w:rPr>
        <w:t xml:space="preserve"> </w:t>
      </w:r>
      <w:r w:rsidR="00991F3E">
        <w:rPr>
          <w:rFonts w:eastAsia="Times New Roman" w:cs="Times New Roman"/>
          <w:kern w:val="3"/>
          <w:szCs w:val="24"/>
        </w:rPr>
        <w:t>Legal Framework governing banks in relation t</w:t>
      </w:r>
      <w:r w:rsidR="001D6B03">
        <w:rPr>
          <w:rFonts w:eastAsia="Times New Roman" w:cs="Times New Roman"/>
          <w:kern w:val="3"/>
          <w:szCs w:val="24"/>
        </w:rPr>
        <w:t>o mergers</w:t>
      </w:r>
    </w:p>
    <w:p w14:paraId="400782EC" w14:textId="5F733D49" w:rsidR="0067009C" w:rsidRPr="0067009C" w:rsidRDefault="0067009C" w:rsidP="0067009C">
      <w:pPr>
        <w:widowControl w:val="0"/>
        <w:suppressAutoHyphens/>
        <w:overflowPunct w:val="0"/>
        <w:autoSpaceDE w:val="0"/>
        <w:autoSpaceDN w:val="0"/>
        <w:spacing w:line="360" w:lineRule="auto"/>
        <w:ind w:left="360"/>
        <w:textAlignment w:val="baseline"/>
        <w:rPr>
          <w:rFonts w:eastAsia="Times New Roman" w:cs="Times New Roman"/>
          <w:kern w:val="3"/>
          <w:szCs w:val="24"/>
        </w:rPr>
      </w:pPr>
      <w:r>
        <w:rPr>
          <w:rFonts w:eastAsia="Times New Roman" w:cs="Times New Roman"/>
          <w:kern w:val="3"/>
          <w:szCs w:val="24"/>
        </w:rPr>
        <w:t>This chapter introduces the regulatory framework governing b</w:t>
      </w:r>
      <w:r w:rsidR="00B466E8">
        <w:rPr>
          <w:rFonts w:eastAsia="Times New Roman" w:cs="Times New Roman"/>
          <w:kern w:val="3"/>
          <w:szCs w:val="24"/>
        </w:rPr>
        <w:t>anks with specific focus on regulation of</w:t>
      </w:r>
      <w:r>
        <w:rPr>
          <w:rFonts w:eastAsia="Times New Roman" w:cs="Times New Roman"/>
          <w:kern w:val="3"/>
          <w:szCs w:val="24"/>
        </w:rPr>
        <w:t xml:space="preserve"> b</w:t>
      </w:r>
      <w:r w:rsidR="00BF0A4A">
        <w:rPr>
          <w:rFonts w:eastAsia="Times New Roman" w:cs="Times New Roman"/>
          <w:kern w:val="3"/>
          <w:szCs w:val="24"/>
        </w:rPr>
        <w:t>ank mergers</w:t>
      </w:r>
      <w:r w:rsidR="00B466E8">
        <w:rPr>
          <w:rFonts w:eastAsia="Times New Roman" w:cs="Times New Roman"/>
          <w:kern w:val="3"/>
          <w:szCs w:val="24"/>
        </w:rPr>
        <w:t>.</w:t>
      </w:r>
    </w:p>
    <w:p w14:paraId="3CDD575F" w14:textId="65B7941E" w:rsidR="005D3A78" w:rsidRDefault="005D3A78" w:rsidP="006A35E3">
      <w:pPr>
        <w:pStyle w:val="ListParagraph"/>
        <w:widowControl w:val="0"/>
        <w:numPr>
          <w:ilvl w:val="0"/>
          <w:numId w:val="6"/>
        </w:numPr>
        <w:suppressAutoHyphens/>
        <w:overflowPunct w:val="0"/>
        <w:autoSpaceDE w:val="0"/>
        <w:autoSpaceDN w:val="0"/>
        <w:spacing w:line="360" w:lineRule="auto"/>
        <w:textAlignment w:val="baseline"/>
        <w:rPr>
          <w:rFonts w:eastAsia="Times New Roman" w:cs="Times New Roman"/>
          <w:kern w:val="3"/>
          <w:szCs w:val="24"/>
        </w:rPr>
      </w:pPr>
      <w:r w:rsidRPr="0067009C">
        <w:rPr>
          <w:rFonts w:eastAsia="Times New Roman" w:cs="Times New Roman"/>
          <w:kern w:val="3"/>
          <w:szCs w:val="24"/>
        </w:rPr>
        <w:t>Chapt</w:t>
      </w:r>
      <w:r w:rsidR="0067009C">
        <w:rPr>
          <w:rFonts w:eastAsia="Times New Roman" w:cs="Times New Roman"/>
          <w:kern w:val="3"/>
          <w:szCs w:val="24"/>
        </w:rPr>
        <w:t xml:space="preserve">er 3 </w:t>
      </w:r>
      <w:r w:rsidR="00EB0067">
        <w:rPr>
          <w:rFonts w:eastAsia="Times New Roman" w:cs="Times New Roman"/>
          <w:kern w:val="3"/>
          <w:szCs w:val="24"/>
        </w:rPr>
        <w:t xml:space="preserve">– </w:t>
      </w:r>
      <w:r w:rsidR="001D6B03">
        <w:rPr>
          <w:rFonts w:eastAsia="Times New Roman" w:cs="Times New Roman"/>
          <w:kern w:val="3"/>
          <w:szCs w:val="24"/>
        </w:rPr>
        <w:t xml:space="preserve">Case </w:t>
      </w:r>
      <w:r w:rsidR="00EB0067">
        <w:rPr>
          <w:rFonts w:eastAsia="Times New Roman" w:cs="Times New Roman"/>
          <w:kern w:val="3"/>
          <w:szCs w:val="24"/>
        </w:rPr>
        <w:t xml:space="preserve">study </w:t>
      </w:r>
      <w:r w:rsidR="001D6B03">
        <w:rPr>
          <w:rFonts w:eastAsia="Times New Roman" w:cs="Times New Roman"/>
          <w:kern w:val="3"/>
          <w:szCs w:val="24"/>
        </w:rPr>
        <w:t>of NCBA</w:t>
      </w:r>
      <w:r w:rsidR="0067009C">
        <w:rPr>
          <w:rFonts w:eastAsia="Times New Roman" w:cs="Times New Roman"/>
          <w:kern w:val="3"/>
          <w:szCs w:val="24"/>
        </w:rPr>
        <w:t xml:space="preserve"> </w:t>
      </w:r>
      <w:r w:rsidR="00EB0067">
        <w:rPr>
          <w:rFonts w:eastAsia="Times New Roman" w:cs="Times New Roman"/>
          <w:kern w:val="3"/>
          <w:szCs w:val="24"/>
        </w:rPr>
        <w:t>Bank Kenya</w:t>
      </w:r>
    </w:p>
    <w:p w14:paraId="0061027A" w14:textId="6B27C7BD" w:rsidR="001D6B03" w:rsidRDefault="00A12758" w:rsidP="00B466E8">
      <w:pPr>
        <w:widowControl w:val="0"/>
        <w:suppressAutoHyphens/>
        <w:overflowPunct w:val="0"/>
        <w:autoSpaceDE w:val="0"/>
        <w:autoSpaceDN w:val="0"/>
        <w:spacing w:line="360" w:lineRule="auto"/>
        <w:ind w:left="360"/>
        <w:textAlignment w:val="baseline"/>
        <w:rPr>
          <w:rFonts w:eastAsia="Times New Roman" w:cs="Times New Roman"/>
          <w:kern w:val="3"/>
          <w:szCs w:val="24"/>
        </w:rPr>
      </w:pPr>
      <w:r>
        <w:rPr>
          <w:rFonts w:eastAsia="Times New Roman" w:cs="Times New Roman"/>
          <w:kern w:val="3"/>
          <w:szCs w:val="24"/>
        </w:rPr>
        <w:lastRenderedPageBreak/>
        <w:t>Chapter 3</w:t>
      </w:r>
      <w:r w:rsidR="00351D3A">
        <w:rPr>
          <w:rFonts w:eastAsia="Times New Roman" w:cs="Times New Roman"/>
          <w:kern w:val="3"/>
          <w:szCs w:val="24"/>
        </w:rPr>
        <w:t xml:space="preserve"> </w:t>
      </w:r>
      <w:r w:rsidR="001D6B03">
        <w:rPr>
          <w:rFonts w:eastAsia="Times New Roman" w:cs="Times New Roman"/>
          <w:kern w:val="3"/>
          <w:szCs w:val="24"/>
        </w:rPr>
        <w:t>will briefly analyze the case of the NCBA bank with the aim of demonstrating how bank mergers result in the growth of TBTF institutions.</w:t>
      </w:r>
      <w:r w:rsidR="00BF0A4A">
        <w:rPr>
          <w:rFonts w:eastAsia="Times New Roman" w:cs="Times New Roman"/>
          <w:kern w:val="3"/>
          <w:szCs w:val="24"/>
        </w:rPr>
        <w:t xml:space="preserve"> The aim of the chapter is to expound the problem as introduced in chapter one by drawing a link between bank mergers and the growth of TBFT banking institutions.</w:t>
      </w:r>
    </w:p>
    <w:p w14:paraId="78F6D1E6" w14:textId="77777777" w:rsidR="001D6B03" w:rsidRDefault="001D6B03" w:rsidP="001D6B03">
      <w:pPr>
        <w:widowControl w:val="0"/>
        <w:suppressAutoHyphens/>
        <w:overflowPunct w:val="0"/>
        <w:autoSpaceDE w:val="0"/>
        <w:autoSpaceDN w:val="0"/>
        <w:spacing w:line="360" w:lineRule="auto"/>
        <w:textAlignment w:val="baseline"/>
        <w:rPr>
          <w:rFonts w:eastAsia="Times New Roman" w:cs="Times New Roman"/>
          <w:kern w:val="3"/>
          <w:szCs w:val="24"/>
        </w:rPr>
      </w:pPr>
    </w:p>
    <w:p w14:paraId="00B9C740" w14:textId="244AC9F2" w:rsidR="001D6B03" w:rsidRPr="001D6B03" w:rsidRDefault="005D3A78" w:rsidP="001D6B03">
      <w:pPr>
        <w:pStyle w:val="ListParagraph"/>
        <w:widowControl w:val="0"/>
        <w:numPr>
          <w:ilvl w:val="0"/>
          <w:numId w:val="6"/>
        </w:numPr>
        <w:suppressAutoHyphens/>
        <w:overflowPunct w:val="0"/>
        <w:autoSpaceDE w:val="0"/>
        <w:autoSpaceDN w:val="0"/>
        <w:spacing w:line="360" w:lineRule="auto"/>
        <w:textAlignment w:val="baseline"/>
        <w:rPr>
          <w:rFonts w:eastAsia="Times New Roman" w:cs="Times New Roman"/>
          <w:kern w:val="3"/>
          <w:szCs w:val="24"/>
        </w:rPr>
      </w:pPr>
      <w:r w:rsidRPr="001D6B03">
        <w:rPr>
          <w:rFonts w:eastAsia="Times New Roman" w:cs="Times New Roman"/>
          <w:kern w:val="3"/>
          <w:szCs w:val="24"/>
        </w:rPr>
        <w:t>Chapter 4</w:t>
      </w:r>
      <w:r w:rsidR="0067009C" w:rsidRPr="001D6B03">
        <w:rPr>
          <w:rFonts w:eastAsia="Times New Roman" w:cs="Times New Roman"/>
          <w:kern w:val="3"/>
          <w:szCs w:val="24"/>
        </w:rPr>
        <w:t xml:space="preserve"> </w:t>
      </w:r>
      <w:r w:rsidR="00031B4B" w:rsidRPr="001D6B03">
        <w:rPr>
          <w:rFonts w:eastAsia="Times New Roman" w:cs="Times New Roman"/>
          <w:kern w:val="3"/>
          <w:szCs w:val="24"/>
        </w:rPr>
        <w:t xml:space="preserve">– </w:t>
      </w:r>
      <w:r w:rsidR="00BF0A4A">
        <w:rPr>
          <w:rFonts w:eastAsia="Times New Roman" w:cs="Times New Roman"/>
          <w:kern w:val="3"/>
          <w:szCs w:val="24"/>
        </w:rPr>
        <w:t>Effect and impact of TBTF banks</w:t>
      </w:r>
    </w:p>
    <w:p w14:paraId="7A795CDA" w14:textId="3C8EFAA9" w:rsidR="00031B4B" w:rsidRDefault="001D6B03" w:rsidP="001D6B03">
      <w:pPr>
        <w:widowControl w:val="0"/>
        <w:suppressAutoHyphens/>
        <w:overflowPunct w:val="0"/>
        <w:autoSpaceDE w:val="0"/>
        <w:autoSpaceDN w:val="0"/>
        <w:spacing w:line="360" w:lineRule="auto"/>
        <w:ind w:left="360"/>
        <w:textAlignment w:val="baseline"/>
        <w:rPr>
          <w:rFonts w:eastAsia="Times New Roman" w:cs="Times New Roman"/>
          <w:kern w:val="3"/>
          <w:szCs w:val="24"/>
          <w:highlight w:val="yellow"/>
        </w:rPr>
      </w:pPr>
      <w:r>
        <w:rPr>
          <w:rFonts w:eastAsia="Times New Roman" w:cs="Times New Roman"/>
          <w:kern w:val="3"/>
          <w:szCs w:val="24"/>
        </w:rPr>
        <w:t xml:space="preserve">This chapter will delve into a </w:t>
      </w:r>
      <w:r w:rsidRPr="001D6B03">
        <w:rPr>
          <w:rFonts w:eastAsia="Times New Roman" w:cs="Times New Roman"/>
          <w:kern w:val="3"/>
          <w:szCs w:val="24"/>
        </w:rPr>
        <w:t>discussion on the impact of TBTF banking institutions based on Kenya’s</w:t>
      </w:r>
      <w:r>
        <w:rPr>
          <w:rFonts w:eastAsia="Times New Roman" w:cs="Times New Roman"/>
          <w:kern w:val="3"/>
          <w:szCs w:val="24"/>
        </w:rPr>
        <w:t xml:space="preserve"> and other jurisdiction’s experience</w:t>
      </w:r>
      <w:r w:rsidRPr="001D6B03">
        <w:rPr>
          <w:rFonts w:eastAsia="Times New Roman" w:cs="Times New Roman"/>
          <w:kern w:val="3"/>
          <w:szCs w:val="24"/>
        </w:rPr>
        <w:t xml:space="preserve">. </w:t>
      </w:r>
    </w:p>
    <w:p w14:paraId="5432F8F0" w14:textId="77777777" w:rsidR="001D6B03" w:rsidRPr="001D6B03" w:rsidRDefault="001D6B03" w:rsidP="001D6B03">
      <w:pPr>
        <w:widowControl w:val="0"/>
        <w:suppressAutoHyphens/>
        <w:overflowPunct w:val="0"/>
        <w:autoSpaceDE w:val="0"/>
        <w:autoSpaceDN w:val="0"/>
        <w:spacing w:line="360" w:lineRule="auto"/>
        <w:ind w:left="360"/>
        <w:textAlignment w:val="baseline"/>
        <w:rPr>
          <w:rFonts w:eastAsia="Times New Roman" w:cs="Times New Roman"/>
          <w:kern w:val="3"/>
          <w:szCs w:val="24"/>
          <w:highlight w:val="yellow"/>
        </w:rPr>
      </w:pPr>
    </w:p>
    <w:p w14:paraId="12CCB74E" w14:textId="095D6BB5" w:rsidR="00680208" w:rsidRDefault="005D3A78" w:rsidP="006A35E3">
      <w:pPr>
        <w:pStyle w:val="ListParagraph"/>
        <w:widowControl w:val="0"/>
        <w:numPr>
          <w:ilvl w:val="0"/>
          <w:numId w:val="6"/>
        </w:numPr>
        <w:suppressAutoHyphens/>
        <w:overflowPunct w:val="0"/>
        <w:autoSpaceDE w:val="0"/>
        <w:autoSpaceDN w:val="0"/>
        <w:spacing w:after="200" w:line="360" w:lineRule="auto"/>
        <w:textAlignment w:val="baseline"/>
        <w:rPr>
          <w:rFonts w:eastAsia="Times New Roman" w:cs="Times New Roman"/>
          <w:kern w:val="3"/>
          <w:szCs w:val="24"/>
        </w:rPr>
      </w:pPr>
      <w:r w:rsidRPr="0067009C">
        <w:rPr>
          <w:rFonts w:eastAsia="Times New Roman" w:cs="Times New Roman"/>
          <w:kern w:val="3"/>
          <w:szCs w:val="24"/>
        </w:rPr>
        <w:t>Chapter 5</w:t>
      </w:r>
      <w:r w:rsidR="0067009C">
        <w:rPr>
          <w:rFonts w:eastAsia="Times New Roman" w:cs="Times New Roman"/>
          <w:kern w:val="3"/>
          <w:szCs w:val="24"/>
        </w:rPr>
        <w:t xml:space="preserve">- </w:t>
      </w:r>
      <w:r w:rsidR="00B466E8">
        <w:rPr>
          <w:rFonts w:eastAsia="Times New Roman" w:cs="Times New Roman"/>
          <w:kern w:val="3"/>
          <w:szCs w:val="24"/>
        </w:rPr>
        <w:t>Recommendations and c</w:t>
      </w:r>
      <w:r w:rsidR="00031B4B">
        <w:rPr>
          <w:rFonts w:eastAsia="Times New Roman" w:cs="Times New Roman"/>
          <w:kern w:val="3"/>
          <w:szCs w:val="24"/>
        </w:rPr>
        <w:t>onclusion</w:t>
      </w:r>
    </w:p>
    <w:p w14:paraId="11DDE9C2" w14:textId="5B6127B0" w:rsidR="00031B4B" w:rsidRPr="00031B4B" w:rsidRDefault="00031B4B" w:rsidP="00031B4B">
      <w:pPr>
        <w:widowControl w:val="0"/>
        <w:suppressAutoHyphens/>
        <w:overflowPunct w:val="0"/>
        <w:autoSpaceDE w:val="0"/>
        <w:autoSpaceDN w:val="0"/>
        <w:spacing w:after="200" w:line="360" w:lineRule="auto"/>
        <w:ind w:left="360"/>
        <w:textAlignment w:val="baseline"/>
        <w:rPr>
          <w:rFonts w:eastAsia="Times New Roman" w:cs="Times New Roman"/>
          <w:kern w:val="3"/>
          <w:szCs w:val="24"/>
        </w:rPr>
      </w:pPr>
      <w:r>
        <w:rPr>
          <w:rFonts w:eastAsia="Times New Roman" w:cs="Times New Roman"/>
          <w:kern w:val="3"/>
          <w:szCs w:val="24"/>
        </w:rPr>
        <w:t xml:space="preserve">This final chapter will conclude the arguments in this research and </w:t>
      </w:r>
      <w:r w:rsidR="001D6B03">
        <w:rPr>
          <w:rFonts w:eastAsia="Times New Roman" w:cs="Times New Roman"/>
          <w:kern w:val="3"/>
          <w:szCs w:val="24"/>
        </w:rPr>
        <w:t>provide recommendations for better management of growth of banks and TBTF banks.</w:t>
      </w:r>
    </w:p>
    <w:p w14:paraId="52A0E627" w14:textId="77777777" w:rsidR="00591F4E" w:rsidRPr="005B66DE" w:rsidRDefault="00591F4E" w:rsidP="00680208">
      <w:pPr>
        <w:widowControl w:val="0"/>
        <w:suppressAutoHyphens/>
        <w:overflowPunct w:val="0"/>
        <w:autoSpaceDE w:val="0"/>
        <w:autoSpaceDN w:val="0"/>
        <w:spacing w:after="200" w:line="360" w:lineRule="auto"/>
        <w:textAlignment w:val="baseline"/>
        <w:rPr>
          <w:rFonts w:eastAsia="Times New Roman" w:cs="Times New Roman"/>
          <w:kern w:val="3"/>
          <w:szCs w:val="24"/>
        </w:rPr>
      </w:pPr>
    </w:p>
    <w:p w14:paraId="01AA5691" w14:textId="77777777" w:rsidR="00591F4E" w:rsidRPr="005B66DE" w:rsidRDefault="00591F4E" w:rsidP="00680208">
      <w:pPr>
        <w:widowControl w:val="0"/>
        <w:suppressAutoHyphens/>
        <w:overflowPunct w:val="0"/>
        <w:autoSpaceDE w:val="0"/>
        <w:autoSpaceDN w:val="0"/>
        <w:spacing w:after="200" w:line="360" w:lineRule="auto"/>
        <w:textAlignment w:val="baseline"/>
        <w:rPr>
          <w:rFonts w:eastAsia="Times New Roman" w:cs="Times New Roman"/>
          <w:kern w:val="3"/>
          <w:szCs w:val="24"/>
        </w:rPr>
      </w:pPr>
    </w:p>
    <w:p w14:paraId="7EC79778" w14:textId="77777777" w:rsidR="00161E5F" w:rsidRDefault="00161E5F">
      <w:pPr>
        <w:spacing w:after="160"/>
        <w:jc w:val="left"/>
        <w:rPr>
          <w:rFonts w:cs="Times New Roman"/>
          <w:color w:val="1F3864" w:themeColor="accent5" w:themeShade="80"/>
          <w:sz w:val="28"/>
          <w:szCs w:val="28"/>
        </w:rPr>
      </w:pPr>
      <w:r>
        <w:rPr>
          <w:rFonts w:cs="Times New Roman"/>
          <w:color w:val="1F3864" w:themeColor="accent5" w:themeShade="80"/>
          <w:sz w:val="28"/>
          <w:szCs w:val="28"/>
        </w:rPr>
        <w:br w:type="page"/>
      </w:r>
    </w:p>
    <w:p w14:paraId="4FE49994" w14:textId="370C5750" w:rsidR="004B36B4" w:rsidRPr="004C62EF" w:rsidRDefault="00251BC5" w:rsidP="00161E5F">
      <w:pPr>
        <w:pStyle w:val="Heading1"/>
        <w:rPr>
          <w:color w:val="0070C0"/>
        </w:rPr>
      </w:pPr>
      <w:bookmarkStart w:id="27" w:name="_Toc62552880"/>
      <w:r w:rsidRPr="004C62EF">
        <w:rPr>
          <w:color w:val="0070C0"/>
        </w:rPr>
        <w:lastRenderedPageBreak/>
        <w:t>CHAPTER 2</w:t>
      </w:r>
      <w:r w:rsidR="00161E5F" w:rsidRPr="004C62EF">
        <w:rPr>
          <w:color w:val="0070C0"/>
        </w:rPr>
        <w:t xml:space="preserve">: </w:t>
      </w:r>
      <w:r w:rsidR="003E733D" w:rsidRPr="004C62EF">
        <w:rPr>
          <w:color w:val="0070C0"/>
        </w:rPr>
        <w:t>LEGAL FRAMEWORK GOVERNING BANKS IN RELATION TO BANK MERGERS</w:t>
      </w:r>
      <w:bookmarkEnd w:id="27"/>
    </w:p>
    <w:p w14:paraId="062738D3" w14:textId="77777777" w:rsidR="003E733D" w:rsidRDefault="003E733D" w:rsidP="003E733D"/>
    <w:p w14:paraId="21C34B87" w14:textId="16E32BD2" w:rsidR="003E733D" w:rsidRDefault="003E733D" w:rsidP="006A35E3">
      <w:pPr>
        <w:pStyle w:val="Heading2"/>
        <w:numPr>
          <w:ilvl w:val="1"/>
          <w:numId w:val="2"/>
        </w:numPr>
      </w:pPr>
      <w:r>
        <w:t xml:space="preserve">       </w:t>
      </w:r>
      <w:bookmarkStart w:id="28" w:name="_Toc62552881"/>
      <w:r w:rsidR="00C7087B" w:rsidRPr="00C7087B">
        <w:t>HISTORY OF REGULATION OF BANKS IN KENYA</w:t>
      </w:r>
      <w:bookmarkEnd w:id="28"/>
      <w:r w:rsidR="00C7087B" w:rsidRPr="00C7087B">
        <w:t xml:space="preserve"> </w:t>
      </w:r>
    </w:p>
    <w:p w14:paraId="0973645A" w14:textId="1B7E36E1" w:rsidR="00A664BE" w:rsidRDefault="008460CC" w:rsidP="008460CC">
      <w:pPr>
        <w:spacing w:line="360" w:lineRule="auto"/>
        <w:rPr>
          <w:rFonts w:cs="Times New Roman"/>
          <w:szCs w:val="24"/>
        </w:rPr>
      </w:pPr>
      <w:r w:rsidRPr="005B66DE">
        <w:rPr>
          <w:rFonts w:cs="Times New Roman"/>
          <w:szCs w:val="24"/>
        </w:rPr>
        <w:t xml:space="preserve">The financial journey dates back to pre-colonial </w:t>
      </w:r>
      <w:r w:rsidR="00E612E7">
        <w:rPr>
          <w:rFonts w:cs="Times New Roman"/>
          <w:szCs w:val="24"/>
        </w:rPr>
        <w:t>Kenya when Indian money len</w:t>
      </w:r>
      <w:r w:rsidR="008C18E4">
        <w:rPr>
          <w:rFonts w:cs="Times New Roman"/>
          <w:szCs w:val="24"/>
        </w:rPr>
        <w:t>ders provided</w:t>
      </w:r>
      <w:r w:rsidR="00E612E7">
        <w:rPr>
          <w:rFonts w:cs="Times New Roman"/>
          <w:szCs w:val="24"/>
        </w:rPr>
        <w:t xml:space="preserve"> </w:t>
      </w:r>
      <w:r w:rsidRPr="005B66DE">
        <w:rPr>
          <w:rFonts w:cs="Times New Roman"/>
          <w:szCs w:val="24"/>
        </w:rPr>
        <w:t>quasi bank services.</w:t>
      </w:r>
      <w:r w:rsidR="00E612E7">
        <w:rPr>
          <w:rStyle w:val="FootnoteReference"/>
          <w:rFonts w:cs="Times New Roman"/>
          <w:szCs w:val="24"/>
        </w:rPr>
        <w:footnoteReference w:id="48"/>
      </w:r>
      <w:r w:rsidRPr="005B66DE">
        <w:rPr>
          <w:rFonts w:cs="Times New Roman"/>
          <w:szCs w:val="24"/>
        </w:rPr>
        <w:t xml:space="preserve"> </w:t>
      </w:r>
      <w:r>
        <w:rPr>
          <w:rFonts w:cs="Times New Roman"/>
          <w:szCs w:val="24"/>
        </w:rPr>
        <w:t>From colonization to gaining of independence, t</w:t>
      </w:r>
      <w:r w:rsidR="00E612E7">
        <w:rPr>
          <w:rFonts w:cs="Times New Roman"/>
          <w:szCs w:val="24"/>
        </w:rPr>
        <w:t>he banking sector</w:t>
      </w:r>
      <w:r w:rsidRPr="005B66DE">
        <w:rPr>
          <w:rFonts w:cs="Times New Roman"/>
          <w:szCs w:val="24"/>
        </w:rPr>
        <w:t xml:space="preserve"> faced </w:t>
      </w:r>
      <w:r>
        <w:rPr>
          <w:rFonts w:cs="Times New Roman"/>
          <w:szCs w:val="24"/>
        </w:rPr>
        <w:t>various changes that mirror</w:t>
      </w:r>
      <w:r w:rsidR="00E612E7">
        <w:rPr>
          <w:rFonts w:cs="Times New Roman"/>
          <w:szCs w:val="24"/>
        </w:rPr>
        <w:t>ed</w:t>
      </w:r>
      <w:r>
        <w:rPr>
          <w:rFonts w:cs="Times New Roman"/>
          <w:szCs w:val="24"/>
        </w:rPr>
        <w:t xml:space="preserve"> Kenya’s </w:t>
      </w:r>
      <w:r w:rsidRPr="005B66DE">
        <w:rPr>
          <w:rFonts w:cs="Times New Roman"/>
          <w:szCs w:val="24"/>
        </w:rPr>
        <w:t>political and economic transformation.</w:t>
      </w:r>
      <w:r w:rsidRPr="005B66DE">
        <w:rPr>
          <w:rStyle w:val="FootnoteReference"/>
          <w:rFonts w:cs="Times New Roman"/>
          <w:szCs w:val="24"/>
        </w:rPr>
        <w:footnoteReference w:id="49"/>
      </w:r>
      <w:r w:rsidRPr="005B66DE">
        <w:rPr>
          <w:rFonts w:cs="Times New Roman"/>
          <w:szCs w:val="24"/>
        </w:rPr>
        <w:t xml:space="preserve"> </w:t>
      </w:r>
      <w:r>
        <w:rPr>
          <w:rFonts w:cs="Times New Roman"/>
          <w:szCs w:val="24"/>
        </w:rPr>
        <w:t xml:space="preserve">Pre-independence, </w:t>
      </w:r>
      <w:r w:rsidRPr="005B66DE">
        <w:rPr>
          <w:rFonts w:cs="Times New Roman"/>
          <w:szCs w:val="24"/>
        </w:rPr>
        <w:t xml:space="preserve">the industry was characterized by </w:t>
      </w:r>
      <w:r>
        <w:rPr>
          <w:rFonts w:cs="Times New Roman"/>
          <w:szCs w:val="24"/>
        </w:rPr>
        <w:t xml:space="preserve">foreign-owned banks whereas post-independence, the industry witnessed growth of </w:t>
      </w:r>
      <w:r w:rsidRPr="005B66DE">
        <w:rPr>
          <w:rFonts w:cs="Times New Roman"/>
          <w:szCs w:val="24"/>
        </w:rPr>
        <w:t xml:space="preserve">state owned banks </w:t>
      </w:r>
      <w:r w:rsidR="00E612E7">
        <w:rPr>
          <w:rFonts w:cs="Times New Roman"/>
          <w:szCs w:val="24"/>
        </w:rPr>
        <w:t xml:space="preserve">and </w:t>
      </w:r>
      <w:r w:rsidRPr="005B66DE">
        <w:rPr>
          <w:rFonts w:cs="Times New Roman"/>
          <w:szCs w:val="24"/>
        </w:rPr>
        <w:t>an increase in banks and other non-bank financial institutions</w:t>
      </w:r>
      <w:r w:rsidR="00E612E7">
        <w:rPr>
          <w:rFonts w:cs="Times New Roman"/>
          <w:szCs w:val="24"/>
        </w:rPr>
        <w:t xml:space="preserve"> </w:t>
      </w:r>
      <w:r w:rsidR="00E612E7" w:rsidRPr="005B66DE">
        <w:rPr>
          <w:rFonts w:cs="Times New Roman"/>
          <w:szCs w:val="24"/>
        </w:rPr>
        <w:t xml:space="preserve">during the first </w:t>
      </w:r>
      <w:r w:rsidR="00E612E7">
        <w:rPr>
          <w:rFonts w:cs="Times New Roman"/>
          <w:szCs w:val="24"/>
        </w:rPr>
        <w:t xml:space="preserve">and second </w:t>
      </w:r>
      <w:r w:rsidR="00E612E7" w:rsidRPr="005B66DE">
        <w:rPr>
          <w:rFonts w:cs="Times New Roman"/>
          <w:szCs w:val="24"/>
        </w:rPr>
        <w:t xml:space="preserve">president’s </w:t>
      </w:r>
      <w:r w:rsidR="00E612E7">
        <w:rPr>
          <w:rFonts w:cs="Times New Roman"/>
          <w:szCs w:val="24"/>
        </w:rPr>
        <w:t>terms respectively</w:t>
      </w:r>
      <w:r w:rsidRPr="005B66DE">
        <w:rPr>
          <w:rFonts w:cs="Times New Roman"/>
          <w:szCs w:val="24"/>
        </w:rPr>
        <w:t>.</w:t>
      </w:r>
      <w:r w:rsidR="00C26D18">
        <w:rPr>
          <w:rStyle w:val="FootnoteReference"/>
          <w:rFonts w:cs="Times New Roman"/>
          <w:szCs w:val="24"/>
        </w:rPr>
        <w:footnoteReference w:id="50"/>
      </w:r>
      <w:r w:rsidRPr="005B66DE">
        <w:rPr>
          <w:rFonts w:cs="Times New Roman"/>
          <w:szCs w:val="24"/>
        </w:rPr>
        <w:t xml:space="preserve"> </w:t>
      </w:r>
    </w:p>
    <w:p w14:paraId="19D2CA88" w14:textId="41676128" w:rsidR="00931963" w:rsidRDefault="007B2397" w:rsidP="00AA703B">
      <w:pPr>
        <w:spacing w:line="360" w:lineRule="auto"/>
        <w:rPr>
          <w:rFonts w:cs="Times New Roman"/>
          <w:szCs w:val="24"/>
        </w:rPr>
      </w:pPr>
      <w:r>
        <w:rPr>
          <w:rFonts w:cs="Times New Roman"/>
          <w:szCs w:val="24"/>
        </w:rPr>
        <w:t xml:space="preserve">The post-independence government prioritized establishment of </w:t>
      </w:r>
      <w:r w:rsidRPr="005B66DE">
        <w:rPr>
          <w:rFonts w:cs="Times New Roman"/>
          <w:szCs w:val="24"/>
        </w:rPr>
        <w:t>the Cent</w:t>
      </w:r>
      <w:r>
        <w:rPr>
          <w:rFonts w:cs="Times New Roman"/>
          <w:szCs w:val="24"/>
        </w:rPr>
        <w:t>ral Bank of Kenya (CBK) in 1966 and in the same year introduced Kenya’s</w:t>
      </w:r>
      <w:r w:rsidRPr="005B66DE">
        <w:rPr>
          <w:rFonts w:cs="Times New Roman"/>
          <w:szCs w:val="24"/>
        </w:rPr>
        <w:t xml:space="preserve"> </w:t>
      </w:r>
      <w:r>
        <w:rPr>
          <w:rFonts w:cs="Times New Roman"/>
          <w:szCs w:val="24"/>
        </w:rPr>
        <w:t xml:space="preserve">first </w:t>
      </w:r>
      <w:r w:rsidRPr="005B66DE">
        <w:rPr>
          <w:rFonts w:cs="Times New Roman"/>
          <w:szCs w:val="24"/>
        </w:rPr>
        <w:t>currency</w:t>
      </w:r>
      <w:r>
        <w:rPr>
          <w:rFonts w:cs="Times New Roman"/>
          <w:szCs w:val="24"/>
        </w:rPr>
        <w:t>.</w:t>
      </w:r>
      <w:r>
        <w:rPr>
          <w:rStyle w:val="FootnoteReference"/>
          <w:rFonts w:cs="Times New Roman"/>
          <w:szCs w:val="24"/>
        </w:rPr>
        <w:footnoteReference w:id="51"/>
      </w:r>
      <w:r>
        <w:rPr>
          <w:rFonts w:cs="Times New Roman"/>
          <w:szCs w:val="24"/>
        </w:rPr>
        <w:t xml:space="preserve"> </w:t>
      </w:r>
      <w:r w:rsidR="00931963">
        <w:rPr>
          <w:rFonts w:cs="Times New Roman"/>
          <w:szCs w:val="24"/>
        </w:rPr>
        <w:t>Additionally it aimed to;</w:t>
      </w:r>
      <w:r w:rsidR="00931963">
        <w:rPr>
          <w:rStyle w:val="FootnoteReference"/>
          <w:rFonts w:cs="Times New Roman"/>
          <w:szCs w:val="24"/>
        </w:rPr>
        <w:footnoteReference w:id="52"/>
      </w:r>
    </w:p>
    <w:p w14:paraId="3191D3A8" w14:textId="0668B769" w:rsidR="00931963" w:rsidRPr="005B66DE" w:rsidRDefault="00931963" w:rsidP="006A35E3">
      <w:pPr>
        <w:pStyle w:val="ListParagraph"/>
        <w:numPr>
          <w:ilvl w:val="0"/>
          <w:numId w:val="1"/>
        </w:numPr>
        <w:spacing w:line="360" w:lineRule="auto"/>
        <w:rPr>
          <w:rFonts w:cs="Times New Roman"/>
          <w:szCs w:val="24"/>
        </w:rPr>
      </w:pPr>
      <w:r>
        <w:rPr>
          <w:rFonts w:cs="Times New Roman"/>
          <w:szCs w:val="24"/>
        </w:rPr>
        <w:t xml:space="preserve">Create </w:t>
      </w:r>
      <w:r w:rsidR="008C18E4">
        <w:rPr>
          <w:rFonts w:cs="Times New Roman"/>
          <w:szCs w:val="24"/>
        </w:rPr>
        <w:t xml:space="preserve">the local </w:t>
      </w:r>
      <w:r w:rsidRPr="005B66DE">
        <w:rPr>
          <w:rFonts w:cs="Times New Roman"/>
          <w:szCs w:val="24"/>
        </w:rPr>
        <w:t xml:space="preserve">banking sector by establishing state owned community banks </w:t>
      </w:r>
      <w:r>
        <w:rPr>
          <w:rFonts w:cs="Times New Roman"/>
          <w:szCs w:val="24"/>
        </w:rPr>
        <w:t xml:space="preserve">and </w:t>
      </w:r>
      <w:r w:rsidRPr="005B66DE">
        <w:rPr>
          <w:rFonts w:cs="Times New Roman"/>
          <w:szCs w:val="24"/>
        </w:rPr>
        <w:t>buying shares in existing banks</w:t>
      </w:r>
      <w:r>
        <w:rPr>
          <w:rFonts w:cs="Times New Roman"/>
          <w:szCs w:val="24"/>
        </w:rPr>
        <w:t xml:space="preserve">; and </w:t>
      </w:r>
    </w:p>
    <w:p w14:paraId="50AFF5BE" w14:textId="35BDE4A8" w:rsidR="00A664BE" w:rsidRPr="006A35E3" w:rsidRDefault="00931963" w:rsidP="006A35E3">
      <w:pPr>
        <w:pStyle w:val="ListParagraph"/>
        <w:numPr>
          <w:ilvl w:val="0"/>
          <w:numId w:val="1"/>
        </w:numPr>
        <w:spacing w:line="360" w:lineRule="auto"/>
        <w:rPr>
          <w:rFonts w:cs="Times New Roman"/>
          <w:szCs w:val="24"/>
        </w:rPr>
      </w:pPr>
      <w:r>
        <w:rPr>
          <w:rFonts w:cs="Times New Roman"/>
          <w:szCs w:val="24"/>
        </w:rPr>
        <w:t>Establish s</w:t>
      </w:r>
      <w:r w:rsidRPr="005B66DE">
        <w:rPr>
          <w:rFonts w:cs="Times New Roman"/>
          <w:szCs w:val="24"/>
        </w:rPr>
        <w:t>pecialized credit institutions or development finance institutions.</w:t>
      </w:r>
    </w:p>
    <w:p w14:paraId="7E3A97B5" w14:textId="2A67F6B9" w:rsidR="007B2397" w:rsidRDefault="00C11D9A" w:rsidP="008460CC">
      <w:pPr>
        <w:spacing w:line="360" w:lineRule="auto"/>
        <w:rPr>
          <w:rFonts w:cs="Times New Roman"/>
          <w:szCs w:val="24"/>
        </w:rPr>
      </w:pPr>
      <w:r>
        <w:rPr>
          <w:rFonts w:cs="Times New Roman"/>
          <w:szCs w:val="24"/>
        </w:rPr>
        <w:t xml:space="preserve">The government </w:t>
      </w:r>
      <w:r w:rsidR="00817E83">
        <w:rPr>
          <w:rFonts w:cs="Times New Roman"/>
          <w:szCs w:val="24"/>
        </w:rPr>
        <w:t xml:space="preserve">then </w:t>
      </w:r>
      <w:r>
        <w:rPr>
          <w:rFonts w:cs="Times New Roman"/>
          <w:szCs w:val="24"/>
        </w:rPr>
        <w:t>embarked on establishing local owned banks without nationalization of the financial sector which promoted foreign investment.</w:t>
      </w:r>
      <w:r w:rsidR="00817E83">
        <w:rPr>
          <w:rStyle w:val="FootnoteReference"/>
          <w:rFonts w:cs="Times New Roman"/>
          <w:szCs w:val="24"/>
        </w:rPr>
        <w:footnoteReference w:id="53"/>
      </w:r>
      <w:r>
        <w:rPr>
          <w:rFonts w:cs="Times New Roman"/>
          <w:szCs w:val="24"/>
        </w:rPr>
        <w:t xml:space="preserve"> However, the growth of the banking industry was characterized by ill factors such as </w:t>
      </w:r>
      <w:r w:rsidRPr="005B66DE">
        <w:rPr>
          <w:rFonts w:cs="Times New Roman"/>
          <w:szCs w:val="24"/>
        </w:rPr>
        <w:t>low</w:t>
      </w:r>
      <w:r>
        <w:rPr>
          <w:rFonts w:cs="Times New Roman"/>
          <w:szCs w:val="24"/>
        </w:rPr>
        <w:t xml:space="preserve"> regulatory barriers, </w:t>
      </w:r>
      <w:r w:rsidRPr="005B66DE">
        <w:rPr>
          <w:rFonts w:cs="Times New Roman"/>
          <w:szCs w:val="24"/>
        </w:rPr>
        <w:t>political interference</w:t>
      </w:r>
      <w:r>
        <w:rPr>
          <w:rFonts w:cs="Times New Roman"/>
          <w:szCs w:val="24"/>
        </w:rPr>
        <w:t xml:space="preserve"> which</w:t>
      </w:r>
      <w:r w:rsidRPr="005B66DE">
        <w:rPr>
          <w:rFonts w:cs="Times New Roman"/>
          <w:szCs w:val="24"/>
        </w:rPr>
        <w:t xml:space="preserve"> subverted prudential criter</w:t>
      </w:r>
      <w:r>
        <w:rPr>
          <w:rFonts w:cs="Times New Roman"/>
          <w:szCs w:val="24"/>
        </w:rPr>
        <w:t xml:space="preserve">ia in the awarding of licenses as </w:t>
      </w:r>
      <w:r w:rsidRPr="005B66DE">
        <w:rPr>
          <w:rFonts w:cs="Times New Roman"/>
          <w:szCs w:val="24"/>
        </w:rPr>
        <w:t xml:space="preserve">many banks had prominent politicians on their boards </w:t>
      </w:r>
      <w:r w:rsidR="00817E83">
        <w:rPr>
          <w:rFonts w:cs="Times New Roman"/>
          <w:szCs w:val="24"/>
        </w:rPr>
        <w:t xml:space="preserve">thus using their network </w:t>
      </w:r>
      <w:r w:rsidRPr="005B66DE">
        <w:rPr>
          <w:rFonts w:cs="Times New Roman"/>
          <w:szCs w:val="24"/>
        </w:rPr>
        <w:t>to obtain publi</w:t>
      </w:r>
      <w:r>
        <w:rPr>
          <w:rFonts w:cs="Times New Roman"/>
          <w:szCs w:val="24"/>
        </w:rPr>
        <w:t xml:space="preserve">c sector deposits cheaply, </w:t>
      </w:r>
      <w:r w:rsidR="00817E83">
        <w:rPr>
          <w:rFonts w:cs="Times New Roman"/>
          <w:szCs w:val="24"/>
        </w:rPr>
        <w:t xml:space="preserve">and </w:t>
      </w:r>
      <w:r w:rsidRPr="005B66DE">
        <w:rPr>
          <w:rFonts w:cs="Times New Roman"/>
          <w:szCs w:val="24"/>
        </w:rPr>
        <w:t xml:space="preserve">the Central Bank of Kenya had very little capacity to supervise the growth of non-bank financial institutions. </w:t>
      </w:r>
      <w:r w:rsidR="00817E83">
        <w:rPr>
          <w:rFonts w:cs="Times New Roman"/>
          <w:szCs w:val="24"/>
        </w:rPr>
        <w:t>Consequently, about</w:t>
      </w:r>
      <w:r>
        <w:rPr>
          <w:rFonts w:cs="Times New Roman"/>
          <w:szCs w:val="24"/>
        </w:rPr>
        <w:t xml:space="preserve"> 12 banks during the 1980’s failed</w:t>
      </w:r>
      <w:r w:rsidR="008460CC" w:rsidRPr="005B66DE">
        <w:rPr>
          <w:rFonts w:cs="Times New Roman"/>
          <w:szCs w:val="24"/>
        </w:rPr>
        <w:t>.</w:t>
      </w:r>
      <w:r w:rsidR="007B2397">
        <w:rPr>
          <w:rStyle w:val="FootnoteReference"/>
          <w:rFonts w:cs="Times New Roman"/>
          <w:szCs w:val="24"/>
        </w:rPr>
        <w:footnoteReference w:id="54"/>
      </w:r>
      <w:r w:rsidR="007B2397">
        <w:rPr>
          <w:rFonts w:cs="Times New Roman"/>
          <w:szCs w:val="24"/>
        </w:rPr>
        <w:t xml:space="preserve"> </w:t>
      </w:r>
    </w:p>
    <w:p w14:paraId="2A0B0CA7" w14:textId="77777777" w:rsidR="00D559C7" w:rsidRDefault="00D559C7" w:rsidP="008460CC">
      <w:pPr>
        <w:spacing w:line="360" w:lineRule="auto"/>
        <w:rPr>
          <w:rFonts w:cs="Times New Roman"/>
          <w:szCs w:val="24"/>
        </w:rPr>
      </w:pPr>
    </w:p>
    <w:p w14:paraId="5A1104E3" w14:textId="7E1408A4" w:rsidR="00817E83" w:rsidRDefault="00817E83" w:rsidP="008460CC">
      <w:pPr>
        <w:spacing w:line="360" w:lineRule="auto"/>
        <w:rPr>
          <w:rFonts w:cs="Times New Roman"/>
          <w:szCs w:val="24"/>
        </w:rPr>
      </w:pPr>
      <w:r>
        <w:rPr>
          <w:rFonts w:cs="Times New Roman"/>
          <w:szCs w:val="24"/>
        </w:rPr>
        <w:lastRenderedPageBreak/>
        <w:t xml:space="preserve">In 1985, the </w:t>
      </w:r>
      <w:r w:rsidR="008460CC" w:rsidRPr="005B66DE">
        <w:rPr>
          <w:rFonts w:cs="Times New Roman"/>
          <w:szCs w:val="24"/>
        </w:rPr>
        <w:t xml:space="preserve">Banking (Amendment) Act </w:t>
      </w:r>
      <w:r>
        <w:rPr>
          <w:rFonts w:cs="Times New Roman"/>
          <w:szCs w:val="24"/>
        </w:rPr>
        <w:t>was enacted in an attempt</w:t>
      </w:r>
      <w:r w:rsidR="008460CC" w:rsidRPr="005B66DE">
        <w:rPr>
          <w:rFonts w:cs="Times New Roman"/>
          <w:szCs w:val="24"/>
        </w:rPr>
        <w:t xml:space="preserve"> to rectify the de</w:t>
      </w:r>
      <w:r>
        <w:rPr>
          <w:rFonts w:cs="Times New Roman"/>
          <w:szCs w:val="24"/>
        </w:rPr>
        <w:t>ficiencies suffered during this period by the financial sector.</w:t>
      </w:r>
      <w:r>
        <w:rPr>
          <w:rStyle w:val="FootnoteReference"/>
          <w:rFonts w:cs="Times New Roman"/>
          <w:szCs w:val="24"/>
        </w:rPr>
        <w:footnoteReference w:id="55"/>
      </w:r>
      <w:r>
        <w:rPr>
          <w:rFonts w:cs="Times New Roman"/>
          <w:szCs w:val="24"/>
        </w:rPr>
        <w:t xml:space="preserve"> The aforesaid Act gave more </w:t>
      </w:r>
      <w:r w:rsidR="008460CC" w:rsidRPr="005B66DE">
        <w:rPr>
          <w:rFonts w:cs="Times New Roman"/>
          <w:szCs w:val="24"/>
        </w:rPr>
        <w:t xml:space="preserve">legal powers to </w:t>
      </w:r>
      <w:r>
        <w:rPr>
          <w:rFonts w:cs="Times New Roman"/>
          <w:szCs w:val="24"/>
        </w:rPr>
        <w:t>regulatory authorities; t</w:t>
      </w:r>
      <w:r w:rsidR="008460CC" w:rsidRPr="005B66DE">
        <w:rPr>
          <w:rFonts w:cs="Times New Roman"/>
          <w:szCs w:val="24"/>
        </w:rPr>
        <w:t xml:space="preserve">he CBK </w:t>
      </w:r>
      <w:r>
        <w:rPr>
          <w:rFonts w:cs="Times New Roman"/>
          <w:szCs w:val="24"/>
        </w:rPr>
        <w:t xml:space="preserve">was mandated with </w:t>
      </w:r>
      <w:r w:rsidR="008460CC" w:rsidRPr="005B66DE">
        <w:rPr>
          <w:rFonts w:cs="Times New Roman"/>
          <w:szCs w:val="24"/>
        </w:rPr>
        <w:t>licensing authority through the minister’s approval.</w:t>
      </w:r>
      <w:r>
        <w:rPr>
          <w:rStyle w:val="FootnoteReference"/>
          <w:rFonts w:cs="Times New Roman"/>
          <w:szCs w:val="24"/>
        </w:rPr>
        <w:footnoteReference w:id="56"/>
      </w:r>
      <w:r w:rsidR="008460CC" w:rsidRPr="005B66DE">
        <w:rPr>
          <w:rFonts w:cs="Times New Roman"/>
          <w:szCs w:val="24"/>
        </w:rPr>
        <w:t xml:space="preserve"> </w:t>
      </w:r>
      <w:r w:rsidR="00681E25">
        <w:rPr>
          <w:rFonts w:cs="Times New Roman"/>
          <w:szCs w:val="24"/>
        </w:rPr>
        <w:t>Additionally, t</w:t>
      </w:r>
      <w:r>
        <w:rPr>
          <w:rFonts w:cs="Times New Roman"/>
          <w:szCs w:val="24"/>
        </w:rPr>
        <w:t>he Deposit Protection Fund was established in</w:t>
      </w:r>
      <w:r w:rsidR="008460CC" w:rsidRPr="005B66DE">
        <w:rPr>
          <w:rFonts w:cs="Times New Roman"/>
          <w:szCs w:val="24"/>
        </w:rPr>
        <w:t xml:space="preserve"> 1986 </w:t>
      </w:r>
      <w:r>
        <w:rPr>
          <w:rFonts w:cs="Times New Roman"/>
          <w:szCs w:val="24"/>
        </w:rPr>
        <w:t>and p</w:t>
      </w:r>
      <w:r w:rsidR="008460CC" w:rsidRPr="005B66DE">
        <w:rPr>
          <w:rFonts w:cs="Times New Roman"/>
          <w:szCs w:val="24"/>
        </w:rPr>
        <w:t xml:space="preserve">rudential guidelines were </w:t>
      </w:r>
      <w:r>
        <w:rPr>
          <w:rFonts w:cs="Times New Roman"/>
          <w:szCs w:val="24"/>
        </w:rPr>
        <w:t>r</w:t>
      </w:r>
      <w:r w:rsidR="008460CC" w:rsidRPr="005B66DE">
        <w:rPr>
          <w:rFonts w:cs="Times New Roman"/>
          <w:szCs w:val="24"/>
        </w:rPr>
        <w:t>evised t</w:t>
      </w:r>
      <w:r w:rsidR="00681E25">
        <w:rPr>
          <w:rFonts w:cs="Times New Roman"/>
          <w:szCs w:val="24"/>
        </w:rPr>
        <w:t xml:space="preserve">o encourage self-regulation </w:t>
      </w:r>
      <w:r>
        <w:rPr>
          <w:rFonts w:cs="Times New Roman"/>
          <w:szCs w:val="24"/>
        </w:rPr>
        <w:t xml:space="preserve">and further enhance </w:t>
      </w:r>
      <w:r w:rsidR="008460CC" w:rsidRPr="005B66DE">
        <w:rPr>
          <w:rFonts w:cs="Times New Roman"/>
          <w:szCs w:val="24"/>
        </w:rPr>
        <w:t>corporate governance, capital adequacy, risk clarification of assets and overall risk ma</w:t>
      </w:r>
      <w:r>
        <w:rPr>
          <w:rFonts w:cs="Times New Roman"/>
          <w:szCs w:val="24"/>
        </w:rPr>
        <w:t>nagement of the banking sector.</w:t>
      </w:r>
      <w:r>
        <w:rPr>
          <w:rStyle w:val="FootnoteReference"/>
          <w:rFonts w:cs="Times New Roman"/>
          <w:szCs w:val="24"/>
        </w:rPr>
        <w:footnoteReference w:id="57"/>
      </w:r>
      <w:r w:rsidR="008460CC" w:rsidRPr="005B66DE">
        <w:rPr>
          <w:rFonts w:cs="Times New Roman"/>
          <w:szCs w:val="24"/>
        </w:rPr>
        <w:t xml:space="preserve"> </w:t>
      </w:r>
    </w:p>
    <w:p w14:paraId="4DF87D75" w14:textId="77777777" w:rsidR="006A35E3" w:rsidRPr="005B66DE" w:rsidRDefault="006A35E3" w:rsidP="008460CC">
      <w:pPr>
        <w:spacing w:line="360" w:lineRule="auto"/>
        <w:rPr>
          <w:rFonts w:cs="Times New Roman"/>
          <w:szCs w:val="24"/>
        </w:rPr>
      </w:pPr>
    </w:p>
    <w:p w14:paraId="4D3CBC37" w14:textId="02AF044B" w:rsidR="00D559C7" w:rsidRDefault="00817E83" w:rsidP="00965C9D">
      <w:pPr>
        <w:spacing w:line="360" w:lineRule="auto"/>
        <w:rPr>
          <w:rFonts w:cs="Times New Roman"/>
          <w:szCs w:val="24"/>
        </w:rPr>
      </w:pPr>
      <w:r>
        <w:rPr>
          <w:rFonts w:cs="Times New Roman"/>
          <w:szCs w:val="24"/>
        </w:rPr>
        <w:t>Currently, the b</w:t>
      </w:r>
      <w:r w:rsidR="008460CC" w:rsidRPr="005B66DE">
        <w:rPr>
          <w:rFonts w:cs="Times New Roman"/>
          <w:szCs w:val="24"/>
        </w:rPr>
        <w:t>anking in</w:t>
      </w:r>
      <w:r>
        <w:rPr>
          <w:rFonts w:cs="Times New Roman"/>
          <w:szCs w:val="24"/>
        </w:rPr>
        <w:t xml:space="preserve"> Kenya is regulated by various</w:t>
      </w:r>
      <w:r w:rsidR="008460CC" w:rsidRPr="005B66DE">
        <w:rPr>
          <w:rFonts w:cs="Times New Roman"/>
          <w:szCs w:val="24"/>
        </w:rPr>
        <w:t xml:space="preserve"> legislations </w:t>
      </w:r>
      <w:r>
        <w:rPr>
          <w:rFonts w:cs="Times New Roman"/>
          <w:szCs w:val="24"/>
        </w:rPr>
        <w:t xml:space="preserve">including the </w:t>
      </w:r>
      <w:r w:rsidR="008460CC" w:rsidRPr="005B66DE">
        <w:rPr>
          <w:rFonts w:cs="Times New Roman"/>
          <w:szCs w:val="24"/>
        </w:rPr>
        <w:t>Constitution of Kenya (</w:t>
      </w:r>
      <w:proofErr w:type="spellStart"/>
      <w:r w:rsidR="008460CC" w:rsidRPr="005B66DE">
        <w:rPr>
          <w:rFonts w:cs="Times New Roman"/>
          <w:szCs w:val="24"/>
        </w:rPr>
        <w:t>CoK</w:t>
      </w:r>
      <w:proofErr w:type="spellEnd"/>
      <w:r w:rsidR="008460CC" w:rsidRPr="005B66DE">
        <w:rPr>
          <w:rFonts w:cs="Times New Roman"/>
          <w:szCs w:val="24"/>
        </w:rPr>
        <w:t>) 2010, the Central Bank of Kenya Act (2015), the Central Bank Prudential Guidelines, the Banking Act (2015), the Microfinance Act (2006), the National Payment System Act (2011), the Kenya Deposit Insurance Act (2012)</w:t>
      </w:r>
      <w:r>
        <w:rPr>
          <w:rFonts w:cs="Times New Roman"/>
          <w:szCs w:val="24"/>
        </w:rPr>
        <w:t>, the Competition Act</w:t>
      </w:r>
      <w:r w:rsidR="00965C9D">
        <w:rPr>
          <w:rFonts w:cs="Times New Roman"/>
          <w:szCs w:val="24"/>
        </w:rPr>
        <w:t xml:space="preserve"> (2010)</w:t>
      </w:r>
      <w:r w:rsidR="008460CC" w:rsidRPr="005B66DE">
        <w:rPr>
          <w:rFonts w:cs="Times New Roman"/>
          <w:szCs w:val="24"/>
        </w:rPr>
        <w:t xml:space="preserve"> and the Capital Ma</w:t>
      </w:r>
      <w:r w:rsidR="00965C9D">
        <w:rPr>
          <w:rFonts w:cs="Times New Roman"/>
          <w:szCs w:val="24"/>
        </w:rPr>
        <w:t xml:space="preserve">rkets Act (Chapter 485 A). These laws and regulations govern banks, bank accounts, bank transactions amongst others. </w:t>
      </w:r>
    </w:p>
    <w:p w14:paraId="394C1E7F" w14:textId="77777777" w:rsidR="006A35E3" w:rsidRPr="00E05563" w:rsidRDefault="006A35E3" w:rsidP="00965C9D">
      <w:pPr>
        <w:spacing w:line="360" w:lineRule="auto"/>
        <w:rPr>
          <w:rFonts w:cs="Times New Roman"/>
          <w:szCs w:val="24"/>
        </w:rPr>
      </w:pPr>
    </w:p>
    <w:p w14:paraId="5BB397B9" w14:textId="0719453B" w:rsidR="008460CC" w:rsidRPr="00D30FD5" w:rsidRDefault="00965C9D" w:rsidP="00965C9D">
      <w:pPr>
        <w:spacing w:line="360" w:lineRule="auto"/>
        <w:rPr>
          <w:rFonts w:cs="Times New Roman"/>
          <w:szCs w:val="24"/>
          <w:shd w:val="clear" w:color="auto" w:fill="FFFFFF"/>
        </w:rPr>
      </w:pPr>
      <w:r w:rsidRPr="00D30FD5">
        <w:rPr>
          <w:rFonts w:cs="Times New Roman"/>
          <w:szCs w:val="24"/>
          <w:shd w:val="clear" w:color="auto" w:fill="FFFFFF"/>
        </w:rPr>
        <w:t xml:space="preserve">Notably, </w:t>
      </w:r>
      <w:r w:rsidR="008460CC" w:rsidRPr="00D30FD5">
        <w:rPr>
          <w:rFonts w:cs="Times New Roman"/>
          <w:szCs w:val="24"/>
          <w:shd w:val="clear" w:color="auto" w:fill="FFFFFF"/>
        </w:rPr>
        <w:t>the Central Bank of Kenya guidelines</w:t>
      </w:r>
      <w:r w:rsidRPr="00D30FD5">
        <w:rPr>
          <w:rFonts w:cs="Times New Roman"/>
          <w:szCs w:val="24"/>
          <w:shd w:val="clear" w:color="auto" w:fill="FFFFFF"/>
        </w:rPr>
        <w:t>, 2015, highlights the following objectives of the CBK:</w:t>
      </w:r>
      <w:r w:rsidRPr="00D30FD5">
        <w:rPr>
          <w:rStyle w:val="FootnoteReference"/>
          <w:rFonts w:cs="Times New Roman"/>
          <w:szCs w:val="24"/>
          <w:shd w:val="clear" w:color="auto" w:fill="FFFFFF"/>
        </w:rPr>
        <w:footnoteReference w:id="58"/>
      </w:r>
    </w:p>
    <w:p w14:paraId="3EB17D34" w14:textId="619C7004" w:rsidR="008460CC" w:rsidRPr="00D30FD5" w:rsidRDefault="00965C9D" w:rsidP="006A35E3">
      <w:pPr>
        <w:pStyle w:val="ListParagraph"/>
        <w:numPr>
          <w:ilvl w:val="0"/>
          <w:numId w:val="9"/>
        </w:numPr>
        <w:spacing w:line="360" w:lineRule="auto"/>
        <w:rPr>
          <w:rFonts w:cs="Times New Roman"/>
          <w:szCs w:val="24"/>
          <w:shd w:val="clear" w:color="auto" w:fill="FFFFFF"/>
        </w:rPr>
      </w:pPr>
      <w:r w:rsidRPr="00D30FD5">
        <w:rPr>
          <w:rFonts w:cs="Times New Roman"/>
          <w:szCs w:val="24"/>
          <w:shd w:val="clear" w:color="auto" w:fill="FFFFFF"/>
        </w:rPr>
        <w:t xml:space="preserve">Prudential </w:t>
      </w:r>
      <w:r w:rsidR="00681E25" w:rsidRPr="00D30FD5">
        <w:rPr>
          <w:rFonts w:cs="Times New Roman"/>
          <w:szCs w:val="24"/>
          <w:shd w:val="clear" w:color="auto" w:fill="FFFFFF"/>
        </w:rPr>
        <w:t xml:space="preserve">measures </w:t>
      </w:r>
      <w:r w:rsidRPr="00D30FD5">
        <w:rPr>
          <w:rFonts w:cs="Times New Roman"/>
          <w:szCs w:val="24"/>
          <w:shd w:val="clear" w:color="auto" w:fill="FFFFFF"/>
        </w:rPr>
        <w:t xml:space="preserve">aimed at reducing </w:t>
      </w:r>
      <w:r w:rsidR="008460CC" w:rsidRPr="00D30FD5">
        <w:rPr>
          <w:rFonts w:cs="Times New Roman"/>
          <w:szCs w:val="24"/>
          <w:shd w:val="clear" w:color="auto" w:fill="FFFFFF"/>
        </w:rPr>
        <w:t xml:space="preserve">the level of risk </w:t>
      </w:r>
      <w:r w:rsidRPr="00D30FD5">
        <w:rPr>
          <w:rFonts w:cs="Times New Roman"/>
          <w:szCs w:val="24"/>
          <w:shd w:val="clear" w:color="auto" w:fill="FFFFFF"/>
        </w:rPr>
        <w:t xml:space="preserve">exposure for depositors; </w:t>
      </w:r>
    </w:p>
    <w:p w14:paraId="091FFF8A" w14:textId="16F3D402" w:rsidR="008460CC" w:rsidRPr="00D30FD5" w:rsidRDefault="008460CC" w:rsidP="006A35E3">
      <w:pPr>
        <w:pStyle w:val="ListParagraph"/>
        <w:numPr>
          <w:ilvl w:val="0"/>
          <w:numId w:val="9"/>
        </w:numPr>
        <w:spacing w:line="360" w:lineRule="auto"/>
        <w:rPr>
          <w:rFonts w:cs="Times New Roman"/>
          <w:szCs w:val="24"/>
          <w:shd w:val="clear" w:color="auto" w:fill="FFFFFF"/>
        </w:rPr>
      </w:pPr>
      <w:r w:rsidRPr="00D30FD5">
        <w:rPr>
          <w:rFonts w:cs="Times New Roman"/>
          <w:szCs w:val="24"/>
          <w:shd w:val="clear" w:color="auto" w:fill="FFFFFF"/>
        </w:rPr>
        <w:t>Systemic risk reduction</w:t>
      </w:r>
      <w:r w:rsidR="00965C9D" w:rsidRPr="00D30FD5">
        <w:rPr>
          <w:rFonts w:cs="Times New Roman"/>
          <w:szCs w:val="24"/>
          <w:shd w:val="clear" w:color="auto" w:fill="FFFFFF"/>
        </w:rPr>
        <w:t xml:space="preserve"> aimed at managing t</w:t>
      </w:r>
      <w:r w:rsidRPr="00D30FD5">
        <w:rPr>
          <w:rFonts w:cs="Times New Roman"/>
          <w:szCs w:val="24"/>
          <w:shd w:val="clear" w:color="auto" w:fill="FFFFFF"/>
        </w:rPr>
        <w:t>he risk of disruption resulting from adverse trading conditions for banks causing multiple or major bank failures</w:t>
      </w:r>
      <w:r w:rsidR="00965C9D" w:rsidRPr="00D30FD5">
        <w:rPr>
          <w:rFonts w:cs="Times New Roman"/>
          <w:szCs w:val="24"/>
          <w:shd w:val="clear" w:color="auto" w:fill="FFFFFF"/>
        </w:rPr>
        <w:t>;</w:t>
      </w:r>
    </w:p>
    <w:p w14:paraId="4A61CE13" w14:textId="7B08FECD" w:rsidR="008460CC" w:rsidRPr="00D30FD5" w:rsidRDefault="008460CC" w:rsidP="006A35E3">
      <w:pPr>
        <w:pStyle w:val="ListParagraph"/>
        <w:numPr>
          <w:ilvl w:val="0"/>
          <w:numId w:val="9"/>
        </w:numPr>
        <w:spacing w:line="360" w:lineRule="auto"/>
        <w:rPr>
          <w:rFonts w:cs="Times New Roman"/>
          <w:szCs w:val="24"/>
          <w:shd w:val="clear" w:color="auto" w:fill="FFFFFF"/>
        </w:rPr>
      </w:pPr>
      <w:r w:rsidRPr="00D30FD5">
        <w:rPr>
          <w:rFonts w:cs="Times New Roman"/>
          <w:szCs w:val="24"/>
          <w:shd w:val="clear" w:color="auto" w:fill="FFFFFF"/>
        </w:rPr>
        <w:t>Avoid misuse of banks</w:t>
      </w:r>
      <w:r w:rsidR="00965C9D" w:rsidRPr="00D30FD5">
        <w:rPr>
          <w:rFonts w:cs="Times New Roman"/>
          <w:szCs w:val="24"/>
          <w:shd w:val="clear" w:color="auto" w:fill="FFFFFF"/>
        </w:rPr>
        <w:t xml:space="preserve"> which involves setting sound monetary policies in order to avoid crimes such as money laundering which has become a rampant globally; and </w:t>
      </w:r>
    </w:p>
    <w:p w14:paraId="643D93BE" w14:textId="31131B23" w:rsidR="003E733D" w:rsidRPr="00D30FD5" w:rsidRDefault="008460CC" w:rsidP="006A35E3">
      <w:pPr>
        <w:pStyle w:val="ListParagraph"/>
        <w:numPr>
          <w:ilvl w:val="0"/>
          <w:numId w:val="9"/>
        </w:numPr>
        <w:spacing w:line="360" w:lineRule="auto"/>
        <w:rPr>
          <w:rFonts w:cs="Times New Roman"/>
          <w:szCs w:val="24"/>
        </w:rPr>
      </w:pPr>
      <w:r w:rsidRPr="00D30FD5">
        <w:rPr>
          <w:rFonts w:cs="Times New Roman"/>
          <w:szCs w:val="24"/>
          <w:shd w:val="clear" w:color="auto" w:fill="FFFFFF"/>
        </w:rPr>
        <w:t>Protect</w:t>
      </w:r>
      <w:r w:rsidR="00965C9D" w:rsidRPr="00D30FD5">
        <w:rPr>
          <w:rFonts w:cs="Times New Roman"/>
          <w:szCs w:val="24"/>
          <w:shd w:val="clear" w:color="auto" w:fill="FFFFFF"/>
        </w:rPr>
        <w:t>ion of</w:t>
      </w:r>
      <w:r w:rsidRPr="00D30FD5">
        <w:rPr>
          <w:rFonts w:cs="Times New Roman"/>
          <w:szCs w:val="24"/>
          <w:shd w:val="clear" w:color="auto" w:fill="FFFFFF"/>
        </w:rPr>
        <w:t xml:space="preserve"> </w:t>
      </w:r>
      <w:r w:rsidR="00E05563" w:rsidRPr="00D30FD5">
        <w:rPr>
          <w:rFonts w:cs="Times New Roman"/>
          <w:szCs w:val="24"/>
          <w:shd w:val="clear" w:color="auto" w:fill="FFFFFF"/>
        </w:rPr>
        <w:t xml:space="preserve">confidentiality of </w:t>
      </w:r>
      <w:r w:rsidRPr="00D30FD5">
        <w:rPr>
          <w:rFonts w:cs="Times New Roman"/>
          <w:szCs w:val="24"/>
        </w:rPr>
        <w:t>de</w:t>
      </w:r>
      <w:r w:rsidR="00E05563" w:rsidRPr="00D30FD5">
        <w:rPr>
          <w:rFonts w:cs="Times New Roman"/>
          <w:szCs w:val="24"/>
        </w:rPr>
        <w:t>positors</w:t>
      </w:r>
      <w:r w:rsidRPr="00D30FD5">
        <w:rPr>
          <w:rFonts w:cs="Times New Roman"/>
          <w:szCs w:val="24"/>
        </w:rPr>
        <w:t xml:space="preserve">. </w:t>
      </w:r>
    </w:p>
    <w:p w14:paraId="254B8FEE" w14:textId="77777777" w:rsidR="00E05563" w:rsidRPr="00D30FD5" w:rsidRDefault="00E05563" w:rsidP="00E05563"/>
    <w:p w14:paraId="5EDD623E" w14:textId="0386BF57" w:rsidR="00E05563" w:rsidRDefault="00C7087B" w:rsidP="006A35E3">
      <w:pPr>
        <w:pStyle w:val="Heading2"/>
        <w:numPr>
          <w:ilvl w:val="1"/>
          <w:numId w:val="2"/>
        </w:numPr>
      </w:pPr>
      <w:r>
        <w:lastRenderedPageBreak/>
        <w:t xml:space="preserve">      </w:t>
      </w:r>
      <w:bookmarkStart w:id="29" w:name="_Toc62552882"/>
      <w:r>
        <w:t>BANK MERGERS</w:t>
      </w:r>
      <w:bookmarkEnd w:id="29"/>
    </w:p>
    <w:p w14:paraId="76836A15" w14:textId="0C20A276" w:rsidR="00B9228C" w:rsidRDefault="00A664BE" w:rsidP="003B4AC5">
      <w:pPr>
        <w:spacing w:line="360" w:lineRule="auto"/>
      </w:pPr>
      <w:r>
        <w:t>As a prerequisite to the analysis of regulation governing bank mergers, this section will d</w:t>
      </w:r>
      <w:r w:rsidR="008B1B91">
        <w:t>efine</w:t>
      </w:r>
      <w:r>
        <w:t xml:space="preserve"> mergers, discuss their causes and the role t</w:t>
      </w:r>
      <w:r w:rsidR="00681E25">
        <w:t>hey play in the creation of Too-</w:t>
      </w:r>
      <w:r>
        <w:t>Big</w:t>
      </w:r>
      <w:r w:rsidR="00681E25">
        <w:t>-</w:t>
      </w:r>
      <w:r w:rsidR="0011631D">
        <w:t>T</w:t>
      </w:r>
      <w:r w:rsidR="00681E25">
        <w:t>o-</w:t>
      </w:r>
      <w:r>
        <w:t>Fail (TBTF)</w:t>
      </w:r>
      <w:r w:rsidR="00681E25">
        <w:t xml:space="preserve"> banks</w:t>
      </w:r>
      <w:r w:rsidR="00B9228C">
        <w:t xml:space="preserve">. </w:t>
      </w:r>
    </w:p>
    <w:p w14:paraId="56509F4C" w14:textId="4A699EFE" w:rsidR="00A664BE" w:rsidRDefault="00A664BE" w:rsidP="006A35E3">
      <w:pPr>
        <w:pStyle w:val="Heading3"/>
        <w:numPr>
          <w:ilvl w:val="0"/>
          <w:numId w:val="12"/>
        </w:numPr>
        <w:spacing w:line="360" w:lineRule="auto"/>
        <w:rPr>
          <w:i/>
        </w:rPr>
      </w:pPr>
      <w:bookmarkStart w:id="30" w:name="_Toc62552883"/>
      <w:r w:rsidRPr="00A664BE">
        <w:rPr>
          <w:i/>
        </w:rPr>
        <w:t>Definition</w:t>
      </w:r>
      <w:r w:rsidR="003B4AC5">
        <w:rPr>
          <w:i/>
        </w:rPr>
        <w:t xml:space="preserve"> of a merger</w:t>
      </w:r>
      <w:bookmarkEnd w:id="30"/>
    </w:p>
    <w:p w14:paraId="25D3719E" w14:textId="6EED8677" w:rsidR="00B9228C" w:rsidRPr="003B4AC5" w:rsidRDefault="00B9228C" w:rsidP="00A664BE">
      <w:pPr>
        <w:spacing w:line="360" w:lineRule="auto"/>
      </w:pPr>
      <w:r>
        <w:t>The Competition</w:t>
      </w:r>
      <w:r w:rsidR="008B1B91">
        <w:t xml:space="preserve"> Act, 2010, </w:t>
      </w:r>
      <w:r>
        <w:t>is the instructive law on mergers in Kenya. Specifically, it provides that a merger occurs when one or more undertakings acquire or establish a direct or indirect control over the whole or part of the business of another undertaking.</w:t>
      </w:r>
      <w:r w:rsidR="008B1B91">
        <w:rPr>
          <w:rStyle w:val="FootnoteReference"/>
        </w:rPr>
        <w:footnoteReference w:id="59"/>
      </w:r>
      <w:r w:rsidR="008B1B91">
        <w:t xml:space="preserve"> The legislation provides different ways in which a merger occurs including share and asset purchases, obtaining of controlling interest, vertical integration, share swaps, amalgamations, takeovers amongst others.</w:t>
      </w:r>
      <w:r w:rsidR="008B1B91">
        <w:rPr>
          <w:rStyle w:val="FootnoteReference"/>
        </w:rPr>
        <w:footnoteReference w:id="60"/>
      </w:r>
      <w:r w:rsidR="008B1B91">
        <w:t xml:space="preserve"> Additionally, the Act </w:t>
      </w:r>
      <w:r w:rsidR="003B4AC5">
        <w:t xml:space="preserve">established the criteria for determining control of another undertaking; for example beneficial ownership of more than one half of shares, assets or business of the said undertaking. </w:t>
      </w:r>
      <w:r w:rsidR="003B4AC5">
        <w:rPr>
          <w:rStyle w:val="FootnoteReference"/>
        </w:rPr>
        <w:footnoteReference w:id="61"/>
      </w:r>
    </w:p>
    <w:p w14:paraId="087F5A45" w14:textId="12F380AC" w:rsidR="00A664BE" w:rsidRPr="00C7087B" w:rsidRDefault="003B4AC5" w:rsidP="006A35E3">
      <w:pPr>
        <w:pStyle w:val="Heading3"/>
        <w:numPr>
          <w:ilvl w:val="0"/>
          <w:numId w:val="12"/>
        </w:numPr>
        <w:spacing w:line="240" w:lineRule="auto"/>
        <w:rPr>
          <w:rFonts w:eastAsia="Times New Roman"/>
          <w:i/>
        </w:rPr>
      </w:pPr>
      <w:bookmarkStart w:id="31" w:name="_Toc62552884"/>
      <w:r w:rsidRPr="00C7087B">
        <w:rPr>
          <w:rFonts w:eastAsia="Times New Roman"/>
          <w:i/>
        </w:rPr>
        <w:t xml:space="preserve">Why </w:t>
      </w:r>
      <w:r w:rsidR="00C7087B">
        <w:rPr>
          <w:rFonts w:eastAsia="Times New Roman"/>
          <w:i/>
        </w:rPr>
        <w:t xml:space="preserve">bank </w:t>
      </w:r>
      <w:r w:rsidR="00A664BE" w:rsidRPr="00C7087B">
        <w:rPr>
          <w:rFonts w:eastAsia="Times New Roman"/>
          <w:i/>
        </w:rPr>
        <w:t>mergers</w:t>
      </w:r>
      <w:r w:rsidRPr="00C7087B">
        <w:rPr>
          <w:rFonts w:eastAsia="Times New Roman"/>
          <w:i/>
        </w:rPr>
        <w:t>?</w:t>
      </w:r>
      <w:bookmarkEnd w:id="31"/>
    </w:p>
    <w:p w14:paraId="6653FFD8" w14:textId="09C98F2F" w:rsidR="003206CA" w:rsidRDefault="003B4AC5" w:rsidP="003206CA">
      <w:pPr>
        <w:spacing w:before="200" w:after="0" w:line="360" w:lineRule="auto"/>
        <w:rPr>
          <w:rFonts w:eastAsia="Times New Roman" w:cs="Times New Roman"/>
          <w:color w:val="000000"/>
          <w:szCs w:val="24"/>
        </w:rPr>
      </w:pPr>
      <w:r>
        <w:rPr>
          <w:rFonts w:eastAsia="Times New Roman" w:cs="Times New Roman"/>
          <w:color w:val="000000"/>
          <w:szCs w:val="24"/>
        </w:rPr>
        <w:t>Globally, the l</w:t>
      </w:r>
      <w:r w:rsidR="00A664BE" w:rsidRPr="005B66DE">
        <w:rPr>
          <w:rFonts w:eastAsia="Times New Roman" w:cs="Times New Roman"/>
          <w:color w:val="000000"/>
          <w:szCs w:val="24"/>
        </w:rPr>
        <w:t>ast decade has witnessed the reshaping of sev</w:t>
      </w:r>
      <w:r>
        <w:rPr>
          <w:rFonts w:eastAsia="Times New Roman" w:cs="Times New Roman"/>
          <w:color w:val="000000"/>
          <w:szCs w:val="24"/>
        </w:rPr>
        <w:t>eral industries through mergers</w:t>
      </w:r>
      <w:r w:rsidR="009730C6">
        <w:rPr>
          <w:rFonts w:eastAsia="Times New Roman" w:cs="Times New Roman"/>
          <w:color w:val="000000"/>
          <w:szCs w:val="24"/>
        </w:rPr>
        <w:t>. Notably, t</w:t>
      </w:r>
      <w:r w:rsidR="000554B6">
        <w:rPr>
          <w:rFonts w:eastAsia="Times New Roman" w:cs="Times New Roman"/>
          <w:color w:val="000000"/>
          <w:szCs w:val="24"/>
        </w:rPr>
        <w:t xml:space="preserve">he surge in mergers within </w:t>
      </w:r>
      <w:r w:rsidR="003206CA">
        <w:rPr>
          <w:rFonts w:eastAsia="Times New Roman" w:cs="Times New Roman"/>
          <w:color w:val="000000"/>
          <w:szCs w:val="24"/>
        </w:rPr>
        <w:t xml:space="preserve">Kenya’s banking industry may be attributed to the following reasons: </w:t>
      </w:r>
    </w:p>
    <w:p w14:paraId="55D139A3" w14:textId="57CDC1A3" w:rsidR="00A664BE" w:rsidRDefault="003206CA" w:rsidP="006A35E3">
      <w:pPr>
        <w:pStyle w:val="Heading4"/>
        <w:numPr>
          <w:ilvl w:val="0"/>
          <w:numId w:val="13"/>
        </w:numPr>
        <w:spacing w:line="360" w:lineRule="auto"/>
        <w:rPr>
          <w:rFonts w:eastAsia="Times New Roman"/>
        </w:rPr>
      </w:pPr>
      <w:r>
        <w:rPr>
          <w:rFonts w:eastAsia="Times New Roman"/>
        </w:rPr>
        <w:t>G</w:t>
      </w:r>
      <w:r w:rsidR="00A664BE" w:rsidRPr="003B4AC5">
        <w:rPr>
          <w:rFonts w:eastAsia="Times New Roman"/>
        </w:rPr>
        <w:t>lobalization</w:t>
      </w:r>
      <w:r>
        <w:rPr>
          <w:rFonts w:eastAsia="Times New Roman"/>
        </w:rPr>
        <w:t xml:space="preserve"> and deregulation of trade barriers</w:t>
      </w:r>
    </w:p>
    <w:p w14:paraId="06E76ABF" w14:textId="02D4AAE4" w:rsidR="00912A2C" w:rsidRDefault="003206CA" w:rsidP="005752BD">
      <w:pPr>
        <w:spacing w:line="360" w:lineRule="auto"/>
        <w:rPr>
          <w:rFonts w:eastAsia="Times New Roman" w:cs="Times New Roman"/>
          <w:color w:val="000000"/>
          <w:szCs w:val="24"/>
        </w:rPr>
      </w:pPr>
      <w:r>
        <w:t>As economies</w:t>
      </w:r>
      <w:r w:rsidR="000554B6">
        <w:t xml:space="preserve"> desire to expand trade and market access, governments have introduced favorable legislation and eliminated</w:t>
      </w:r>
      <w:r>
        <w:t xml:space="preserve"> stringent </w:t>
      </w:r>
      <w:r w:rsidR="000554B6">
        <w:t xml:space="preserve">trade restrictions with the aim of </w:t>
      </w:r>
      <w:r w:rsidR="000554B6">
        <w:rPr>
          <w:rFonts w:eastAsia="Times New Roman" w:cs="Times New Roman"/>
          <w:color w:val="000000"/>
          <w:szCs w:val="24"/>
        </w:rPr>
        <w:t>liberalizing trade</w:t>
      </w:r>
      <w:r w:rsidR="00A664BE" w:rsidRPr="005B66DE">
        <w:rPr>
          <w:rFonts w:eastAsia="Times New Roman" w:cs="Times New Roman"/>
          <w:color w:val="000000"/>
          <w:szCs w:val="24"/>
        </w:rPr>
        <w:t>,</w:t>
      </w:r>
      <w:r w:rsidR="000554B6">
        <w:rPr>
          <w:rFonts w:eastAsia="Times New Roman" w:cs="Times New Roman"/>
          <w:color w:val="000000"/>
          <w:szCs w:val="24"/>
        </w:rPr>
        <w:t xml:space="preserve"> diversifying markets and increasing geographical reach</w:t>
      </w:r>
      <w:r w:rsidR="00A664BE" w:rsidRPr="005B66DE">
        <w:rPr>
          <w:rFonts w:eastAsia="Times New Roman" w:cs="Times New Roman"/>
          <w:color w:val="000000"/>
          <w:szCs w:val="24"/>
        </w:rPr>
        <w:t>.</w:t>
      </w:r>
      <w:r w:rsidR="000554B6">
        <w:rPr>
          <w:rStyle w:val="FootnoteReference"/>
          <w:rFonts w:eastAsia="Times New Roman" w:cs="Times New Roman"/>
          <w:color w:val="000000"/>
          <w:szCs w:val="24"/>
        </w:rPr>
        <w:footnoteReference w:id="62"/>
      </w:r>
      <w:r w:rsidR="000554B6">
        <w:rPr>
          <w:rFonts w:eastAsia="Times New Roman" w:cs="Times New Roman"/>
          <w:color w:val="000000"/>
          <w:szCs w:val="24"/>
        </w:rPr>
        <w:t xml:space="preserve"> Notably, trade in Africa is set to increase due to the operationalization of certain aspects of the </w:t>
      </w:r>
      <w:r w:rsidR="00912A2C">
        <w:rPr>
          <w:rFonts w:eastAsia="Times New Roman" w:cs="Times New Roman"/>
          <w:color w:val="000000"/>
          <w:szCs w:val="24"/>
        </w:rPr>
        <w:t xml:space="preserve">African Continental </w:t>
      </w:r>
      <w:r w:rsidR="000554B6">
        <w:rPr>
          <w:rFonts w:eastAsia="Times New Roman" w:cs="Times New Roman"/>
          <w:color w:val="000000"/>
          <w:szCs w:val="24"/>
        </w:rPr>
        <w:t>Free Trade Agreement</w:t>
      </w:r>
      <w:r w:rsidR="00912A2C">
        <w:rPr>
          <w:rFonts w:eastAsia="Times New Roman" w:cs="Times New Roman"/>
          <w:color w:val="000000"/>
          <w:szCs w:val="24"/>
        </w:rPr>
        <w:t xml:space="preserve"> on 1</w:t>
      </w:r>
      <w:r w:rsidR="00912A2C" w:rsidRPr="00912A2C">
        <w:rPr>
          <w:rFonts w:eastAsia="Times New Roman" w:cs="Times New Roman"/>
          <w:color w:val="000000"/>
          <w:szCs w:val="24"/>
          <w:vertAlign w:val="superscript"/>
        </w:rPr>
        <w:t>st</w:t>
      </w:r>
      <w:r w:rsidR="00912A2C">
        <w:rPr>
          <w:rFonts w:eastAsia="Times New Roman" w:cs="Times New Roman"/>
          <w:color w:val="000000"/>
          <w:szCs w:val="24"/>
        </w:rPr>
        <w:t xml:space="preserve"> January 2021.</w:t>
      </w:r>
      <w:r w:rsidR="00912A2C">
        <w:rPr>
          <w:rStyle w:val="FootnoteReference"/>
          <w:rFonts w:eastAsia="Times New Roman" w:cs="Times New Roman"/>
          <w:color w:val="000000"/>
          <w:szCs w:val="24"/>
        </w:rPr>
        <w:footnoteReference w:id="63"/>
      </w:r>
      <w:r w:rsidR="00912A2C">
        <w:rPr>
          <w:rFonts w:eastAsia="Times New Roman" w:cs="Times New Roman"/>
          <w:color w:val="000000"/>
          <w:szCs w:val="24"/>
        </w:rPr>
        <w:t xml:space="preserve"> Consequently, banks  gain access to global markets and increased competition resulting in merging.</w:t>
      </w:r>
    </w:p>
    <w:p w14:paraId="5AF6A14F" w14:textId="2122D4D6" w:rsidR="006A35E3" w:rsidRPr="006A35E3" w:rsidRDefault="00625D24" w:rsidP="006A35E3">
      <w:pPr>
        <w:pStyle w:val="Heading4"/>
        <w:numPr>
          <w:ilvl w:val="0"/>
          <w:numId w:val="13"/>
        </w:numPr>
        <w:spacing w:line="360" w:lineRule="auto"/>
        <w:rPr>
          <w:rFonts w:eastAsia="Times New Roman"/>
        </w:rPr>
      </w:pPr>
      <w:r>
        <w:rPr>
          <w:rFonts w:eastAsia="Times New Roman"/>
        </w:rPr>
        <w:lastRenderedPageBreak/>
        <w:t>Peer bail-outs</w:t>
      </w:r>
    </w:p>
    <w:p w14:paraId="2D48CD5B" w14:textId="11C65C28" w:rsidR="00625D24" w:rsidRPr="00625D24" w:rsidRDefault="00625D24" w:rsidP="006A35E3">
      <w:pPr>
        <w:spacing w:line="360" w:lineRule="auto"/>
      </w:pPr>
      <w:r>
        <w:t xml:space="preserve">Peer bail-outs refers to the practice amongst banks to acquire its peers </w:t>
      </w:r>
      <w:r w:rsidR="00342EF5">
        <w:t xml:space="preserve">under receivership. </w:t>
      </w:r>
      <w:r w:rsidR="00342EF5">
        <w:rPr>
          <w:rStyle w:val="FootnoteReference"/>
        </w:rPr>
        <w:footnoteReference w:id="64"/>
      </w:r>
      <w:r w:rsidR="00586C2A">
        <w:t xml:space="preserve"> A common example is chase bank which was placed under receivership by the CBK on 7</w:t>
      </w:r>
      <w:r w:rsidR="00586C2A" w:rsidRPr="00586C2A">
        <w:rPr>
          <w:vertAlign w:val="superscript"/>
        </w:rPr>
        <w:t>th</w:t>
      </w:r>
      <w:r w:rsidR="00586C2A">
        <w:t xml:space="preserve"> April 2016 and thereafter acquired by the State Bank of Mauritius. </w:t>
      </w:r>
      <w:r w:rsidR="00586C2A">
        <w:rPr>
          <w:rStyle w:val="FootnoteReference"/>
        </w:rPr>
        <w:footnoteReference w:id="65"/>
      </w:r>
    </w:p>
    <w:p w14:paraId="6397A78D" w14:textId="6CBD2DE3" w:rsidR="00A664BE" w:rsidRPr="003B4AC5" w:rsidRDefault="003B4AC5" w:rsidP="006A35E3">
      <w:pPr>
        <w:pStyle w:val="Heading4"/>
        <w:numPr>
          <w:ilvl w:val="0"/>
          <w:numId w:val="13"/>
        </w:numPr>
        <w:spacing w:line="240" w:lineRule="auto"/>
        <w:rPr>
          <w:rFonts w:eastAsia="Times New Roman"/>
        </w:rPr>
      </w:pPr>
      <w:r>
        <w:rPr>
          <w:rFonts w:eastAsia="Times New Roman"/>
        </w:rPr>
        <w:t xml:space="preserve">Competition </w:t>
      </w:r>
    </w:p>
    <w:p w14:paraId="4C03C3F5" w14:textId="2E0D6026" w:rsidR="00A664BE" w:rsidRPr="005B66DE" w:rsidRDefault="00A664BE" w:rsidP="005752BD">
      <w:pPr>
        <w:spacing w:before="200" w:after="0" w:line="360" w:lineRule="auto"/>
        <w:rPr>
          <w:rFonts w:eastAsia="Times New Roman" w:cs="Times New Roman"/>
          <w:szCs w:val="24"/>
        </w:rPr>
      </w:pPr>
      <w:r w:rsidRPr="005B66DE">
        <w:rPr>
          <w:rFonts w:eastAsia="Times New Roman" w:cs="Times New Roman"/>
          <w:color w:val="000000"/>
          <w:szCs w:val="24"/>
        </w:rPr>
        <w:t xml:space="preserve">The competitive nature of the financial sector has caused several banks to merge with aim of reducing their operational costs </w:t>
      </w:r>
      <w:r w:rsidR="00912A2C">
        <w:rPr>
          <w:rFonts w:eastAsia="Times New Roman" w:cs="Times New Roman"/>
          <w:color w:val="000000"/>
          <w:szCs w:val="24"/>
        </w:rPr>
        <w:t xml:space="preserve">and increasing market share </w:t>
      </w:r>
      <w:r w:rsidRPr="005B66DE">
        <w:rPr>
          <w:rFonts w:eastAsia="Times New Roman" w:cs="Times New Roman"/>
          <w:color w:val="000000"/>
          <w:szCs w:val="24"/>
        </w:rPr>
        <w:t xml:space="preserve">by merging with </w:t>
      </w:r>
      <w:r w:rsidR="00912A2C">
        <w:rPr>
          <w:rFonts w:eastAsia="Times New Roman" w:cs="Times New Roman"/>
          <w:color w:val="000000"/>
          <w:szCs w:val="24"/>
        </w:rPr>
        <w:t>other competitors in the industry.</w:t>
      </w:r>
      <w:r w:rsidR="00D559C7">
        <w:rPr>
          <w:rStyle w:val="FootnoteReference"/>
          <w:rFonts w:eastAsia="Times New Roman" w:cs="Times New Roman"/>
          <w:color w:val="000000"/>
          <w:szCs w:val="24"/>
        </w:rPr>
        <w:footnoteReference w:id="66"/>
      </w:r>
    </w:p>
    <w:p w14:paraId="478171E2" w14:textId="6B5C9E0F" w:rsidR="00A664BE" w:rsidRPr="003B4AC5" w:rsidRDefault="006354DD" w:rsidP="006A35E3">
      <w:pPr>
        <w:pStyle w:val="Heading4"/>
        <w:numPr>
          <w:ilvl w:val="0"/>
          <w:numId w:val="13"/>
        </w:numPr>
        <w:spacing w:line="240" w:lineRule="auto"/>
        <w:rPr>
          <w:rFonts w:eastAsia="Times New Roman"/>
        </w:rPr>
      </w:pPr>
      <w:r>
        <w:rPr>
          <w:rFonts w:eastAsia="Times New Roman"/>
        </w:rPr>
        <w:t>S</w:t>
      </w:r>
      <w:r w:rsidR="00A664BE" w:rsidRPr="003B4AC5">
        <w:rPr>
          <w:rFonts w:eastAsia="Times New Roman"/>
        </w:rPr>
        <w:t>ynergy</w:t>
      </w:r>
    </w:p>
    <w:p w14:paraId="3E490188" w14:textId="2496FB1A" w:rsidR="006A35E3" w:rsidRDefault="00D559C7" w:rsidP="005752BD">
      <w:pPr>
        <w:spacing w:before="200" w:after="0" w:line="360" w:lineRule="auto"/>
        <w:rPr>
          <w:rFonts w:eastAsia="Times New Roman" w:cs="Times New Roman"/>
          <w:color w:val="000000"/>
          <w:szCs w:val="24"/>
        </w:rPr>
      </w:pPr>
      <w:r>
        <w:rPr>
          <w:rFonts w:eastAsia="Times New Roman" w:cs="Times New Roman"/>
          <w:color w:val="000000"/>
          <w:szCs w:val="24"/>
        </w:rPr>
        <w:t xml:space="preserve">Synergy may be classified into </w:t>
      </w:r>
      <w:r w:rsidR="00A664BE" w:rsidRPr="005B66DE">
        <w:rPr>
          <w:rFonts w:eastAsia="Times New Roman" w:cs="Times New Roman"/>
          <w:color w:val="000000"/>
          <w:szCs w:val="24"/>
        </w:rPr>
        <w:t>managerial synergy and operati</w:t>
      </w:r>
      <w:r>
        <w:rPr>
          <w:rFonts w:eastAsia="Times New Roman" w:cs="Times New Roman"/>
          <w:color w:val="000000"/>
          <w:szCs w:val="24"/>
        </w:rPr>
        <w:t>onal synergy; o</w:t>
      </w:r>
      <w:r w:rsidR="00A664BE" w:rsidRPr="005B66DE">
        <w:rPr>
          <w:rFonts w:eastAsia="Times New Roman" w:cs="Times New Roman"/>
          <w:color w:val="000000"/>
          <w:szCs w:val="24"/>
        </w:rPr>
        <w:t>perational synergy refers to combining activities, product and markets of the merging firms whereas managerial synergy exists where one of the banks has managerial problems and the other possesses superior monitoring and planning abilities hence replacing the management of the other firm due to its inefficiencies.</w:t>
      </w:r>
      <w:r>
        <w:rPr>
          <w:rStyle w:val="FootnoteReference"/>
          <w:rFonts w:eastAsia="Times New Roman" w:cs="Times New Roman"/>
          <w:color w:val="000000"/>
          <w:szCs w:val="24"/>
        </w:rPr>
        <w:footnoteReference w:id="67"/>
      </w:r>
      <w:r w:rsidR="00A664BE" w:rsidRPr="005B66DE">
        <w:rPr>
          <w:rFonts w:eastAsia="Times New Roman" w:cs="Times New Roman"/>
          <w:color w:val="000000"/>
          <w:szCs w:val="24"/>
        </w:rPr>
        <w:t xml:space="preserve"> </w:t>
      </w:r>
      <w:r>
        <w:rPr>
          <w:rFonts w:eastAsia="Times New Roman" w:cs="Times New Roman"/>
          <w:color w:val="000000"/>
          <w:szCs w:val="24"/>
        </w:rPr>
        <w:t>They are</w:t>
      </w:r>
      <w:r w:rsidR="00A12758">
        <w:rPr>
          <w:rFonts w:eastAsia="Times New Roman" w:cs="Times New Roman"/>
          <w:color w:val="000000"/>
          <w:szCs w:val="24"/>
        </w:rPr>
        <w:t xml:space="preserve"> both aimed at maximizing value </w:t>
      </w:r>
      <w:r>
        <w:rPr>
          <w:rFonts w:eastAsia="Times New Roman" w:cs="Times New Roman"/>
          <w:color w:val="000000"/>
          <w:szCs w:val="24"/>
        </w:rPr>
        <w:t>.</w:t>
      </w:r>
      <w:r>
        <w:rPr>
          <w:rStyle w:val="FootnoteReference"/>
          <w:rFonts w:eastAsia="Times New Roman" w:cs="Times New Roman"/>
          <w:color w:val="000000"/>
          <w:szCs w:val="24"/>
        </w:rPr>
        <w:footnoteReference w:id="68"/>
      </w:r>
    </w:p>
    <w:p w14:paraId="08DD3F37" w14:textId="77777777" w:rsidR="006A35E3" w:rsidRPr="00C7087B" w:rsidRDefault="006A35E3" w:rsidP="006A35E3">
      <w:pPr>
        <w:spacing w:before="200" w:after="0" w:line="240" w:lineRule="auto"/>
        <w:rPr>
          <w:rFonts w:eastAsia="Times New Roman" w:cs="Times New Roman"/>
          <w:color w:val="000000"/>
          <w:szCs w:val="24"/>
        </w:rPr>
      </w:pPr>
    </w:p>
    <w:p w14:paraId="30F2B9A3" w14:textId="45263487" w:rsidR="00A664BE" w:rsidRPr="00C7087B" w:rsidRDefault="00A664BE" w:rsidP="006A35E3">
      <w:pPr>
        <w:pStyle w:val="Heading3"/>
        <w:numPr>
          <w:ilvl w:val="0"/>
          <w:numId w:val="12"/>
        </w:numPr>
        <w:spacing w:line="360" w:lineRule="auto"/>
        <w:rPr>
          <w:i/>
        </w:rPr>
      </w:pPr>
      <w:bookmarkStart w:id="32" w:name="_Toc62552885"/>
      <w:r w:rsidRPr="00C7087B">
        <w:rPr>
          <w:i/>
        </w:rPr>
        <w:t>How do bank mergers create TBTF banks?</w:t>
      </w:r>
      <w:bookmarkEnd w:id="32"/>
    </w:p>
    <w:p w14:paraId="1F31AB8F" w14:textId="42114F3B" w:rsidR="008B1B91" w:rsidRPr="005752BD" w:rsidRDefault="006F1A56" w:rsidP="00A664BE">
      <w:pPr>
        <w:spacing w:line="360" w:lineRule="auto"/>
        <w:rPr>
          <w:rFonts w:cs="Times New Roman"/>
          <w:sz w:val="20"/>
          <w:szCs w:val="20"/>
        </w:rPr>
      </w:pPr>
      <w:r>
        <w:rPr>
          <w:rFonts w:cs="Times New Roman"/>
          <w:szCs w:val="24"/>
        </w:rPr>
        <w:t xml:space="preserve">As discussed, mergers result in the acquiring undertaking </w:t>
      </w:r>
      <w:r w:rsidR="001E27F0">
        <w:rPr>
          <w:rFonts w:cs="Times New Roman"/>
          <w:szCs w:val="24"/>
        </w:rPr>
        <w:t>obtaining</w:t>
      </w:r>
      <w:r>
        <w:rPr>
          <w:rFonts w:cs="Times New Roman"/>
          <w:szCs w:val="24"/>
        </w:rPr>
        <w:t xml:space="preserve"> more assets, shares or other forms of control thus increasing market access. From a business perspective, such decisions are largely motivated by desire to increase profitability of the bank’s bus</w:t>
      </w:r>
      <w:r w:rsidR="00064A5F">
        <w:rPr>
          <w:rFonts w:cs="Times New Roman"/>
          <w:szCs w:val="24"/>
        </w:rPr>
        <w:t xml:space="preserve">iness through </w:t>
      </w:r>
      <w:r w:rsidR="00064A5F" w:rsidRPr="005B66DE">
        <w:rPr>
          <w:rFonts w:cs="Times New Roman"/>
          <w:szCs w:val="24"/>
        </w:rPr>
        <w:t>increase</w:t>
      </w:r>
      <w:r w:rsidR="00064A5F">
        <w:rPr>
          <w:rFonts w:cs="Times New Roman"/>
          <w:szCs w:val="24"/>
        </w:rPr>
        <w:t>d</w:t>
      </w:r>
      <w:r w:rsidR="00064A5F" w:rsidRPr="005B66DE">
        <w:rPr>
          <w:rFonts w:cs="Times New Roman"/>
          <w:szCs w:val="24"/>
        </w:rPr>
        <w:t xml:space="preserve"> ef</w:t>
      </w:r>
      <w:r w:rsidR="00064A5F">
        <w:rPr>
          <w:rFonts w:cs="Times New Roman"/>
          <w:szCs w:val="24"/>
        </w:rPr>
        <w:t>ficiency in banking operations</w:t>
      </w:r>
      <w:r w:rsidR="00A84A21">
        <w:rPr>
          <w:rFonts w:cs="Times New Roman"/>
          <w:szCs w:val="24"/>
        </w:rPr>
        <w:t xml:space="preserve"> and wider </w:t>
      </w:r>
      <w:r w:rsidR="00A84A21" w:rsidRPr="005B66DE">
        <w:rPr>
          <w:rFonts w:cs="Times New Roman"/>
          <w:szCs w:val="24"/>
        </w:rPr>
        <w:t>geographical footprint.</w:t>
      </w:r>
      <w:r w:rsidR="00A84A21" w:rsidRPr="005B66DE">
        <w:rPr>
          <w:rFonts w:cs="Times New Roman"/>
          <w:szCs w:val="24"/>
          <w:vertAlign w:val="superscript"/>
        </w:rPr>
        <w:footnoteReference w:id="69"/>
      </w:r>
      <w:r w:rsidR="008810CC">
        <w:rPr>
          <w:rFonts w:cs="Times New Roman"/>
          <w:szCs w:val="24"/>
        </w:rPr>
        <w:t>Additionally</w:t>
      </w:r>
      <w:r w:rsidR="001E27F0">
        <w:rPr>
          <w:rFonts w:cs="Times New Roman"/>
          <w:szCs w:val="24"/>
        </w:rPr>
        <w:t xml:space="preserve">, </w:t>
      </w:r>
      <w:r w:rsidR="008810CC">
        <w:rPr>
          <w:rFonts w:cs="Times New Roman"/>
          <w:szCs w:val="24"/>
        </w:rPr>
        <w:t xml:space="preserve">banks desire to attain TBTF status as it comes with certain implicit and explicit government guarantees as </w:t>
      </w:r>
      <w:r w:rsidR="008810CC">
        <w:rPr>
          <w:rFonts w:cs="Times New Roman"/>
          <w:szCs w:val="24"/>
        </w:rPr>
        <w:lastRenderedPageBreak/>
        <w:t>witnessed in the 2008 financial crisis where governments across  USA and Europe bailed out several financial institutions</w:t>
      </w:r>
      <w:r w:rsidR="00A664BE" w:rsidRPr="005B66DE">
        <w:rPr>
          <w:rFonts w:cs="Times New Roman"/>
          <w:szCs w:val="24"/>
        </w:rPr>
        <w:t>.</w:t>
      </w:r>
      <w:r w:rsidR="00A664BE" w:rsidRPr="005B66DE">
        <w:rPr>
          <w:rFonts w:cs="Times New Roman"/>
          <w:szCs w:val="24"/>
          <w:vertAlign w:val="superscript"/>
        </w:rPr>
        <w:footnoteReference w:id="70"/>
      </w:r>
      <w:r w:rsidR="00A664BE" w:rsidRPr="005B66DE">
        <w:rPr>
          <w:rFonts w:cs="Times New Roman"/>
          <w:szCs w:val="24"/>
        </w:rPr>
        <w:t xml:space="preserve"> </w:t>
      </w:r>
      <w:r w:rsidR="00A84A21">
        <w:rPr>
          <w:rFonts w:cs="Times New Roman"/>
          <w:szCs w:val="24"/>
        </w:rPr>
        <w:t xml:space="preserve">Consequently, increase in </w:t>
      </w:r>
      <w:r w:rsidR="005752BD">
        <w:rPr>
          <w:rFonts w:cs="Times New Roman"/>
          <w:szCs w:val="24"/>
        </w:rPr>
        <w:t xml:space="preserve">financial strength invites political and legislative networks due to acquired </w:t>
      </w:r>
      <w:r w:rsidR="00A84A21">
        <w:rPr>
          <w:rFonts w:cs="Times New Roman"/>
          <w:szCs w:val="24"/>
        </w:rPr>
        <w:t>influence affording such banks</w:t>
      </w:r>
      <w:r w:rsidR="00A664BE" w:rsidRPr="005B66DE">
        <w:rPr>
          <w:rFonts w:cs="Times New Roman"/>
          <w:szCs w:val="24"/>
        </w:rPr>
        <w:t xml:space="preserve"> the advantage of deregulation.</w:t>
      </w:r>
      <w:r w:rsidR="005752BD">
        <w:rPr>
          <w:rStyle w:val="FootnoteReference"/>
          <w:rFonts w:cs="Times New Roman"/>
          <w:szCs w:val="24"/>
        </w:rPr>
        <w:footnoteReference w:id="71"/>
      </w:r>
      <w:r w:rsidR="00A84A21">
        <w:rPr>
          <w:rFonts w:cs="Times New Roman"/>
          <w:szCs w:val="24"/>
        </w:rPr>
        <w:t xml:space="preserve"> </w:t>
      </w:r>
      <w:r w:rsidR="008B1B91" w:rsidRPr="005B66DE">
        <w:rPr>
          <w:rFonts w:cs="Times New Roman"/>
          <w:szCs w:val="24"/>
        </w:rPr>
        <w:t>Bank mergers need to be allowed sufficient time to materialize for them to show the</w:t>
      </w:r>
      <w:r w:rsidR="00A12758">
        <w:rPr>
          <w:rFonts w:cs="Times New Roman"/>
          <w:szCs w:val="24"/>
        </w:rPr>
        <w:t>ir</w:t>
      </w:r>
      <w:r w:rsidR="008B1B91" w:rsidRPr="005B66DE">
        <w:rPr>
          <w:rFonts w:cs="Times New Roman"/>
          <w:szCs w:val="24"/>
        </w:rPr>
        <w:t xml:space="preserve"> significance through improvements in concentration of funds and profitability.</w:t>
      </w:r>
      <w:r w:rsidR="008B1B91" w:rsidRPr="005B66DE">
        <w:rPr>
          <w:rFonts w:cs="Times New Roman"/>
          <w:szCs w:val="24"/>
          <w:vertAlign w:val="superscript"/>
        </w:rPr>
        <w:footnoteReference w:id="72"/>
      </w:r>
      <w:r w:rsidR="008B1B91" w:rsidRPr="005B66DE">
        <w:rPr>
          <w:rFonts w:cs="Times New Roman"/>
          <w:szCs w:val="24"/>
        </w:rPr>
        <w:t xml:space="preserve"> This can only be viewed from studying long term effects of the merger rather than </w:t>
      </w:r>
      <w:r w:rsidR="00A12758">
        <w:rPr>
          <w:rFonts w:cs="Times New Roman"/>
          <w:szCs w:val="24"/>
        </w:rPr>
        <w:t xml:space="preserve">the </w:t>
      </w:r>
      <w:r w:rsidR="008B1B91" w:rsidRPr="005B66DE">
        <w:rPr>
          <w:rFonts w:cs="Times New Roman"/>
          <w:szCs w:val="24"/>
        </w:rPr>
        <w:t>short term effects..</w:t>
      </w:r>
    </w:p>
    <w:p w14:paraId="532AF56C" w14:textId="77777777" w:rsidR="00A664BE" w:rsidRPr="00A664BE" w:rsidRDefault="00A664BE" w:rsidP="00A664BE"/>
    <w:p w14:paraId="45055D34" w14:textId="5B5172FB" w:rsidR="003E733D" w:rsidRDefault="00E05563" w:rsidP="006A35E3">
      <w:pPr>
        <w:pStyle w:val="Heading2"/>
        <w:numPr>
          <w:ilvl w:val="1"/>
          <w:numId w:val="2"/>
        </w:numPr>
      </w:pPr>
      <w:r>
        <w:t xml:space="preserve">     </w:t>
      </w:r>
      <w:r w:rsidR="003E733D">
        <w:t xml:space="preserve"> </w:t>
      </w:r>
      <w:bookmarkStart w:id="33" w:name="_Toc62552886"/>
      <w:r w:rsidR="00C7087B">
        <w:t xml:space="preserve">LAWS </w:t>
      </w:r>
      <w:r w:rsidR="00636AF0">
        <w:t xml:space="preserve">AND INSTITUTIONS </w:t>
      </w:r>
      <w:r w:rsidR="00D87408">
        <w:t xml:space="preserve">GOVERNING </w:t>
      </w:r>
      <w:r w:rsidR="00C7087B">
        <w:t>BANK MERGERS</w:t>
      </w:r>
      <w:bookmarkEnd w:id="33"/>
    </w:p>
    <w:p w14:paraId="4DD29BCF" w14:textId="1D5F04C6" w:rsidR="00D559C7" w:rsidRPr="00C7087B" w:rsidRDefault="00A12758" w:rsidP="00D559C7">
      <w:pPr>
        <w:spacing w:before="200" w:after="0" w:line="360" w:lineRule="auto"/>
        <w:rPr>
          <w:rFonts w:eastAsia="Times New Roman" w:cs="Times New Roman"/>
          <w:i/>
          <w:szCs w:val="24"/>
        </w:rPr>
      </w:pPr>
      <w:r>
        <w:rPr>
          <w:rFonts w:eastAsia="Times New Roman" w:cs="Times New Roman"/>
          <w:color w:val="000000"/>
          <w:szCs w:val="24"/>
        </w:rPr>
        <w:t xml:space="preserve">Like most industries, the banking industry is regulated by the government in order </w:t>
      </w:r>
      <w:r w:rsidR="00D559C7" w:rsidRPr="005B66DE">
        <w:rPr>
          <w:rFonts w:eastAsia="Times New Roman" w:cs="Times New Roman"/>
          <w:color w:val="000000"/>
          <w:szCs w:val="24"/>
        </w:rPr>
        <w:t>to protect consumers.</w:t>
      </w:r>
      <w:r w:rsidR="00D559C7" w:rsidRPr="005B66DE">
        <w:rPr>
          <w:rFonts w:eastAsia="Times New Roman" w:cs="Times New Roman"/>
          <w:color w:val="000000"/>
          <w:szCs w:val="24"/>
          <w:vertAlign w:val="superscript"/>
        </w:rPr>
        <w:footnoteReference w:id="73"/>
      </w:r>
      <w:r w:rsidR="00D559C7" w:rsidRPr="005B66DE">
        <w:rPr>
          <w:rFonts w:eastAsia="Times New Roman" w:cs="Times New Roman"/>
          <w:color w:val="000000"/>
          <w:szCs w:val="24"/>
        </w:rPr>
        <w:t xml:space="preserve"> The main laws that regulate bank mergers in Kenya are :Banking Act ,Capital Markets Act, Companies Act, Competition Act, East African Competition Act</w:t>
      </w:r>
      <w:r>
        <w:rPr>
          <w:rFonts w:eastAsia="Times New Roman" w:cs="Times New Roman"/>
          <w:color w:val="000000"/>
          <w:szCs w:val="24"/>
        </w:rPr>
        <w:t xml:space="preserve"> and the COMESA Competition Rules</w:t>
      </w:r>
      <w:r w:rsidR="00D559C7" w:rsidRPr="005B66DE">
        <w:rPr>
          <w:rFonts w:eastAsia="Times New Roman" w:cs="Times New Roman"/>
          <w:color w:val="000000"/>
          <w:szCs w:val="24"/>
        </w:rPr>
        <w:t xml:space="preserve">. For most of these legal frameworks, a regulatory framework has been </w:t>
      </w:r>
      <w:r w:rsidR="00D559C7" w:rsidRPr="00C7087B">
        <w:rPr>
          <w:rFonts w:eastAsia="Times New Roman" w:cs="Times New Roman"/>
          <w:color w:val="000000"/>
          <w:szCs w:val="24"/>
        </w:rPr>
        <w:t>established.</w:t>
      </w:r>
    </w:p>
    <w:p w14:paraId="23B02DE4" w14:textId="3AF99FC2" w:rsidR="00D559C7" w:rsidRPr="00636AF0" w:rsidRDefault="00D559C7" w:rsidP="006A35E3">
      <w:pPr>
        <w:pStyle w:val="Heading3"/>
        <w:numPr>
          <w:ilvl w:val="0"/>
          <w:numId w:val="14"/>
        </w:numPr>
        <w:rPr>
          <w:rFonts w:eastAsia="Times New Roman"/>
          <w:i/>
        </w:rPr>
      </w:pPr>
      <w:bookmarkStart w:id="34" w:name="_Toc62552887"/>
      <w:r w:rsidRPr="00C7087B">
        <w:rPr>
          <w:rFonts w:eastAsia="Times New Roman"/>
          <w:i/>
        </w:rPr>
        <w:t>Competition Act</w:t>
      </w:r>
      <w:r w:rsidR="00636AF0">
        <w:rPr>
          <w:rFonts w:eastAsia="Times New Roman"/>
          <w:i/>
        </w:rPr>
        <w:t xml:space="preserve"> and </w:t>
      </w:r>
      <w:r w:rsidR="00636AF0" w:rsidRPr="00636AF0">
        <w:rPr>
          <w:rFonts w:eastAsia="Times New Roman"/>
          <w:i/>
        </w:rPr>
        <w:t xml:space="preserve">the </w:t>
      </w:r>
      <w:r w:rsidR="00636AF0" w:rsidRPr="00636AF0">
        <w:rPr>
          <w:rFonts w:eastAsia="Times New Roman" w:cs="Times New Roman"/>
          <w:i/>
          <w:color w:val="000000"/>
        </w:rPr>
        <w:t>Competition Authority of Kenya (CAK)</w:t>
      </w:r>
      <w:bookmarkEnd w:id="34"/>
    </w:p>
    <w:p w14:paraId="73CEA6F1" w14:textId="2E018D2D" w:rsidR="00F12884" w:rsidRDefault="00D67E26" w:rsidP="00D559C7">
      <w:pPr>
        <w:spacing w:before="200" w:after="0" w:line="360" w:lineRule="auto"/>
        <w:rPr>
          <w:rFonts w:eastAsia="Times New Roman" w:cs="Times New Roman"/>
          <w:szCs w:val="24"/>
        </w:rPr>
      </w:pPr>
      <w:r>
        <w:rPr>
          <w:rFonts w:eastAsia="Times New Roman" w:cs="Times New Roman"/>
          <w:color w:val="000000"/>
          <w:szCs w:val="24"/>
        </w:rPr>
        <w:t>This is the primary legislation governing mergers in Keny</w:t>
      </w:r>
      <w:r w:rsidR="00EC6C9F">
        <w:rPr>
          <w:rFonts w:eastAsia="Times New Roman" w:cs="Times New Roman"/>
          <w:color w:val="000000"/>
          <w:szCs w:val="24"/>
        </w:rPr>
        <w:t>a;</w:t>
      </w:r>
      <w:r>
        <w:rPr>
          <w:rFonts w:eastAsia="Times New Roman" w:cs="Times New Roman"/>
          <w:color w:val="000000"/>
          <w:szCs w:val="24"/>
        </w:rPr>
        <w:t xml:space="preserve"> </w:t>
      </w:r>
      <w:r w:rsidR="00EC6C9F">
        <w:rPr>
          <w:rFonts w:eastAsia="Times New Roman" w:cs="Times New Roman"/>
          <w:color w:val="000000"/>
          <w:szCs w:val="24"/>
        </w:rPr>
        <w:t>i</w:t>
      </w:r>
      <w:r>
        <w:rPr>
          <w:rFonts w:eastAsia="Times New Roman" w:cs="Times New Roman"/>
          <w:color w:val="000000"/>
          <w:szCs w:val="24"/>
        </w:rPr>
        <w:t>t provides that n</w:t>
      </w:r>
      <w:r w:rsidR="00D559C7" w:rsidRPr="005B66DE">
        <w:rPr>
          <w:rFonts w:eastAsia="Times New Roman" w:cs="Times New Roman"/>
          <w:color w:val="000000"/>
          <w:szCs w:val="24"/>
        </w:rPr>
        <w:t xml:space="preserve">o person may implement a proposed merger without approval of the </w:t>
      </w:r>
      <w:r>
        <w:rPr>
          <w:rFonts w:eastAsia="Times New Roman" w:cs="Times New Roman"/>
          <w:color w:val="000000"/>
          <w:szCs w:val="24"/>
        </w:rPr>
        <w:t xml:space="preserve">Competition </w:t>
      </w:r>
      <w:r w:rsidR="00EC6C9F">
        <w:rPr>
          <w:rFonts w:eastAsia="Times New Roman" w:cs="Times New Roman"/>
          <w:color w:val="000000"/>
          <w:szCs w:val="24"/>
        </w:rPr>
        <w:t>Authority</w:t>
      </w:r>
      <w:r>
        <w:rPr>
          <w:rFonts w:eastAsia="Times New Roman" w:cs="Times New Roman"/>
          <w:color w:val="000000"/>
          <w:szCs w:val="24"/>
        </w:rPr>
        <w:t xml:space="preserve"> of Kenya</w:t>
      </w:r>
      <w:r w:rsidR="00EC6C9F">
        <w:rPr>
          <w:rFonts w:eastAsia="Times New Roman" w:cs="Times New Roman"/>
          <w:color w:val="000000"/>
          <w:szCs w:val="24"/>
        </w:rPr>
        <w:t xml:space="preserve"> (CAK) and further mandates parties to a merger to comply with any conditions as provided by the CAK</w:t>
      </w:r>
      <w:r w:rsidR="00D559C7" w:rsidRPr="005B66DE">
        <w:rPr>
          <w:rFonts w:eastAsia="Times New Roman" w:cs="Times New Roman"/>
          <w:color w:val="000000"/>
          <w:szCs w:val="24"/>
        </w:rPr>
        <w:t>.</w:t>
      </w:r>
      <w:r w:rsidR="00D559C7" w:rsidRPr="005B66DE">
        <w:rPr>
          <w:rFonts w:eastAsia="Times New Roman" w:cs="Times New Roman"/>
          <w:color w:val="000000"/>
          <w:szCs w:val="24"/>
          <w:vertAlign w:val="superscript"/>
        </w:rPr>
        <w:footnoteReference w:id="74"/>
      </w:r>
      <w:r w:rsidR="00F12884">
        <w:rPr>
          <w:rFonts w:eastAsia="Times New Roman" w:cs="Times New Roman"/>
          <w:szCs w:val="24"/>
        </w:rPr>
        <w:t xml:space="preserve"> </w:t>
      </w:r>
    </w:p>
    <w:p w14:paraId="103B5165" w14:textId="751000E3" w:rsidR="00D559C7" w:rsidRPr="005B66DE" w:rsidRDefault="000969CA" w:rsidP="00D559C7">
      <w:pPr>
        <w:spacing w:before="200" w:after="0" w:line="360" w:lineRule="auto"/>
        <w:rPr>
          <w:rFonts w:eastAsia="Times New Roman" w:cs="Times New Roman"/>
          <w:szCs w:val="24"/>
        </w:rPr>
      </w:pPr>
      <w:r w:rsidRPr="000969CA">
        <w:rPr>
          <w:rFonts w:eastAsia="Times New Roman" w:cs="Times New Roman"/>
          <w:color w:val="000000"/>
          <w:szCs w:val="24"/>
        </w:rPr>
        <w:t>Parties submitting</w:t>
      </w:r>
      <w:r w:rsidR="00D559C7" w:rsidRPr="000969CA">
        <w:rPr>
          <w:rFonts w:eastAsia="Times New Roman" w:cs="Times New Roman"/>
          <w:color w:val="000000"/>
          <w:szCs w:val="24"/>
        </w:rPr>
        <w:t xml:space="preserve"> to undertake a merger </w:t>
      </w:r>
      <w:r w:rsidRPr="000969CA">
        <w:rPr>
          <w:rFonts w:eastAsia="Times New Roman" w:cs="Times New Roman"/>
          <w:color w:val="000000"/>
          <w:szCs w:val="24"/>
        </w:rPr>
        <w:t xml:space="preserve">have to </w:t>
      </w:r>
      <w:r w:rsidR="00D559C7" w:rsidRPr="000969CA">
        <w:rPr>
          <w:rFonts w:eastAsia="Times New Roman" w:cs="Times New Roman"/>
          <w:color w:val="000000"/>
          <w:szCs w:val="24"/>
        </w:rPr>
        <w:t xml:space="preserve">notify the </w:t>
      </w:r>
      <w:r w:rsidR="00EC6C9F" w:rsidRPr="000969CA">
        <w:rPr>
          <w:rFonts w:eastAsia="Times New Roman" w:cs="Times New Roman"/>
          <w:color w:val="000000"/>
          <w:szCs w:val="24"/>
        </w:rPr>
        <w:t xml:space="preserve">CAK </w:t>
      </w:r>
      <w:r w:rsidR="00D559C7" w:rsidRPr="000969CA">
        <w:rPr>
          <w:rFonts w:eastAsia="Times New Roman" w:cs="Times New Roman"/>
          <w:color w:val="000000"/>
          <w:szCs w:val="24"/>
        </w:rPr>
        <w:t>in writing.</w:t>
      </w:r>
      <w:r w:rsidR="00D559C7" w:rsidRPr="000969CA">
        <w:rPr>
          <w:rFonts w:eastAsia="Times New Roman" w:cs="Times New Roman"/>
          <w:color w:val="000000"/>
          <w:szCs w:val="24"/>
          <w:vertAlign w:val="superscript"/>
        </w:rPr>
        <w:footnoteReference w:id="75"/>
      </w:r>
      <w:r w:rsidR="00D559C7" w:rsidRPr="005B66DE">
        <w:rPr>
          <w:rFonts w:eastAsia="Times New Roman" w:cs="Times New Roman"/>
          <w:color w:val="000000"/>
          <w:szCs w:val="24"/>
        </w:rPr>
        <w:t xml:space="preserve"> However, it is important to note that approval by them does not relieve the concerned entities of the obligations </w:t>
      </w:r>
      <w:r w:rsidR="00D559C7" w:rsidRPr="000969CA">
        <w:rPr>
          <w:rFonts w:eastAsia="Times New Roman" w:cs="Times New Roman"/>
          <w:color w:val="000000"/>
          <w:szCs w:val="24"/>
        </w:rPr>
        <w:t>to comply with any other applicable laws.</w:t>
      </w:r>
      <w:r w:rsidR="00D559C7" w:rsidRPr="000969CA">
        <w:rPr>
          <w:rFonts w:eastAsia="Times New Roman" w:cs="Times New Roman"/>
          <w:color w:val="000000"/>
          <w:szCs w:val="24"/>
          <w:vertAlign w:val="superscript"/>
        </w:rPr>
        <w:footnoteReference w:id="76"/>
      </w:r>
      <w:r w:rsidR="00F12884" w:rsidRPr="000969CA">
        <w:rPr>
          <w:rFonts w:eastAsia="Times New Roman" w:cs="Times New Roman"/>
          <w:szCs w:val="24"/>
        </w:rPr>
        <w:t xml:space="preserve"> </w:t>
      </w:r>
      <w:r w:rsidR="00D559C7" w:rsidRPr="000969CA">
        <w:rPr>
          <w:rFonts w:eastAsia="Times New Roman" w:cs="Times New Roman"/>
          <w:color w:val="000000"/>
          <w:szCs w:val="24"/>
        </w:rPr>
        <w:t>The</w:t>
      </w:r>
      <w:r w:rsidR="00EC6C9F" w:rsidRPr="000969CA">
        <w:rPr>
          <w:rFonts w:eastAsia="Times New Roman" w:cs="Times New Roman"/>
          <w:color w:val="000000"/>
          <w:szCs w:val="24"/>
        </w:rPr>
        <w:t xml:space="preserve"> CAK</w:t>
      </w:r>
      <w:r w:rsidRPr="000969CA">
        <w:rPr>
          <w:rFonts w:eastAsia="Times New Roman" w:cs="Times New Roman"/>
          <w:color w:val="000000"/>
          <w:szCs w:val="24"/>
        </w:rPr>
        <w:t xml:space="preserve"> after being notified of the merger proposed</w:t>
      </w:r>
      <w:r w:rsidR="00EC6C9F" w:rsidRPr="000969CA">
        <w:rPr>
          <w:rFonts w:eastAsia="Times New Roman" w:cs="Times New Roman"/>
          <w:color w:val="000000"/>
          <w:szCs w:val="24"/>
        </w:rPr>
        <w:t xml:space="preserve">, </w:t>
      </w:r>
      <w:r w:rsidRPr="000969CA">
        <w:rPr>
          <w:rFonts w:eastAsia="Times New Roman" w:cs="Times New Roman"/>
          <w:color w:val="000000"/>
          <w:szCs w:val="24"/>
        </w:rPr>
        <w:lastRenderedPageBreak/>
        <w:t>they</w:t>
      </w:r>
      <w:r w:rsidR="00D559C7" w:rsidRPr="000969CA">
        <w:rPr>
          <w:rFonts w:eastAsia="Times New Roman" w:cs="Times New Roman"/>
          <w:color w:val="000000"/>
          <w:szCs w:val="24"/>
        </w:rPr>
        <w:t xml:space="preserve"> are required to review and make a determination within sixty days from the date of notification.</w:t>
      </w:r>
      <w:r w:rsidR="00D559C7" w:rsidRPr="000969CA">
        <w:rPr>
          <w:rFonts w:eastAsia="Times New Roman" w:cs="Times New Roman"/>
          <w:color w:val="000000"/>
          <w:szCs w:val="24"/>
          <w:vertAlign w:val="superscript"/>
        </w:rPr>
        <w:footnoteReference w:id="77"/>
      </w:r>
    </w:p>
    <w:p w14:paraId="4EAE3C20" w14:textId="1934A1F3" w:rsidR="00D559C7" w:rsidRPr="005B66DE" w:rsidRDefault="00D559C7" w:rsidP="00D559C7">
      <w:pPr>
        <w:spacing w:before="200" w:after="0" w:line="360" w:lineRule="auto"/>
        <w:rPr>
          <w:rFonts w:eastAsia="Times New Roman" w:cs="Times New Roman"/>
          <w:szCs w:val="24"/>
        </w:rPr>
      </w:pPr>
      <w:r w:rsidRPr="005B66DE">
        <w:rPr>
          <w:rFonts w:eastAsia="Times New Roman" w:cs="Times New Roman"/>
          <w:color w:val="000000"/>
          <w:szCs w:val="24"/>
        </w:rPr>
        <w:t>If the parties proposing to merge provide materially incorrect or misleading information,</w:t>
      </w:r>
      <w:r w:rsidR="00F12884">
        <w:rPr>
          <w:rFonts w:eastAsia="Times New Roman" w:cs="Times New Roman"/>
          <w:color w:val="000000"/>
          <w:szCs w:val="24"/>
        </w:rPr>
        <w:t xml:space="preserve"> </w:t>
      </w:r>
      <w:r w:rsidRPr="005B66DE">
        <w:rPr>
          <w:rFonts w:eastAsia="Times New Roman" w:cs="Times New Roman"/>
          <w:color w:val="000000"/>
          <w:szCs w:val="24"/>
        </w:rPr>
        <w:t>or fail to comply with the material information, the Authority may revoke its decision approving implementation.</w:t>
      </w:r>
      <w:r w:rsidRPr="005B66DE">
        <w:rPr>
          <w:rFonts w:eastAsia="Times New Roman" w:cs="Times New Roman"/>
          <w:color w:val="000000"/>
          <w:szCs w:val="24"/>
          <w:vertAlign w:val="superscript"/>
        </w:rPr>
        <w:footnoteReference w:id="78"/>
      </w:r>
      <w:r w:rsidRPr="005B66DE">
        <w:rPr>
          <w:rFonts w:eastAsia="Times New Roman" w:cs="Times New Roman"/>
          <w:color w:val="000000"/>
          <w:szCs w:val="24"/>
        </w:rPr>
        <w:t xml:space="preserve"> Parties that are not satisfied with the decision of the Authority may submit their grievances to the Competition Tribunal.</w:t>
      </w:r>
      <w:r w:rsidRPr="005B66DE">
        <w:rPr>
          <w:rFonts w:eastAsia="Times New Roman" w:cs="Times New Roman"/>
          <w:color w:val="000000"/>
          <w:szCs w:val="24"/>
          <w:vertAlign w:val="superscript"/>
        </w:rPr>
        <w:footnoteReference w:id="79"/>
      </w:r>
      <w:r w:rsidRPr="005B66DE">
        <w:rPr>
          <w:rFonts w:eastAsia="Times New Roman" w:cs="Times New Roman"/>
          <w:color w:val="000000"/>
          <w:szCs w:val="24"/>
        </w:rPr>
        <w:t xml:space="preserve"> If dissatisfied with the decision of the Tribunal, they may take their case to the high court, whose decision will be final.</w:t>
      </w:r>
      <w:r w:rsidRPr="005B66DE">
        <w:rPr>
          <w:rFonts w:eastAsia="Times New Roman" w:cs="Times New Roman"/>
          <w:color w:val="000000"/>
          <w:szCs w:val="24"/>
          <w:vertAlign w:val="superscript"/>
        </w:rPr>
        <w:footnoteReference w:id="80"/>
      </w:r>
    </w:p>
    <w:p w14:paraId="0D456674" w14:textId="15729B8A" w:rsidR="00D559C7" w:rsidRPr="00C7087B" w:rsidRDefault="00D559C7" w:rsidP="006A35E3">
      <w:pPr>
        <w:pStyle w:val="Heading3"/>
        <w:numPr>
          <w:ilvl w:val="0"/>
          <w:numId w:val="14"/>
        </w:numPr>
        <w:rPr>
          <w:rFonts w:eastAsia="Times New Roman"/>
          <w:i/>
        </w:rPr>
      </w:pPr>
      <w:bookmarkStart w:id="35" w:name="_Toc62552888"/>
      <w:r w:rsidRPr="00C7087B">
        <w:rPr>
          <w:rFonts w:eastAsia="Times New Roman"/>
          <w:i/>
        </w:rPr>
        <w:t>Companies Act</w:t>
      </w:r>
      <w:r w:rsidR="00636AF0">
        <w:rPr>
          <w:rFonts w:eastAsia="Times New Roman"/>
          <w:i/>
        </w:rPr>
        <w:t xml:space="preserve"> and the Registrar of Companies</w:t>
      </w:r>
      <w:bookmarkEnd w:id="35"/>
    </w:p>
    <w:p w14:paraId="2E79B062" w14:textId="6C4C12A6" w:rsidR="00D559C7" w:rsidRPr="005B66DE" w:rsidRDefault="00A12758" w:rsidP="00D559C7">
      <w:pPr>
        <w:spacing w:before="200" w:after="0" w:line="360" w:lineRule="auto"/>
        <w:rPr>
          <w:rFonts w:eastAsia="Times New Roman" w:cs="Times New Roman"/>
          <w:szCs w:val="24"/>
        </w:rPr>
      </w:pPr>
      <w:r>
        <w:rPr>
          <w:rFonts w:eastAsia="Times New Roman" w:cs="Times New Roman"/>
          <w:color w:val="000000"/>
          <w:szCs w:val="24"/>
        </w:rPr>
        <w:t xml:space="preserve">The 2015 act part XXXV provides a </w:t>
      </w:r>
      <w:r w:rsidR="00D559C7" w:rsidRPr="005B66DE">
        <w:rPr>
          <w:rFonts w:eastAsia="Times New Roman" w:cs="Times New Roman"/>
          <w:color w:val="000000"/>
          <w:szCs w:val="24"/>
        </w:rPr>
        <w:t xml:space="preserve">framework of handling mergers and acquisitions of public </w:t>
      </w:r>
      <w:r w:rsidR="00D559C7" w:rsidRPr="00D30FD5">
        <w:rPr>
          <w:rFonts w:eastAsia="Times New Roman" w:cs="Times New Roman"/>
          <w:color w:val="000000"/>
          <w:szCs w:val="24"/>
        </w:rPr>
        <w:t xml:space="preserve">companies. </w:t>
      </w:r>
      <w:r w:rsidR="000969CA" w:rsidRPr="00D30FD5">
        <w:rPr>
          <w:rFonts w:eastAsia="Times New Roman" w:cs="Times New Roman"/>
          <w:color w:val="000000"/>
          <w:szCs w:val="24"/>
        </w:rPr>
        <w:t>The d</w:t>
      </w:r>
      <w:r w:rsidR="00D559C7" w:rsidRPr="00D30FD5">
        <w:rPr>
          <w:rFonts w:eastAsia="Times New Roman" w:cs="Times New Roman"/>
          <w:color w:val="000000"/>
          <w:szCs w:val="24"/>
        </w:rPr>
        <w:t>ir</w:t>
      </w:r>
      <w:r w:rsidR="000969CA" w:rsidRPr="00D30FD5">
        <w:rPr>
          <w:rFonts w:eastAsia="Times New Roman" w:cs="Times New Roman"/>
          <w:color w:val="000000"/>
          <w:szCs w:val="24"/>
        </w:rPr>
        <w:t>ectors of </w:t>
      </w:r>
      <w:r w:rsidR="00D559C7" w:rsidRPr="00D30FD5">
        <w:rPr>
          <w:rFonts w:eastAsia="Times New Roman" w:cs="Times New Roman"/>
          <w:color w:val="000000"/>
          <w:szCs w:val="24"/>
        </w:rPr>
        <w:t xml:space="preserve">companies </w:t>
      </w:r>
      <w:r w:rsidR="000969CA" w:rsidRPr="00D30FD5">
        <w:rPr>
          <w:rFonts w:eastAsia="Times New Roman" w:cs="Times New Roman"/>
          <w:color w:val="000000"/>
          <w:szCs w:val="24"/>
        </w:rPr>
        <w:t xml:space="preserve">that are merging need to </w:t>
      </w:r>
      <w:r w:rsidR="00D559C7" w:rsidRPr="00D30FD5">
        <w:rPr>
          <w:rFonts w:eastAsia="Times New Roman" w:cs="Times New Roman"/>
          <w:color w:val="000000"/>
          <w:szCs w:val="24"/>
        </w:rPr>
        <w:t xml:space="preserve">prepare terms of the scheme of </w:t>
      </w:r>
      <w:r w:rsidR="000969CA" w:rsidRPr="00D30FD5">
        <w:rPr>
          <w:rFonts w:eastAsia="Times New Roman" w:cs="Times New Roman"/>
          <w:color w:val="000000"/>
          <w:szCs w:val="24"/>
        </w:rPr>
        <w:t xml:space="preserve">the proposed merger with information about </w:t>
      </w:r>
      <w:r w:rsidR="00D30FD5" w:rsidRPr="00D30FD5">
        <w:rPr>
          <w:rFonts w:eastAsia="Times New Roman" w:cs="Times New Roman"/>
          <w:color w:val="000000"/>
          <w:szCs w:val="24"/>
        </w:rPr>
        <w:t xml:space="preserve">their </w:t>
      </w:r>
      <w:r w:rsidR="00D559C7" w:rsidRPr="00D30FD5">
        <w:rPr>
          <w:rFonts w:eastAsia="Times New Roman" w:cs="Times New Roman"/>
          <w:color w:val="000000"/>
          <w:szCs w:val="24"/>
        </w:rPr>
        <w:t>share of exchange ratios</w:t>
      </w:r>
      <w:r w:rsidR="00D30FD5" w:rsidRPr="00D30FD5">
        <w:rPr>
          <w:rFonts w:eastAsia="Times New Roman" w:cs="Times New Roman"/>
          <w:color w:val="000000"/>
          <w:szCs w:val="24"/>
        </w:rPr>
        <w:t>, particulars,</w:t>
      </w:r>
      <w:r w:rsidR="00D559C7" w:rsidRPr="00D30FD5">
        <w:rPr>
          <w:rFonts w:eastAsia="Times New Roman" w:cs="Times New Roman"/>
          <w:color w:val="000000"/>
          <w:szCs w:val="24"/>
        </w:rPr>
        <w:t xml:space="preserve"> and amount of cash to be paid.</w:t>
      </w:r>
      <w:r w:rsidR="00D559C7" w:rsidRPr="005B66DE">
        <w:rPr>
          <w:rFonts w:eastAsia="Times New Roman" w:cs="Times New Roman"/>
          <w:color w:val="000000"/>
          <w:szCs w:val="24"/>
          <w:vertAlign w:val="superscript"/>
        </w:rPr>
        <w:footnoteReference w:id="81"/>
      </w:r>
      <w:r w:rsidR="00F12884">
        <w:rPr>
          <w:rFonts w:eastAsia="Times New Roman" w:cs="Times New Roman"/>
          <w:szCs w:val="24"/>
        </w:rPr>
        <w:t xml:space="preserve"> </w:t>
      </w:r>
      <w:r w:rsidR="00D559C7" w:rsidRPr="005B66DE">
        <w:rPr>
          <w:rFonts w:eastAsia="Times New Roman" w:cs="Times New Roman"/>
          <w:color w:val="000000"/>
          <w:szCs w:val="24"/>
        </w:rPr>
        <w:t>The directors of each merging parties are required to lodge the terms of proposed merger with the Registrar of Companies.</w:t>
      </w:r>
      <w:r w:rsidR="00D559C7" w:rsidRPr="005B66DE">
        <w:rPr>
          <w:rFonts w:eastAsia="Times New Roman" w:cs="Times New Roman"/>
          <w:color w:val="000000"/>
          <w:szCs w:val="24"/>
          <w:vertAlign w:val="superscript"/>
        </w:rPr>
        <w:footnoteReference w:id="82"/>
      </w:r>
    </w:p>
    <w:p w14:paraId="0D705D1F" w14:textId="299946AD" w:rsidR="00D559C7" w:rsidRPr="00F12884" w:rsidRDefault="00D559C7" w:rsidP="006A35E3">
      <w:pPr>
        <w:pStyle w:val="Heading3"/>
        <w:numPr>
          <w:ilvl w:val="0"/>
          <w:numId w:val="14"/>
        </w:numPr>
        <w:rPr>
          <w:rFonts w:eastAsia="Times New Roman"/>
          <w:i/>
        </w:rPr>
      </w:pPr>
      <w:bookmarkStart w:id="36" w:name="_Toc62552889"/>
      <w:r w:rsidRPr="00F12884">
        <w:rPr>
          <w:rFonts w:eastAsia="Times New Roman"/>
          <w:i/>
        </w:rPr>
        <w:t>Capital Markets Act</w:t>
      </w:r>
      <w:r w:rsidR="00636AF0">
        <w:rPr>
          <w:rFonts w:eastAsia="Times New Roman"/>
          <w:i/>
        </w:rPr>
        <w:t xml:space="preserve"> and the Cabinet Secretary for Finance</w:t>
      </w:r>
      <w:bookmarkEnd w:id="36"/>
    </w:p>
    <w:p w14:paraId="6922F8EC" w14:textId="3A3F719F" w:rsidR="00D559C7" w:rsidRPr="005B66DE" w:rsidRDefault="00D559C7" w:rsidP="00D559C7">
      <w:pPr>
        <w:spacing w:before="200" w:after="0" w:line="360" w:lineRule="auto"/>
        <w:rPr>
          <w:rFonts w:eastAsia="Times New Roman" w:cs="Times New Roman"/>
          <w:szCs w:val="24"/>
        </w:rPr>
      </w:pPr>
      <w:r w:rsidRPr="005B66DE">
        <w:rPr>
          <w:rFonts w:eastAsia="Times New Roman" w:cs="Times New Roman"/>
          <w:color w:val="000000"/>
          <w:szCs w:val="24"/>
        </w:rPr>
        <w:t xml:space="preserve">This Act </w:t>
      </w:r>
      <w:r w:rsidRPr="00D30FD5">
        <w:rPr>
          <w:rFonts w:eastAsia="Times New Roman" w:cs="Times New Roman"/>
          <w:color w:val="000000"/>
          <w:szCs w:val="24"/>
        </w:rPr>
        <w:t>regulates Public Companies listed on the Nairobi Securities Exchange i</w:t>
      </w:r>
      <w:r w:rsidR="00EC6C9F" w:rsidRPr="00D30FD5">
        <w:rPr>
          <w:rFonts w:eastAsia="Times New Roman" w:cs="Times New Roman"/>
          <w:color w:val="000000"/>
          <w:szCs w:val="24"/>
        </w:rPr>
        <w:t>ncluding commercial banks</w:t>
      </w:r>
      <w:r w:rsidRPr="00D30FD5">
        <w:rPr>
          <w:rFonts w:eastAsia="Times New Roman" w:cs="Times New Roman"/>
          <w:color w:val="000000"/>
          <w:szCs w:val="24"/>
        </w:rPr>
        <w:t>.</w:t>
      </w:r>
      <w:r w:rsidRPr="00D30FD5">
        <w:rPr>
          <w:rFonts w:eastAsia="Times New Roman" w:cs="Times New Roman"/>
          <w:color w:val="000000"/>
          <w:szCs w:val="24"/>
          <w:vertAlign w:val="superscript"/>
        </w:rPr>
        <w:footnoteReference w:id="83"/>
      </w:r>
      <w:r w:rsidR="00F12884" w:rsidRPr="00D30FD5">
        <w:rPr>
          <w:rFonts w:eastAsia="Times New Roman" w:cs="Times New Roman"/>
          <w:szCs w:val="24"/>
        </w:rPr>
        <w:t xml:space="preserve"> </w:t>
      </w:r>
      <w:r w:rsidRPr="00D30FD5">
        <w:rPr>
          <w:rFonts w:eastAsia="Times New Roman" w:cs="Times New Roman"/>
          <w:color w:val="000000"/>
          <w:szCs w:val="24"/>
        </w:rPr>
        <w:t xml:space="preserve">Section 12 of the Act </w:t>
      </w:r>
      <w:r w:rsidR="00D30FD5" w:rsidRPr="00D30FD5">
        <w:rPr>
          <w:rFonts w:eastAsia="Times New Roman" w:cs="Times New Roman"/>
          <w:color w:val="000000"/>
          <w:szCs w:val="24"/>
        </w:rPr>
        <w:t>give</w:t>
      </w:r>
      <w:r w:rsidRPr="00D30FD5">
        <w:rPr>
          <w:rFonts w:eastAsia="Times New Roman" w:cs="Times New Roman"/>
          <w:color w:val="000000"/>
          <w:szCs w:val="24"/>
        </w:rPr>
        <w:t>s power to the Cabinet Secretary for Finance to make regulations necessary to regulate various aspects of the capital market in Kenya. Hence, the Capital Markets (Mergers and Takeovers) Regulations were made. The CMA regulations guide</w:t>
      </w:r>
      <w:r w:rsidRPr="005B66DE">
        <w:rPr>
          <w:rFonts w:eastAsia="Times New Roman" w:cs="Times New Roman"/>
          <w:color w:val="000000"/>
          <w:szCs w:val="24"/>
        </w:rPr>
        <w:t xml:space="preserve"> the parties on information to be provided to various agencies during the merger and lays out the obligations of the parties during the merger.</w:t>
      </w:r>
      <w:r w:rsidRPr="005B66DE">
        <w:rPr>
          <w:rFonts w:eastAsia="Times New Roman" w:cs="Times New Roman"/>
          <w:color w:val="000000"/>
          <w:szCs w:val="24"/>
          <w:vertAlign w:val="superscript"/>
        </w:rPr>
        <w:footnoteReference w:id="84"/>
      </w:r>
    </w:p>
    <w:p w14:paraId="7DB47628" w14:textId="783936C9" w:rsidR="00D559C7" w:rsidRPr="00C7087B" w:rsidRDefault="00D559C7" w:rsidP="006A35E3">
      <w:pPr>
        <w:pStyle w:val="Heading3"/>
        <w:numPr>
          <w:ilvl w:val="0"/>
          <w:numId w:val="14"/>
        </w:numPr>
        <w:rPr>
          <w:rFonts w:eastAsia="Times New Roman"/>
          <w:i/>
        </w:rPr>
      </w:pPr>
      <w:bookmarkStart w:id="37" w:name="_Toc62552890"/>
      <w:r w:rsidRPr="00C7087B">
        <w:rPr>
          <w:rFonts w:eastAsia="Times New Roman"/>
          <w:i/>
        </w:rPr>
        <w:lastRenderedPageBreak/>
        <w:t>The Banking Act</w:t>
      </w:r>
      <w:r w:rsidR="00636AF0">
        <w:rPr>
          <w:rFonts w:eastAsia="Times New Roman"/>
          <w:i/>
        </w:rPr>
        <w:t>, the Central Bank of Kenya and the Cabinet Secretary for Finance</w:t>
      </w:r>
      <w:bookmarkEnd w:id="37"/>
    </w:p>
    <w:p w14:paraId="3C7A940F" w14:textId="518168DA" w:rsidR="00D559C7" w:rsidRPr="005B66DE" w:rsidRDefault="00D30FD5" w:rsidP="00D559C7">
      <w:pPr>
        <w:spacing w:before="200" w:after="0" w:line="360" w:lineRule="auto"/>
        <w:rPr>
          <w:rFonts w:eastAsia="Times New Roman" w:cs="Times New Roman"/>
          <w:szCs w:val="24"/>
        </w:rPr>
      </w:pPr>
      <w:r w:rsidRPr="002B423A">
        <w:rPr>
          <w:rFonts w:eastAsia="Times New Roman" w:cs="Times New Roman"/>
          <w:color w:val="000000"/>
          <w:szCs w:val="24"/>
        </w:rPr>
        <w:t>The i</w:t>
      </w:r>
      <w:r w:rsidR="00D559C7" w:rsidRPr="002B423A">
        <w:rPr>
          <w:rFonts w:eastAsia="Times New Roman" w:cs="Times New Roman"/>
          <w:color w:val="000000"/>
          <w:szCs w:val="24"/>
        </w:rPr>
        <w:t xml:space="preserve">nstitutions </w:t>
      </w:r>
      <w:r w:rsidRPr="002B423A">
        <w:rPr>
          <w:rFonts w:eastAsia="Times New Roman" w:cs="Times New Roman"/>
          <w:color w:val="000000"/>
          <w:szCs w:val="24"/>
        </w:rPr>
        <w:t xml:space="preserve">that are </w:t>
      </w:r>
      <w:r w:rsidR="00D559C7" w:rsidRPr="002B423A">
        <w:rPr>
          <w:rFonts w:eastAsia="Times New Roman" w:cs="Times New Roman"/>
          <w:color w:val="000000"/>
          <w:szCs w:val="24"/>
        </w:rPr>
        <w:t>licensed under the Banking Act shall not amalgamate, transfer their ass</w:t>
      </w:r>
      <w:r w:rsidRPr="002B423A">
        <w:rPr>
          <w:rFonts w:eastAsia="Times New Roman" w:cs="Times New Roman"/>
          <w:color w:val="000000"/>
          <w:szCs w:val="24"/>
        </w:rPr>
        <w:t>ets or liabilities without the</w:t>
      </w:r>
      <w:r w:rsidR="00D559C7" w:rsidRPr="002B423A">
        <w:rPr>
          <w:rFonts w:eastAsia="Times New Roman" w:cs="Times New Roman"/>
          <w:color w:val="000000"/>
          <w:szCs w:val="24"/>
        </w:rPr>
        <w:t xml:space="preserve"> approval of the Cabinet Secretary for Finance.</w:t>
      </w:r>
      <w:r w:rsidR="00D559C7" w:rsidRPr="002B423A">
        <w:rPr>
          <w:rFonts w:eastAsia="Times New Roman" w:cs="Times New Roman"/>
          <w:color w:val="000000"/>
          <w:szCs w:val="24"/>
          <w:vertAlign w:val="superscript"/>
        </w:rPr>
        <w:footnoteReference w:id="85"/>
      </w:r>
      <w:r w:rsidR="00F12884" w:rsidRPr="002B423A">
        <w:rPr>
          <w:rFonts w:eastAsia="Times New Roman" w:cs="Times New Roman"/>
          <w:szCs w:val="24"/>
        </w:rPr>
        <w:t xml:space="preserve"> </w:t>
      </w:r>
      <w:r w:rsidR="00D559C7" w:rsidRPr="002B423A">
        <w:rPr>
          <w:rFonts w:eastAsia="Times New Roman" w:cs="Times New Roman"/>
          <w:color w:val="000000"/>
          <w:szCs w:val="24"/>
        </w:rPr>
        <w:t xml:space="preserve">Section </w:t>
      </w:r>
      <w:r w:rsidRPr="002B423A">
        <w:rPr>
          <w:rFonts w:eastAsia="Times New Roman" w:cs="Times New Roman"/>
          <w:color w:val="000000"/>
          <w:szCs w:val="24"/>
        </w:rPr>
        <w:t>33(4) of the Banking Act, confers power to</w:t>
      </w:r>
      <w:r w:rsidR="00D559C7" w:rsidRPr="002B423A">
        <w:rPr>
          <w:rFonts w:eastAsia="Times New Roman" w:cs="Times New Roman"/>
          <w:color w:val="000000"/>
          <w:szCs w:val="24"/>
        </w:rPr>
        <w:t xml:space="preserve"> the Central Bank of Kenya to issue guidelines to be </w:t>
      </w:r>
      <w:r w:rsidRPr="002B423A">
        <w:rPr>
          <w:rFonts w:eastAsia="Times New Roman" w:cs="Times New Roman"/>
          <w:color w:val="000000"/>
          <w:szCs w:val="24"/>
        </w:rPr>
        <w:t xml:space="preserve">followed </w:t>
      </w:r>
      <w:r w:rsidR="00D559C7" w:rsidRPr="002B423A">
        <w:rPr>
          <w:rFonts w:eastAsia="Times New Roman" w:cs="Times New Roman"/>
          <w:color w:val="000000"/>
          <w:szCs w:val="24"/>
        </w:rPr>
        <w:t>by institutions in order to main</w:t>
      </w:r>
      <w:r w:rsidRPr="002B423A">
        <w:rPr>
          <w:rFonts w:eastAsia="Times New Roman" w:cs="Times New Roman"/>
          <w:color w:val="000000"/>
          <w:szCs w:val="24"/>
        </w:rPr>
        <w:t xml:space="preserve">tain a sound </w:t>
      </w:r>
      <w:r w:rsidR="00D559C7" w:rsidRPr="002B423A">
        <w:rPr>
          <w:rFonts w:eastAsia="Times New Roman" w:cs="Times New Roman"/>
          <w:color w:val="000000"/>
          <w:szCs w:val="24"/>
        </w:rPr>
        <w:t>banking and financial system.</w:t>
      </w:r>
    </w:p>
    <w:p w14:paraId="144517A3" w14:textId="1D21CAB6" w:rsidR="00D559C7" w:rsidRPr="005B66DE" w:rsidRDefault="00D559C7" w:rsidP="00D559C7">
      <w:pPr>
        <w:spacing w:before="200" w:after="0" w:line="360" w:lineRule="auto"/>
        <w:rPr>
          <w:rFonts w:eastAsia="Times New Roman" w:cs="Times New Roman"/>
          <w:szCs w:val="24"/>
        </w:rPr>
      </w:pPr>
      <w:r w:rsidRPr="002B423A">
        <w:rPr>
          <w:rFonts w:eastAsia="Times New Roman" w:cs="Times New Roman"/>
          <w:color w:val="000000"/>
          <w:szCs w:val="24"/>
        </w:rPr>
        <w:t>The Prudential Guidelines on Mergers, Amalgamations, Transfers of Assets and Liabilities apply to commercial banks licensed under the Banking Act.</w:t>
      </w:r>
      <w:r w:rsidRPr="002B423A">
        <w:rPr>
          <w:rFonts w:eastAsia="Times New Roman" w:cs="Times New Roman"/>
          <w:color w:val="000000"/>
          <w:szCs w:val="24"/>
          <w:vertAlign w:val="superscript"/>
        </w:rPr>
        <w:footnoteReference w:id="86"/>
      </w:r>
      <w:r w:rsidR="00F12884" w:rsidRPr="002B423A">
        <w:rPr>
          <w:rFonts w:eastAsia="Times New Roman" w:cs="Times New Roman"/>
          <w:szCs w:val="24"/>
        </w:rPr>
        <w:t xml:space="preserve"> </w:t>
      </w:r>
      <w:r w:rsidRPr="002B423A">
        <w:rPr>
          <w:rFonts w:eastAsia="Times New Roman" w:cs="Times New Roman"/>
          <w:color w:val="000000"/>
          <w:szCs w:val="24"/>
        </w:rPr>
        <w:t>Merging or amalgamating institutions</w:t>
      </w:r>
      <w:r w:rsidR="003C03FB" w:rsidRPr="002B423A">
        <w:rPr>
          <w:rFonts w:eastAsia="Times New Roman" w:cs="Times New Roman"/>
          <w:color w:val="000000"/>
          <w:szCs w:val="24"/>
        </w:rPr>
        <w:t xml:space="preserve"> should seek first approval from the</w:t>
      </w:r>
      <w:r w:rsidRPr="002B423A">
        <w:rPr>
          <w:rFonts w:eastAsia="Times New Roman" w:cs="Times New Roman"/>
          <w:color w:val="000000"/>
          <w:szCs w:val="24"/>
        </w:rPr>
        <w:t xml:space="preserve"> Central Bank of Kenya for the name </w:t>
      </w:r>
      <w:r w:rsidR="003C03FB" w:rsidRPr="002B423A">
        <w:rPr>
          <w:rFonts w:eastAsia="Times New Roman" w:cs="Times New Roman"/>
          <w:color w:val="000000"/>
          <w:szCs w:val="24"/>
        </w:rPr>
        <w:t>they intend to use in case of a change in name.</w:t>
      </w:r>
      <w:r w:rsidRPr="002B423A">
        <w:rPr>
          <w:rFonts w:eastAsia="Times New Roman" w:cs="Times New Roman"/>
          <w:color w:val="000000"/>
          <w:szCs w:val="24"/>
        </w:rPr>
        <w:t xml:space="preserve"> They should then ascertain with the Registrar of Companies that the selected name is available and is appropriately reserved for their use.</w:t>
      </w:r>
      <w:r w:rsidRPr="002B423A">
        <w:rPr>
          <w:rFonts w:eastAsia="Times New Roman" w:cs="Times New Roman"/>
          <w:color w:val="000000"/>
          <w:szCs w:val="24"/>
          <w:vertAlign w:val="superscript"/>
        </w:rPr>
        <w:footnoteReference w:id="87"/>
      </w:r>
    </w:p>
    <w:p w14:paraId="39A87D1D" w14:textId="674F12BF" w:rsidR="00D559C7" w:rsidRPr="005B66DE" w:rsidRDefault="00D559C7" w:rsidP="00D559C7">
      <w:pPr>
        <w:spacing w:before="200" w:after="0" w:line="360" w:lineRule="auto"/>
        <w:rPr>
          <w:rFonts w:eastAsia="Times New Roman" w:cs="Times New Roman"/>
          <w:szCs w:val="24"/>
        </w:rPr>
      </w:pPr>
      <w:r w:rsidRPr="002B423A">
        <w:rPr>
          <w:rFonts w:eastAsia="Times New Roman" w:cs="Times New Roman"/>
          <w:color w:val="000000"/>
          <w:szCs w:val="24"/>
        </w:rPr>
        <w:t>Parties are also required to provide a long list of information and a letter of approval of the merger from the Competition Authority of Kenya.</w:t>
      </w:r>
      <w:r w:rsidRPr="002B423A">
        <w:rPr>
          <w:rFonts w:eastAsia="Times New Roman" w:cs="Times New Roman"/>
          <w:color w:val="000000"/>
          <w:szCs w:val="24"/>
          <w:vertAlign w:val="superscript"/>
        </w:rPr>
        <w:footnoteReference w:id="88"/>
      </w:r>
      <w:r w:rsidRPr="002B423A">
        <w:rPr>
          <w:rFonts w:eastAsia="Times New Roman" w:cs="Times New Roman"/>
          <w:color w:val="000000"/>
          <w:szCs w:val="24"/>
        </w:rPr>
        <w:t xml:space="preserve"> The</w:t>
      </w:r>
      <w:r w:rsidR="002B423A" w:rsidRPr="002B423A">
        <w:rPr>
          <w:rFonts w:eastAsia="Times New Roman" w:cs="Times New Roman"/>
          <w:color w:val="000000"/>
          <w:szCs w:val="24"/>
        </w:rPr>
        <w:t xml:space="preserve"> merger will only be approved by the</w:t>
      </w:r>
      <w:r w:rsidRPr="002B423A">
        <w:rPr>
          <w:rFonts w:eastAsia="Times New Roman" w:cs="Times New Roman"/>
          <w:color w:val="000000"/>
          <w:szCs w:val="24"/>
        </w:rPr>
        <w:t xml:space="preserve"> Central Bank</w:t>
      </w:r>
      <w:r w:rsidR="002B423A" w:rsidRPr="002B423A">
        <w:rPr>
          <w:rFonts w:eastAsia="Times New Roman" w:cs="Times New Roman"/>
          <w:color w:val="000000"/>
          <w:szCs w:val="24"/>
        </w:rPr>
        <w:t xml:space="preserve"> </w:t>
      </w:r>
      <w:r w:rsidRPr="002B423A">
        <w:rPr>
          <w:rFonts w:eastAsia="Times New Roman" w:cs="Times New Roman"/>
          <w:color w:val="000000"/>
          <w:szCs w:val="24"/>
        </w:rPr>
        <w:t xml:space="preserve">if the application meets its very strict assessment approval </w:t>
      </w:r>
      <w:r w:rsidR="002B423A" w:rsidRPr="002B423A">
        <w:rPr>
          <w:rFonts w:eastAsia="Times New Roman" w:cs="Times New Roman"/>
          <w:color w:val="000000"/>
          <w:szCs w:val="24"/>
        </w:rPr>
        <w:t>requirement</w:t>
      </w:r>
      <w:r w:rsidRPr="002B423A">
        <w:rPr>
          <w:rFonts w:eastAsia="Times New Roman" w:cs="Times New Roman"/>
          <w:color w:val="000000"/>
          <w:szCs w:val="24"/>
          <w:vertAlign w:val="superscript"/>
        </w:rPr>
        <w:footnoteReference w:id="89"/>
      </w:r>
    </w:p>
    <w:p w14:paraId="0FD4A485" w14:textId="22C1FCE7" w:rsidR="00D559C7" w:rsidRPr="00B80328" w:rsidRDefault="00D559C7" w:rsidP="006A35E3">
      <w:pPr>
        <w:pStyle w:val="Heading3"/>
        <w:numPr>
          <w:ilvl w:val="0"/>
          <w:numId w:val="14"/>
        </w:numPr>
        <w:rPr>
          <w:rFonts w:eastAsia="Times New Roman"/>
          <w:i/>
        </w:rPr>
      </w:pPr>
      <w:bookmarkStart w:id="38" w:name="_Toc62552891"/>
      <w:r w:rsidRPr="00B80328">
        <w:rPr>
          <w:rFonts w:eastAsia="Times New Roman"/>
          <w:i/>
        </w:rPr>
        <w:t>East African Community Competition Act</w:t>
      </w:r>
      <w:r w:rsidR="00636AF0" w:rsidRPr="00B80328">
        <w:rPr>
          <w:rFonts w:eastAsia="Times New Roman"/>
          <w:i/>
        </w:rPr>
        <w:t xml:space="preserve"> and </w:t>
      </w:r>
      <w:r w:rsidR="00B80328">
        <w:rPr>
          <w:rFonts w:eastAsia="Times New Roman"/>
          <w:i/>
        </w:rPr>
        <w:t xml:space="preserve">the EAC </w:t>
      </w:r>
      <w:r w:rsidR="00636AF0" w:rsidRPr="00B80328">
        <w:rPr>
          <w:rFonts w:eastAsia="Times New Roman" w:cs="Times New Roman"/>
          <w:i/>
          <w:color w:val="000000"/>
        </w:rPr>
        <w:t>Competition Authority</w:t>
      </w:r>
      <w:bookmarkEnd w:id="38"/>
    </w:p>
    <w:p w14:paraId="14A6E1EA" w14:textId="02E0031B" w:rsidR="00D559C7" w:rsidRPr="005B66DE" w:rsidRDefault="00D559C7" w:rsidP="00D559C7">
      <w:pPr>
        <w:spacing w:before="200" w:after="0" w:line="360" w:lineRule="auto"/>
        <w:rPr>
          <w:rFonts w:eastAsia="Times New Roman" w:cs="Times New Roman"/>
          <w:szCs w:val="24"/>
        </w:rPr>
      </w:pPr>
      <w:r w:rsidRPr="005B66DE">
        <w:rPr>
          <w:rFonts w:eastAsia="Times New Roman" w:cs="Times New Roman"/>
          <w:color w:val="000000"/>
          <w:szCs w:val="24"/>
        </w:rPr>
        <w:t>This Act applies to all economic activities and sectors having cross border effects.</w:t>
      </w:r>
      <w:r w:rsidRPr="005B66DE">
        <w:rPr>
          <w:rFonts w:eastAsia="Times New Roman" w:cs="Times New Roman"/>
          <w:color w:val="000000"/>
          <w:szCs w:val="24"/>
          <w:vertAlign w:val="superscript"/>
        </w:rPr>
        <w:footnoteReference w:id="90"/>
      </w:r>
      <w:r w:rsidRPr="005B66DE">
        <w:rPr>
          <w:rFonts w:eastAsia="Times New Roman" w:cs="Times New Roman"/>
          <w:color w:val="000000"/>
          <w:szCs w:val="24"/>
        </w:rPr>
        <w:t xml:space="preserve"> Part IV of the Act deals with cross border acquisitions and mergers within the EAC. The Act establishes the East African Community Competition Authority.</w:t>
      </w:r>
      <w:r w:rsidRPr="005B66DE">
        <w:rPr>
          <w:rFonts w:eastAsia="Times New Roman" w:cs="Times New Roman"/>
          <w:color w:val="000000"/>
          <w:szCs w:val="24"/>
          <w:vertAlign w:val="superscript"/>
        </w:rPr>
        <w:footnoteReference w:id="91"/>
      </w:r>
      <w:r w:rsidRPr="005B66DE">
        <w:rPr>
          <w:rFonts w:eastAsia="Times New Roman" w:cs="Times New Roman"/>
          <w:color w:val="000000"/>
          <w:szCs w:val="24"/>
        </w:rPr>
        <w:t xml:space="preserve"> Any entity seeking for cross-border merger must notify the Authority.</w:t>
      </w:r>
      <w:r w:rsidRPr="005B66DE">
        <w:rPr>
          <w:rFonts w:eastAsia="Times New Roman" w:cs="Times New Roman"/>
          <w:color w:val="000000"/>
          <w:szCs w:val="24"/>
          <w:vertAlign w:val="superscript"/>
        </w:rPr>
        <w:footnoteReference w:id="92"/>
      </w:r>
      <w:r w:rsidRPr="005B66DE">
        <w:rPr>
          <w:rFonts w:eastAsia="Times New Roman" w:cs="Times New Roman"/>
          <w:color w:val="000000"/>
          <w:szCs w:val="24"/>
        </w:rPr>
        <w:t> </w:t>
      </w:r>
    </w:p>
    <w:p w14:paraId="61357D49" w14:textId="77777777" w:rsidR="00D559C7" w:rsidRPr="005B66DE" w:rsidRDefault="00D559C7" w:rsidP="00D559C7">
      <w:pPr>
        <w:spacing w:before="200" w:after="0" w:line="360" w:lineRule="auto"/>
        <w:rPr>
          <w:rFonts w:eastAsia="Times New Roman" w:cs="Times New Roman"/>
          <w:szCs w:val="24"/>
        </w:rPr>
      </w:pPr>
      <w:r w:rsidRPr="005B66DE">
        <w:rPr>
          <w:rFonts w:eastAsia="Times New Roman" w:cs="Times New Roman"/>
          <w:color w:val="000000"/>
          <w:szCs w:val="24"/>
        </w:rPr>
        <w:t>Whereas the Competition Act requires each of the parties to notify the Authority in writing, this Act only requires one party to make the notification.</w:t>
      </w:r>
      <w:r w:rsidRPr="005B66DE">
        <w:rPr>
          <w:rFonts w:eastAsia="Times New Roman" w:cs="Times New Roman"/>
          <w:color w:val="000000"/>
          <w:szCs w:val="24"/>
          <w:vertAlign w:val="superscript"/>
        </w:rPr>
        <w:footnoteReference w:id="93"/>
      </w:r>
      <w:r w:rsidRPr="005B66DE">
        <w:rPr>
          <w:rFonts w:eastAsia="Times New Roman" w:cs="Times New Roman"/>
          <w:color w:val="000000"/>
          <w:szCs w:val="24"/>
        </w:rPr>
        <w:t xml:space="preserve"> Upon making the application, the Authority </w:t>
      </w:r>
      <w:r w:rsidRPr="005B66DE">
        <w:rPr>
          <w:rFonts w:eastAsia="Times New Roman" w:cs="Times New Roman"/>
          <w:color w:val="000000"/>
          <w:szCs w:val="24"/>
        </w:rPr>
        <w:lastRenderedPageBreak/>
        <w:t>should notify the applicant of its decision within forty-five days failure to which the proposed merger shall be implemented.</w:t>
      </w:r>
      <w:r w:rsidRPr="005B66DE">
        <w:rPr>
          <w:rFonts w:eastAsia="Times New Roman" w:cs="Times New Roman"/>
          <w:color w:val="000000"/>
          <w:szCs w:val="24"/>
          <w:vertAlign w:val="superscript"/>
        </w:rPr>
        <w:footnoteReference w:id="94"/>
      </w:r>
    </w:p>
    <w:p w14:paraId="33226487" w14:textId="314E68CF" w:rsidR="00C7087B" w:rsidRDefault="00D559C7" w:rsidP="00C7087B">
      <w:pPr>
        <w:spacing w:before="200" w:after="0" w:line="360" w:lineRule="auto"/>
        <w:rPr>
          <w:rFonts w:eastAsia="Times New Roman" w:cs="Times New Roman"/>
          <w:color w:val="000000"/>
          <w:szCs w:val="24"/>
        </w:rPr>
      </w:pPr>
      <w:r w:rsidRPr="00687633">
        <w:rPr>
          <w:rFonts w:eastAsia="Times New Roman" w:cs="Times New Roman"/>
          <w:color w:val="000000"/>
          <w:szCs w:val="24"/>
        </w:rPr>
        <w:t>A</w:t>
      </w:r>
      <w:r w:rsidR="002B423A" w:rsidRPr="00687633">
        <w:rPr>
          <w:rFonts w:eastAsia="Times New Roman" w:cs="Times New Roman"/>
          <w:color w:val="000000"/>
          <w:szCs w:val="24"/>
        </w:rPr>
        <w:t xml:space="preserve"> merger or acquisition shall only</w:t>
      </w:r>
      <w:r w:rsidRPr="00687633">
        <w:rPr>
          <w:rFonts w:eastAsia="Times New Roman" w:cs="Times New Roman"/>
          <w:color w:val="000000"/>
          <w:szCs w:val="24"/>
        </w:rPr>
        <w:t xml:space="preserve"> be approved by the Authority if that merger or acquisition leads to the creation, or strengthening of an already subsisting dominant position, and thereby substantially lessening competition in the relevant market.</w:t>
      </w:r>
      <w:r w:rsidRPr="00687633">
        <w:rPr>
          <w:rFonts w:eastAsia="Times New Roman" w:cs="Times New Roman"/>
          <w:color w:val="000000"/>
          <w:szCs w:val="24"/>
          <w:vertAlign w:val="superscript"/>
        </w:rPr>
        <w:footnoteReference w:id="95"/>
      </w:r>
      <w:r w:rsidRPr="005B66DE">
        <w:rPr>
          <w:rFonts w:eastAsia="Times New Roman" w:cs="Times New Roman"/>
          <w:color w:val="000000"/>
          <w:szCs w:val="24"/>
        </w:rPr>
        <w:t xml:space="preserve"> </w:t>
      </w:r>
    </w:p>
    <w:p w14:paraId="026DA002" w14:textId="3F672CDB" w:rsidR="00C7087B" w:rsidRPr="00636AF0" w:rsidRDefault="00C7087B" w:rsidP="006A35E3">
      <w:pPr>
        <w:pStyle w:val="Heading3"/>
        <w:numPr>
          <w:ilvl w:val="0"/>
          <w:numId w:val="14"/>
        </w:numPr>
        <w:spacing w:line="360" w:lineRule="auto"/>
        <w:rPr>
          <w:rFonts w:eastAsia="Times New Roman"/>
          <w:i/>
        </w:rPr>
      </w:pPr>
      <w:bookmarkStart w:id="39" w:name="_Toc62552892"/>
      <w:r w:rsidRPr="00636AF0">
        <w:rPr>
          <w:rFonts w:eastAsia="Times New Roman"/>
          <w:i/>
        </w:rPr>
        <w:t>COMESA Competition Rules</w:t>
      </w:r>
      <w:r w:rsidR="00D87408" w:rsidRPr="00636AF0">
        <w:rPr>
          <w:rFonts w:eastAsia="Times New Roman"/>
          <w:i/>
        </w:rPr>
        <w:t>, 2004</w:t>
      </w:r>
      <w:r w:rsidR="00636AF0" w:rsidRPr="00636AF0">
        <w:rPr>
          <w:rFonts w:eastAsia="Times New Roman"/>
          <w:i/>
        </w:rPr>
        <w:t xml:space="preserve"> and the </w:t>
      </w:r>
      <w:r w:rsidR="00636AF0" w:rsidRPr="00636AF0">
        <w:rPr>
          <w:i/>
        </w:rPr>
        <w:t>COMESA Competition Commission</w:t>
      </w:r>
      <w:bookmarkEnd w:id="39"/>
    </w:p>
    <w:p w14:paraId="6D3B3F1C" w14:textId="01054983" w:rsidR="00D87408" w:rsidRPr="00D87408" w:rsidRDefault="00226AC1" w:rsidP="00D87408">
      <w:pPr>
        <w:spacing w:line="360" w:lineRule="auto"/>
        <w:rPr>
          <w:szCs w:val="24"/>
        </w:rPr>
      </w:pPr>
      <w:r>
        <w:rPr>
          <w:szCs w:val="24"/>
        </w:rPr>
        <w:t>These</w:t>
      </w:r>
      <w:r w:rsidR="00D87408" w:rsidRPr="00D87408">
        <w:rPr>
          <w:szCs w:val="24"/>
        </w:rPr>
        <w:t xml:space="preserve"> rules are ap</w:t>
      </w:r>
      <w:r w:rsidR="00D87408">
        <w:rPr>
          <w:szCs w:val="24"/>
        </w:rPr>
        <w:t>plicable to mergers that fulfil the criteria below</w:t>
      </w:r>
      <w:r w:rsidR="00D87408" w:rsidRPr="00D87408">
        <w:rPr>
          <w:szCs w:val="24"/>
        </w:rPr>
        <w:t xml:space="preserve">: </w:t>
      </w:r>
    </w:p>
    <w:p w14:paraId="65356E3A" w14:textId="6674C5B6" w:rsidR="00D559C7" w:rsidRDefault="00D87408" w:rsidP="006A35E3">
      <w:pPr>
        <w:pStyle w:val="ListParagraph"/>
        <w:numPr>
          <w:ilvl w:val="0"/>
          <w:numId w:val="16"/>
        </w:numPr>
        <w:spacing w:line="360" w:lineRule="auto"/>
        <w:rPr>
          <w:szCs w:val="24"/>
        </w:rPr>
      </w:pPr>
      <w:r w:rsidRPr="00D87408">
        <w:rPr>
          <w:szCs w:val="24"/>
        </w:rPr>
        <w:t xml:space="preserve">Regional dimension </w:t>
      </w:r>
      <w:r w:rsidR="00226AC1">
        <w:rPr>
          <w:szCs w:val="24"/>
        </w:rPr>
        <w:t xml:space="preserve">which refers to a merger in which </w:t>
      </w:r>
      <w:r w:rsidRPr="00D87408">
        <w:rPr>
          <w:szCs w:val="24"/>
        </w:rPr>
        <w:t>either one party or both parties to a merger operate in at least 2 COMESA member states;</w:t>
      </w:r>
      <w:r w:rsidR="00226AC1">
        <w:rPr>
          <w:szCs w:val="24"/>
        </w:rPr>
        <w:t xml:space="preserve"> and</w:t>
      </w:r>
      <w:r>
        <w:rPr>
          <w:rStyle w:val="FootnoteReference"/>
          <w:szCs w:val="24"/>
        </w:rPr>
        <w:footnoteReference w:id="96"/>
      </w:r>
    </w:p>
    <w:p w14:paraId="2EABC9F4" w14:textId="5B5D3AA1" w:rsidR="00D87408" w:rsidRDefault="00D87408" w:rsidP="006A35E3">
      <w:pPr>
        <w:pStyle w:val="ListParagraph"/>
        <w:numPr>
          <w:ilvl w:val="0"/>
          <w:numId w:val="16"/>
        </w:numPr>
        <w:spacing w:line="360" w:lineRule="auto"/>
        <w:rPr>
          <w:szCs w:val="24"/>
        </w:rPr>
      </w:pPr>
      <w:r>
        <w:rPr>
          <w:szCs w:val="24"/>
        </w:rPr>
        <w:t xml:space="preserve">The </w:t>
      </w:r>
      <w:r w:rsidRPr="00EE5A6E">
        <w:rPr>
          <w:szCs w:val="24"/>
        </w:rPr>
        <w:t xml:space="preserve">combined annual turnover or combined value of assets, whichever is higher, in all Common Market of all parties to a merger equals or exceeds USD 50 Million or </w:t>
      </w:r>
      <w:r w:rsidR="00636AF0" w:rsidRPr="00EE5A6E">
        <w:rPr>
          <w:szCs w:val="24"/>
        </w:rPr>
        <w:t>where the annual turnover or</w:t>
      </w:r>
      <w:r w:rsidRPr="00EE5A6E">
        <w:rPr>
          <w:szCs w:val="24"/>
        </w:rPr>
        <w:t xml:space="preserve"> value of assets, whichever is higher, in the Common Market of each of at </w:t>
      </w:r>
      <w:r w:rsidR="00636AF0" w:rsidRPr="00EE5A6E">
        <w:rPr>
          <w:szCs w:val="24"/>
        </w:rPr>
        <w:t>least t</w:t>
      </w:r>
      <w:r w:rsidRPr="00EE5A6E">
        <w:rPr>
          <w:szCs w:val="24"/>
        </w:rPr>
        <w:t>w</w:t>
      </w:r>
      <w:r w:rsidR="00636AF0" w:rsidRPr="00EE5A6E">
        <w:rPr>
          <w:szCs w:val="24"/>
        </w:rPr>
        <w:t>o</w:t>
      </w:r>
      <w:r w:rsidRPr="00EE5A6E">
        <w:rPr>
          <w:szCs w:val="24"/>
        </w:rPr>
        <w:t xml:space="preserve"> of the parties to a merger equals to, or exceeds  USD 10 Million, unless each of the parties to a</w:t>
      </w:r>
      <w:r w:rsidR="00636AF0" w:rsidRPr="00EE5A6E">
        <w:rPr>
          <w:szCs w:val="24"/>
        </w:rPr>
        <w:t xml:space="preserve"> merger achieves at least two-thir</w:t>
      </w:r>
      <w:r w:rsidRPr="00EE5A6E">
        <w:rPr>
          <w:szCs w:val="24"/>
        </w:rPr>
        <w:t>ds of its aggregate turnover or assets in the Common Market within one and the same Member State.</w:t>
      </w:r>
      <w:r>
        <w:rPr>
          <w:szCs w:val="24"/>
        </w:rPr>
        <w:t xml:space="preserve"> </w:t>
      </w:r>
      <w:r w:rsidR="00636AF0">
        <w:rPr>
          <w:rStyle w:val="FootnoteReference"/>
          <w:szCs w:val="24"/>
        </w:rPr>
        <w:footnoteReference w:id="97"/>
      </w:r>
    </w:p>
    <w:p w14:paraId="58CFBAD7" w14:textId="349E56C8" w:rsidR="00C7087B" w:rsidRPr="006A35E3" w:rsidRDefault="003F3747" w:rsidP="006A35E3">
      <w:pPr>
        <w:spacing w:line="360" w:lineRule="auto"/>
        <w:rPr>
          <w:szCs w:val="24"/>
        </w:rPr>
      </w:pPr>
      <w:r>
        <w:rPr>
          <w:szCs w:val="24"/>
        </w:rPr>
        <w:t xml:space="preserve">Notably, </w:t>
      </w:r>
      <w:r w:rsidR="00226AC1">
        <w:rPr>
          <w:szCs w:val="24"/>
        </w:rPr>
        <w:t>if parties</w:t>
      </w:r>
      <w:r w:rsidR="00636AF0">
        <w:rPr>
          <w:szCs w:val="24"/>
        </w:rPr>
        <w:t xml:space="preserve"> t</w:t>
      </w:r>
      <w:r w:rsidR="00226AC1">
        <w:rPr>
          <w:szCs w:val="24"/>
        </w:rPr>
        <w:t xml:space="preserve">o a merger fulfil </w:t>
      </w:r>
      <w:r w:rsidR="00636AF0">
        <w:rPr>
          <w:szCs w:val="24"/>
        </w:rPr>
        <w:t>the above condition, the</w:t>
      </w:r>
      <w:r>
        <w:rPr>
          <w:szCs w:val="24"/>
        </w:rPr>
        <w:t>y</w:t>
      </w:r>
      <w:r w:rsidR="00636AF0">
        <w:rPr>
          <w:szCs w:val="24"/>
        </w:rPr>
        <w:t xml:space="preserve"> are required to notify the COMESA Competition Commission, the institutional body mandated to implement the COMESA Competition Rules. </w:t>
      </w:r>
      <w:r w:rsidR="00636AF0">
        <w:rPr>
          <w:rStyle w:val="FootnoteReference"/>
          <w:szCs w:val="24"/>
        </w:rPr>
        <w:footnoteReference w:id="98"/>
      </w:r>
    </w:p>
    <w:p w14:paraId="4A0AC989" w14:textId="266900DA" w:rsidR="00680208" w:rsidRPr="004C62EF" w:rsidRDefault="00EB0067" w:rsidP="00161E5F">
      <w:pPr>
        <w:pStyle w:val="Heading1"/>
        <w:rPr>
          <w:color w:val="0070C0"/>
        </w:rPr>
      </w:pPr>
      <w:bookmarkStart w:id="40" w:name="_Toc62552893"/>
      <w:r>
        <w:rPr>
          <w:color w:val="0070C0"/>
        </w:rPr>
        <w:lastRenderedPageBreak/>
        <w:t xml:space="preserve">CHAPTER 3: </w:t>
      </w:r>
      <w:r w:rsidR="006A35E3" w:rsidRPr="004C62EF">
        <w:rPr>
          <w:color w:val="0070C0"/>
        </w:rPr>
        <w:t>CASE</w:t>
      </w:r>
      <w:r>
        <w:rPr>
          <w:color w:val="0070C0"/>
        </w:rPr>
        <w:t xml:space="preserve"> STUDY</w:t>
      </w:r>
      <w:r w:rsidR="006A35E3" w:rsidRPr="004C62EF">
        <w:rPr>
          <w:color w:val="0070C0"/>
        </w:rPr>
        <w:t xml:space="preserve"> OF NCBA</w:t>
      </w:r>
      <w:bookmarkEnd w:id="40"/>
      <w:r>
        <w:rPr>
          <w:color w:val="0070C0"/>
        </w:rPr>
        <w:t xml:space="preserve"> BANK KENYA</w:t>
      </w:r>
    </w:p>
    <w:p w14:paraId="01C4E0CB" w14:textId="26A6B9EF" w:rsidR="002C4B88" w:rsidRDefault="008A0361" w:rsidP="00C77110">
      <w:pPr>
        <w:spacing w:before="200" w:after="0" w:line="360" w:lineRule="auto"/>
        <w:rPr>
          <w:rFonts w:eastAsia="Times New Roman" w:cs="Times New Roman"/>
          <w:color w:val="000000"/>
          <w:szCs w:val="24"/>
        </w:rPr>
      </w:pPr>
      <w:r w:rsidRPr="005B66DE">
        <w:rPr>
          <w:rFonts w:eastAsia="Times New Roman" w:cs="Times New Roman"/>
          <w:color w:val="000000"/>
          <w:szCs w:val="24"/>
        </w:rPr>
        <w:t>Kenya has a</w:t>
      </w:r>
      <w:r w:rsidR="00A31927">
        <w:rPr>
          <w:rFonts w:eastAsia="Times New Roman" w:cs="Times New Roman"/>
          <w:color w:val="000000"/>
          <w:szCs w:val="24"/>
        </w:rPr>
        <w:t xml:space="preserve"> long history of bank mergers; t</w:t>
      </w:r>
      <w:r w:rsidRPr="005B66DE">
        <w:rPr>
          <w:rFonts w:eastAsia="Times New Roman" w:cs="Times New Roman"/>
          <w:color w:val="000000"/>
          <w:szCs w:val="24"/>
        </w:rPr>
        <w:t xml:space="preserve">here have been a total of over forty bank mergers between the </w:t>
      </w:r>
      <w:r w:rsidR="00920248" w:rsidRPr="005B66DE">
        <w:rPr>
          <w:rFonts w:eastAsia="Times New Roman" w:cs="Times New Roman"/>
          <w:color w:val="000000"/>
          <w:szCs w:val="24"/>
        </w:rPr>
        <w:t>nineties</w:t>
      </w:r>
      <w:r w:rsidR="002C4B88">
        <w:rPr>
          <w:rFonts w:eastAsia="Times New Roman" w:cs="Times New Roman"/>
          <w:color w:val="000000"/>
          <w:szCs w:val="24"/>
        </w:rPr>
        <w:t xml:space="preserve"> to date.</w:t>
      </w:r>
      <w:r w:rsidR="002C4B88">
        <w:rPr>
          <w:rStyle w:val="FootnoteReference"/>
          <w:rFonts w:eastAsia="Times New Roman" w:cs="Times New Roman"/>
          <w:color w:val="000000"/>
          <w:szCs w:val="24"/>
        </w:rPr>
        <w:footnoteReference w:id="99"/>
      </w:r>
      <w:r w:rsidR="002E0EB7">
        <w:rPr>
          <w:rFonts w:eastAsia="Times New Roman" w:cs="Times New Roman"/>
          <w:color w:val="000000"/>
          <w:szCs w:val="24"/>
        </w:rPr>
        <w:t xml:space="preserve"> Some bank mergers include</w:t>
      </w:r>
      <w:r w:rsidR="00D40D93">
        <w:rPr>
          <w:rFonts w:eastAsia="Times New Roman" w:cs="Times New Roman"/>
          <w:color w:val="000000"/>
          <w:szCs w:val="24"/>
        </w:rPr>
        <w:t xml:space="preserve">: </w:t>
      </w:r>
      <w:r w:rsidRPr="005B66DE">
        <w:rPr>
          <w:rFonts w:eastAsia="Times New Roman" w:cs="Times New Roman"/>
          <w:color w:val="000000"/>
          <w:szCs w:val="24"/>
        </w:rPr>
        <w:t>Consolidated bank of Kenya which was incorpor</w:t>
      </w:r>
      <w:r w:rsidR="002E0EB7">
        <w:rPr>
          <w:rFonts w:eastAsia="Times New Roman" w:cs="Times New Roman"/>
          <w:color w:val="000000"/>
          <w:szCs w:val="24"/>
        </w:rPr>
        <w:t xml:space="preserve">ated in 1989 as a result of a </w:t>
      </w:r>
      <w:r w:rsidRPr="005B66DE">
        <w:rPr>
          <w:rFonts w:eastAsia="Times New Roman" w:cs="Times New Roman"/>
          <w:color w:val="000000"/>
          <w:szCs w:val="24"/>
        </w:rPr>
        <w:t>merger of nine in</w:t>
      </w:r>
      <w:r w:rsidR="00D40D93">
        <w:rPr>
          <w:rFonts w:eastAsia="Times New Roman" w:cs="Times New Roman"/>
          <w:color w:val="000000"/>
          <w:szCs w:val="24"/>
        </w:rPr>
        <w:t xml:space="preserve">solvent financial institutions, </w:t>
      </w:r>
      <w:r w:rsidRPr="005B66DE">
        <w:rPr>
          <w:rFonts w:eastAsia="Times New Roman" w:cs="Times New Roman"/>
          <w:color w:val="000000"/>
          <w:szCs w:val="24"/>
        </w:rPr>
        <w:t>National Industrial Credit and the African M</w:t>
      </w:r>
      <w:r w:rsidR="00D40D93">
        <w:rPr>
          <w:rFonts w:eastAsia="Times New Roman" w:cs="Times New Roman"/>
          <w:color w:val="000000"/>
          <w:szCs w:val="24"/>
        </w:rPr>
        <w:t xml:space="preserve">ercantile Bank in June of 1997, </w:t>
      </w:r>
      <w:r w:rsidRPr="005B66DE">
        <w:rPr>
          <w:rFonts w:eastAsia="Times New Roman" w:cs="Times New Roman"/>
          <w:color w:val="000000"/>
          <w:szCs w:val="24"/>
        </w:rPr>
        <w:t>Diamond Trust Bank a</w:t>
      </w:r>
      <w:r w:rsidR="00D40D93">
        <w:rPr>
          <w:rFonts w:eastAsia="Times New Roman" w:cs="Times New Roman"/>
          <w:color w:val="000000"/>
          <w:szCs w:val="24"/>
        </w:rPr>
        <w:t xml:space="preserve">nd Premier Savings and Finance, </w:t>
      </w:r>
      <w:r w:rsidRPr="005B66DE">
        <w:rPr>
          <w:rFonts w:eastAsia="Times New Roman" w:cs="Times New Roman"/>
          <w:color w:val="000000"/>
          <w:szCs w:val="24"/>
        </w:rPr>
        <w:t>Universal Bank and Paramount Bank to fo</w:t>
      </w:r>
      <w:r w:rsidR="00D40D93">
        <w:rPr>
          <w:rFonts w:eastAsia="Times New Roman" w:cs="Times New Roman"/>
          <w:color w:val="000000"/>
          <w:szCs w:val="24"/>
        </w:rPr>
        <w:t xml:space="preserve">rm Paramount Universal Bank, </w:t>
      </w:r>
      <w:r w:rsidRPr="005B66DE">
        <w:rPr>
          <w:rFonts w:eastAsia="Times New Roman" w:cs="Times New Roman"/>
          <w:color w:val="000000"/>
          <w:szCs w:val="24"/>
        </w:rPr>
        <w:t>NIC and Commercial Bank of Africa to give rise to NCBA Bank</w:t>
      </w:r>
      <w:r w:rsidR="00CC7644">
        <w:rPr>
          <w:rFonts w:eastAsia="Times New Roman" w:cs="Times New Roman"/>
          <w:color w:val="000000"/>
          <w:szCs w:val="24"/>
        </w:rPr>
        <w:t xml:space="preserve"> (“the Bank”)</w:t>
      </w:r>
      <w:r w:rsidR="002E0EB7">
        <w:rPr>
          <w:rFonts w:eastAsia="Times New Roman" w:cs="Times New Roman"/>
          <w:color w:val="000000"/>
          <w:szCs w:val="24"/>
        </w:rPr>
        <w:t>.</w:t>
      </w:r>
      <w:r w:rsidR="00D40D93">
        <w:rPr>
          <w:rStyle w:val="FootnoteReference"/>
          <w:rFonts w:eastAsia="Times New Roman" w:cs="Times New Roman"/>
          <w:color w:val="000000"/>
          <w:szCs w:val="24"/>
        </w:rPr>
        <w:footnoteReference w:id="100"/>
      </w:r>
      <w:r w:rsidR="002E0EB7">
        <w:rPr>
          <w:rFonts w:eastAsia="Times New Roman" w:cs="Times New Roman"/>
          <w:color w:val="000000"/>
          <w:szCs w:val="24"/>
        </w:rPr>
        <w:t xml:space="preserve"> </w:t>
      </w:r>
      <w:r w:rsidR="00A31927">
        <w:rPr>
          <w:rFonts w:eastAsia="Times New Roman" w:cs="Times New Roman"/>
          <w:color w:val="000000"/>
          <w:szCs w:val="24"/>
        </w:rPr>
        <w:t xml:space="preserve">Upon merging, most </w:t>
      </w:r>
      <w:r w:rsidR="00A31927" w:rsidRPr="005B66DE">
        <w:rPr>
          <w:rFonts w:eastAsia="Times New Roman" w:cs="Times New Roman"/>
          <w:color w:val="000000"/>
          <w:szCs w:val="24"/>
        </w:rPr>
        <w:t xml:space="preserve">banks </w:t>
      </w:r>
      <w:r w:rsidR="00A31927">
        <w:rPr>
          <w:rFonts w:eastAsia="Times New Roman" w:cs="Times New Roman"/>
          <w:color w:val="000000"/>
          <w:szCs w:val="24"/>
        </w:rPr>
        <w:t xml:space="preserve">are either categorized as tier 1 banks or fall </w:t>
      </w:r>
      <w:r w:rsidR="00A31927" w:rsidRPr="005B66DE">
        <w:rPr>
          <w:rFonts w:eastAsia="Times New Roman" w:cs="Times New Roman"/>
          <w:color w:val="000000"/>
          <w:szCs w:val="24"/>
        </w:rPr>
        <w:t>shy of falling</w:t>
      </w:r>
      <w:r w:rsidR="00A31927">
        <w:rPr>
          <w:rFonts w:eastAsia="Times New Roman" w:cs="Times New Roman"/>
          <w:color w:val="000000"/>
          <w:szCs w:val="24"/>
        </w:rPr>
        <w:t xml:space="preserve"> under the </w:t>
      </w:r>
      <w:r w:rsidR="006524F4">
        <w:rPr>
          <w:rFonts w:eastAsia="Times New Roman" w:cs="Times New Roman"/>
          <w:color w:val="000000"/>
          <w:szCs w:val="24"/>
        </w:rPr>
        <w:t xml:space="preserve">tier </w:t>
      </w:r>
      <w:r w:rsidR="00FF1765">
        <w:rPr>
          <w:rFonts w:eastAsia="Times New Roman" w:cs="Times New Roman"/>
          <w:color w:val="000000"/>
          <w:szCs w:val="24"/>
        </w:rPr>
        <w:t>category</w:t>
      </w:r>
      <w:r w:rsidR="006524F4">
        <w:rPr>
          <w:rFonts w:eastAsia="Times New Roman" w:cs="Times New Roman"/>
          <w:color w:val="000000"/>
          <w:szCs w:val="24"/>
        </w:rPr>
        <w:t>.</w:t>
      </w:r>
    </w:p>
    <w:p w14:paraId="77CDFC6A" w14:textId="5D62739B" w:rsidR="00A31927" w:rsidRPr="005B66DE" w:rsidRDefault="00A31927" w:rsidP="00A31927">
      <w:pPr>
        <w:spacing w:before="200" w:after="0" w:line="360" w:lineRule="auto"/>
        <w:rPr>
          <w:rFonts w:eastAsia="Times New Roman" w:cs="Times New Roman"/>
          <w:color w:val="000000"/>
          <w:szCs w:val="24"/>
        </w:rPr>
      </w:pPr>
      <w:r>
        <w:rPr>
          <w:rFonts w:eastAsia="Times New Roman" w:cs="Times New Roman"/>
          <w:color w:val="000000"/>
          <w:szCs w:val="24"/>
        </w:rPr>
        <w:t xml:space="preserve">Notably, </w:t>
      </w:r>
      <w:r w:rsidR="002E0EB7">
        <w:rPr>
          <w:rFonts w:eastAsia="Times New Roman" w:cs="Times New Roman"/>
          <w:color w:val="000000"/>
          <w:szCs w:val="24"/>
        </w:rPr>
        <w:t xml:space="preserve">2019 </w:t>
      </w:r>
      <w:r w:rsidRPr="005B66DE">
        <w:rPr>
          <w:rFonts w:eastAsia="Times New Roman" w:cs="Times New Roman"/>
          <w:color w:val="000000"/>
          <w:szCs w:val="24"/>
        </w:rPr>
        <w:t xml:space="preserve">Kenya’s banking sector </w:t>
      </w:r>
      <w:r w:rsidR="002E0EB7">
        <w:rPr>
          <w:rFonts w:eastAsia="Times New Roman" w:cs="Times New Roman"/>
          <w:color w:val="000000"/>
          <w:szCs w:val="24"/>
        </w:rPr>
        <w:t xml:space="preserve">witnessed </w:t>
      </w:r>
      <w:r w:rsidRPr="005B66DE">
        <w:rPr>
          <w:rFonts w:eastAsia="Times New Roman" w:cs="Times New Roman"/>
          <w:color w:val="000000"/>
          <w:szCs w:val="24"/>
        </w:rPr>
        <w:t xml:space="preserve">several mergers and acquisitions and according to Central Bank of Kenya Governor, Patrick </w:t>
      </w:r>
      <w:proofErr w:type="spellStart"/>
      <w:r w:rsidRPr="005B66DE">
        <w:rPr>
          <w:rFonts w:eastAsia="Times New Roman" w:cs="Times New Roman"/>
          <w:color w:val="000000"/>
          <w:szCs w:val="24"/>
        </w:rPr>
        <w:t>Njoroge</w:t>
      </w:r>
      <w:proofErr w:type="spellEnd"/>
      <w:r w:rsidRPr="005B66DE">
        <w:rPr>
          <w:rFonts w:eastAsia="Times New Roman" w:cs="Times New Roman"/>
          <w:color w:val="000000"/>
          <w:szCs w:val="24"/>
        </w:rPr>
        <w:t xml:space="preserve">, more are predicted in the next two years as </w:t>
      </w:r>
      <w:r w:rsidR="00687633">
        <w:rPr>
          <w:rFonts w:eastAsia="Times New Roman" w:cs="Times New Roman"/>
          <w:color w:val="000000"/>
          <w:szCs w:val="24"/>
        </w:rPr>
        <w:t xml:space="preserve">options to </w:t>
      </w:r>
      <w:r w:rsidR="00687633" w:rsidRPr="00FF2803">
        <w:rPr>
          <w:rFonts w:eastAsia="Times New Roman" w:cs="Times New Roman"/>
          <w:color w:val="000000"/>
          <w:szCs w:val="24"/>
        </w:rPr>
        <w:t>raise capital</w:t>
      </w:r>
      <w:r w:rsidRPr="00FF2803">
        <w:rPr>
          <w:rFonts w:eastAsia="Times New Roman" w:cs="Times New Roman"/>
          <w:color w:val="000000"/>
          <w:szCs w:val="24"/>
        </w:rPr>
        <w:t xml:space="preserve"> diminish for</w:t>
      </w:r>
      <w:r w:rsidR="00687633" w:rsidRPr="00FF2803">
        <w:rPr>
          <w:rFonts w:eastAsia="Times New Roman" w:cs="Times New Roman"/>
          <w:color w:val="000000"/>
          <w:szCs w:val="24"/>
        </w:rPr>
        <w:t xml:space="preserve"> the small </w:t>
      </w:r>
      <w:r w:rsidRPr="00FF2803">
        <w:rPr>
          <w:rFonts w:eastAsia="Times New Roman" w:cs="Times New Roman"/>
          <w:color w:val="000000"/>
          <w:szCs w:val="24"/>
        </w:rPr>
        <w:t>lenders</w:t>
      </w:r>
      <w:r w:rsidR="00687633" w:rsidRPr="00FF2803">
        <w:rPr>
          <w:rFonts w:eastAsia="Times New Roman" w:cs="Times New Roman"/>
          <w:color w:val="000000"/>
          <w:szCs w:val="24"/>
        </w:rPr>
        <w:t xml:space="preserve"> who are struggling</w:t>
      </w:r>
      <w:r w:rsidRPr="00FF2803">
        <w:rPr>
          <w:rFonts w:eastAsia="Times New Roman" w:cs="Times New Roman"/>
          <w:color w:val="000000"/>
          <w:szCs w:val="24"/>
        </w:rPr>
        <w:t>.</w:t>
      </w:r>
      <w:r w:rsidR="006524F4" w:rsidRPr="00FF2803">
        <w:rPr>
          <w:rStyle w:val="FootnoteReference"/>
          <w:rFonts w:eastAsia="Times New Roman" w:cs="Times New Roman"/>
          <w:color w:val="000000"/>
          <w:szCs w:val="24"/>
        </w:rPr>
        <w:footnoteReference w:id="101"/>
      </w:r>
      <w:r w:rsidR="00687633" w:rsidRPr="00FF2803">
        <w:rPr>
          <w:rFonts w:eastAsia="Times New Roman" w:cs="Times New Roman"/>
          <w:color w:val="000000"/>
          <w:szCs w:val="24"/>
        </w:rPr>
        <w:t xml:space="preserve"> With as many as over 40 banks in the market, a number of </w:t>
      </w:r>
      <w:r w:rsidRPr="00FF2803">
        <w:rPr>
          <w:rFonts w:eastAsia="Times New Roman" w:cs="Times New Roman"/>
          <w:color w:val="000000"/>
          <w:szCs w:val="24"/>
        </w:rPr>
        <w:t xml:space="preserve">analysts </w:t>
      </w:r>
      <w:r w:rsidR="00687633" w:rsidRPr="00FF2803">
        <w:rPr>
          <w:rFonts w:eastAsia="Times New Roman" w:cs="Times New Roman"/>
          <w:color w:val="000000"/>
          <w:szCs w:val="24"/>
        </w:rPr>
        <w:t xml:space="preserve">in the financial sector </w:t>
      </w:r>
      <w:r w:rsidRPr="00FF2803">
        <w:rPr>
          <w:rFonts w:eastAsia="Times New Roman" w:cs="Times New Roman"/>
          <w:color w:val="000000"/>
          <w:szCs w:val="24"/>
        </w:rPr>
        <w:t>have for several years now said the sector is overba</w:t>
      </w:r>
      <w:r w:rsidR="002E0EB7" w:rsidRPr="00FF2803">
        <w:rPr>
          <w:rFonts w:eastAsia="Times New Roman" w:cs="Times New Roman"/>
          <w:color w:val="000000"/>
          <w:szCs w:val="24"/>
        </w:rPr>
        <w:t xml:space="preserve">nked and that consolidation is </w:t>
      </w:r>
      <w:r w:rsidRPr="00FF2803">
        <w:rPr>
          <w:rFonts w:eastAsia="Times New Roman" w:cs="Times New Roman"/>
          <w:color w:val="000000"/>
          <w:szCs w:val="24"/>
        </w:rPr>
        <w:t>the way out, especially for mid and lower-tier lenders.</w:t>
      </w:r>
      <w:r w:rsidRPr="00FF2803">
        <w:rPr>
          <w:rFonts w:eastAsia="Times New Roman" w:cs="Times New Roman"/>
          <w:color w:val="000000"/>
          <w:szCs w:val="24"/>
          <w:vertAlign w:val="superscript"/>
        </w:rPr>
        <w:footnoteReference w:id="102"/>
      </w:r>
    </w:p>
    <w:p w14:paraId="2037297E" w14:textId="48283919" w:rsidR="008A0361" w:rsidRDefault="00A31927" w:rsidP="00C77110">
      <w:pPr>
        <w:spacing w:before="200" w:after="0" w:line="360" w:lineRule="auto"/>
        <w:rPr>
          <w:rFonts w:eastAsia="Times New Roman" w:cs="Times New Roman"/>
          <w:color w:val="000000"/>
          <w:szCs w:val="24"/>
        </w:rPr>
      </w:pPr>
      <w:r>
        <w:rPr>
          <w:rFonts w:eastAsia="Times New Roman" w:cs="Times New Roman"/>
          <w:color w:val="000000"/>
          <w:szCs w:val="24"/>
        </w:rPr>
        <w:t xml:space="preserve">The focus of this chapter will be </w:t>
      </w:r>
      <w:r w:rsidR="008A0361" w:rsidRPr="005B66DE">
        <w:rPr>
          <w:rFonts w:eastAsia="Times New Roman" w:cs="Times New Roman"/>
          <w:color w:val="000000"/>
          <w:szCs w:val="24"/>
        </w:rPr>
        <w:t>the recent bank merger between NIC and CBA</w:t>
      </w:r>
      <w:r>
        <w:rPr>
          <w:rFonts w:eastAsia="Times New Roman" w:cs="Times New Roman"/>
          <w:color w:val="000000"/>
          <w:szCs w:val="24"/>
        </w:rPr>
        <w:t xml:space="preserve"> to form NCBA which is considered a </w:t>
      </w:r>
      <w:r w:rsidR="008A0361" w:rsidRPr="005B66DE">
        <w:rPr>
          <w:rFonts w:eastAsia="Times New Roman" w:cs="Times New Roman"/>
          <w:color w:val="000000"/>
          <w:szCs w:val="24"/>
        </w:rPr>
        <w:t>tier 1 bank</w:t>
      </w:r>
      <w:r w:rsidR="00CC7644">
        <w:rPr>
          <w:rFonts w:eastAsia="Times New Roman" w:cs="Times New Roman"/>
          <w:color w:val="000000"/>
          <w:szCs w:val="24"/>
        </w:rPr>
        <w:t xml:space="preserve"> and the third largest bank</w:t>
      </w:r>
      <w:r w:rsidR="008A0361" w:rsidRPr="005B66DE">
        <w:rPr>
          <w:rFonts w:eastAsia="Times New Roman" w:cs="Times New Roman"/>
          <w:color w:val="000000"/>
          <w:szCs w:val="24"/>
        </w:rPr>
        <w:t xml:space="preserve"> </w:t>
      </w:r>
      <w:r w:rsidR="006524F4">
        <w:rPr>
          <w:rFonts w:eastAsia="Times New Roman" w:cs="Times New Roman"/>
          <w:color w:val="000000"/>
          <w:szCs w:val="24"/>
        </w:rPr>
        <w:t xml:space="preserve">in East Africa </w:t>
      </w:r>
      <w:r>
        <w:rPr>
          <w:rFonts w:eastAsia="Times New Roman" w:cs="Times New Roman"/>
          <w:color w:val="000000"/>
          <w:szCs w:val="24"/>
        </w:rPr>
        <w:t xml:space="preserve">with </w:t>
      </w:r>
      <w:r w:rsidR="008A0361" w:rsidRPr="005B66DE">
        <w:rPr>
          <w:rFonts w:eastAsia="Times New Roman" w:cs="Times New Roman"/>
          <w:color w:val="000000"/>
          <w:szCs w:val="24"/>
        </w:rPr>
        <w:t>TBTF status.</w:t>
      </w:r>
      <w:r w:rsidR="00D40D93">
        <w:rPr>
          <w:rStyle w:val="FootnoteReference"/>
          <w:rFonts w:eastAsia="Times New Roman" w:cs="Times New Roman"/>
          <w:color w:val="000000"/>
          <w:szCs w:val="24"/>
        </w:rPr>
        <w:footnoteReference w:id="103"/>
      </w:r>
    </w:p>
    <w:p w14:paraId="5E5F0995" w14:textId="77777777" w:rsidR="00226AC1" w:rsidRDefault="00226AC1" w:rsidP="00226AC1">
      <w:pPr>
        <w:pStyle w:val="Heading2"/>
        <w:rPr>
          <w:rFonts w:eastAsia="Times New Roman" w:cs="Times New Roman"/>
          <w:b w:val="0"/>
          <w:szCs w:val="24"/>
        </w:rPr>
      </w:pPr>
    </w:p>
    <w:p w14:paraId="720DCD95" w14:textId="2D0CDCCA" w:rsidR="00690BAA" w:rsidRPr="00D40D93" w:rsidRDefault="00226AC1" w:rsidP="00226AC1">
      <w:pPr>
        <w:pStyle w:val="Heading2"/>
        <w:numPr>
          <w:ilvl w:val="1"/>
          <w:numId w:val="23"/>
        </w:numPr>
      </w:pPr>
      <w:r>
        <w:rPr>
          <w:rFonts w:eastAsia="Times New Roman"/>
        </w:rPr>
        <w:t xml:space="preserve">     </w:t>
      </w:r>
      <w:bookmarkStart w:id="41" w:name="_Toc62552894"/>
      <w:r w:rsidR="00D40D93" w:rsidRPr="00D40D93">
        <w:rPr>
          <w:rFonts w:eastAsia="Times New Roman"/>
        </w:rPr>
        <w:t>BACKGROUND OF NIC/CBA MERGER</w:t>
      </w:r>
      <w:bookmarkEnd w:id="41"/>
      <w:r w:rsidR="00D40D93" w:rsidRPr="00D40D93">
        <w:rPr>
          <w:rFonts w:eastAsia="Times New Roman"/>
        </w:rPr>
        <w:t> </w:t>
      </w:r>
    </w:p>
    <w:p w14:paraId="1694D0A2" w14:textId="2EE37B0B" w:rsidR="00CA1995" w:rsidRDefault="00687633" w:rsidP="00690BAA">
      <w:pPr>
        <w:spacing w:before="200" w:after="0" w:line="360" w:lineRule="auto"/>
        <w:rPr>
          <w:rFonts w:eastAsia="Times New Roman" w:cs="Times New Roman"/>
          <w:color w:val="000000"/>
          <w:szCs w:val="24"/>
        </w:rPr>
      </w:pPr>
      <w:r w:rsidRPr="00FF2803">
        <w:rPr>
          <w:rFonts w:eastAsia="Times New Roman" w:cs="Times New Roman"/>
          <w:color w:val="000000"/>
          <w:szCs w:val="24"/>
        </w:rPr>
        <w:t xml:space="preserve">NIC Bank Kenya Plc </w:t>
      </w:r>
      <w:r w:rsidR="00690BAA" w:rsidRPr="00FF2803">
        <w:rPr>
          <w:rFonts w:eastAsia="Times New Roman" w:cs="Times New Roman"/>
          <w:color w:val="000000"/>
          <w:szCs w:val="24"/>
        </w:rPr>
        <w:t>trace</w:t>
      </w:r>
      <w:r w:rsidRPr="00FF2803">
        <w:rPr>
          <w:rFonts w:eastAsia="Times New Roman" w:cs="Times New Roman"/>
          <w:color w:val="000000"/>
          <w:szCs w:val="24"/>
        </w:rPr>
        <w:t xml:space="preserve">s its roots back </w:t>
      </w:r>
      <w:r w:rsidR="00690BAA" w:rsidRPr="00FF2803">
        <w:rPr>
          <w:rFonts w:eastAsia="Times New Roman" w:cs="Times New Roman"/>
          <w:color w:val="000000"/>
          <w:szCs w:val="24"/>
        </w:rPr>
        <w:t>when its parent company, NIC Group, was formed as a</w:t>
      </w:r>
      <w:hyperlink r:id="rId23" w:history="1">
        <w:r w:rsidR="00690BAA" w:rsidRPr="00FF2803">
          <w:rPr>
            <w:rFonts w:eastAsia="Times New Roman" w:cs="Times New Roman"/>
            <w:color w:val="000000"/>
            <w:szCs w:val="24"/>
          </w:rPr>
          <w:t xml:space="preserve"> joi</w:t>
        </w:r>
      </w:hyperlink>
      <w:r w:rsidR="00690BAA" w:rsidRPr="00FF2803">
        <w:rPr>
          <w:rFonts w:eastAsia="Times New Roman" w:cs="Times New Roman"/>
          <w:color w:val="000000"/>
          <w:szCs w:val="24"/>
        </w:rPr>
        <w:t>nt venture by</w:t>
      </w:r>
      <w:hyperlink r:id="rId24" w:history="1">
        <w:r w:rsidR="00690BAA" w:rsidRPr="00FF2803">
          <w:rPr>
            <w:rFonts w:eastAsia="Times New Roman" w:cs="Times New Roman"/>
            <w:color w:val="000000"/>
            <w:szCs w:val="24"/>
          </w:rPr>
          <w:t xml:space="preserve"> Standard Bank Limited</w:t>
        </w:r>
      </w:hyperlink>
      <w:r w:rsidR="00690BAA" w:rsidRPr="00FF2803">
        <w:rPr>
          <w:rFonts w:eastAsia="Times New Roman" w:cs="Times New Roman"/>
          <w:color w:val="000000"/>
          <w:szCs w:val="24"/>
        </w:rPr>
        <w:t xml:space="preserve"> of</w:t>
      </w:r>
      <w:hyperlink r:id="rId25" w:history="1">
        <w:r w:rsidR="00690BAA" w:rsidRPr="00FF2803">
          <w:rPr>
            <w:rFonts w:eastAsia="Times New Roman" w:cs="Times New Roman"/>
            <w:color w:val="000000"/>
            <w:szCs w:val="24"/>
          </w:rPr>
          <w:t xml:space="preserve"> South Africa</w:t>
        </w:r>
      </w:hyperlink>
      <w:r w:rsidR="00690BAA" w:rsidRPr="00FF2803">
        <w:rPr>
          <w:rFonts w:eastAsia="Times New Roman" w:cs="Times New Roman"/>
          <w:color w:val="000000"/>
          <w:szCs w:val="24"/>
        </w:rPr>
        <w:t xml:space="preserve"> and Mercantile Credit Company Limited of the</w:t>
      </w:r>
      <w:hyperlink r:id="rId26" w:history="1">
        <w:r w:rsidR="00690BAA" w:rsidRPr="00FF2803">
          <w:rPr>
            <w:rFonts w:eastAsia="Times New Roman" w:cs="Times New Roman"/>
            <w:color w:val="000000"/>
            <w:szCs w:val="24"/>
          </w:rPr>
          <w:t xml:space="preserve"> United Kingdom</w:t>
        </w:r>
      </w:hyperlink>
      <w:r w:rsidRPr="00FF2803">
        <w:rPr>
          <w:rFonts w:eastAsia="Times New Roman" w:cs="Times New Roman"/>
          <w:color w:val="000000"/>
          <w:szCs w:val="24"/>
        </w:rPr>
        <w:t xml:space="preserve"> in 1959</w:t>
      </w:r>
      <w:r w:rsidR="006524F4" w:rsidRPr="00FF2803">
        <w:rPr>
          <w:rFonts w:eastAsia="Times New Roman" w:cs="Times New Roman"/>
          <w:color w:val="000000"/>
          <w:szCs w:val="24"/>
        </w:rPr>
        <w:t xml:space="preserve">; </w:t>
      </w:r>
      <w:r w:rsidR="00690BAA" w:rsidRPr="00FF2803">
        <w:rPr>
          <w:rFonts w:eastAsia="Times New Roman" w:cs="Times New Roman"/>
          <w:color w:val="000000"/>
          <w:szCs w:val="24"/>
        </w:rPr>
        <w:t>NIC was initially a</w:t>
      </w:r>
      <w:hyperlink r:id="rId27" w:history="1">
        <w:r w:rsidR="00690BAA" w:rsidRPr="00FF2803">
          <w:rPr>
            <w:rFonts w:eastAsia="Times New Roman" w:cs="Times New Roman"/>
            <w:color w:val="000000"/>
            <w:szCs w:val="24"/>
          </w:rPr>
          <w:t xml:space="preserve"> non-bank financial institution</w:t>
        </w:r>
      </w:hyperlink>
      <w:r w:rsidR="00690BAA" w:rsidRPr="00FF2803">
        <w:rPr>
          <w:rFonts w:eastAsia="Times New Roman" w:cs="Times New Roman"/>
          <w:color w:val="000000"/>
          <w:szCs w:val="24"/>
        </w:rPr>
        <w:t xml:space="preserve"> (NBFI).</w:t>
      </w:r>
      <w:r w:rsidR="00D40D93" w:rsidRPr="00FF2803">
        <w:rPr>
          <w:rStyle w:val="FootnoteReference"/>
          <w:rFonts w:eastAsia="Times New Roman" w:cs="Times New Roman"/>
          <w:color w:val="000000"/>
          <w:szCs w:val="24"/>
        </w:rPr>
        <w:footnoteReference w:id="104"/>
      </w:r>
      <w:r w:rsidR="00690BAA" w:rsidRPr="00FF2803">
        <w:rPr>
          <w:rFonts w:eastAsia="Times New Roman" w:cs="Times New Roman"/>
          <w:color w:val="000000"/>
          <w:szCs w:val="24"/>
        </w:rPr>
        <w:t xml:space="preserve"> NIC </w:t>
      </w:r>
      <w:r w:rsidR="00690BAA" w:rsidRPr="00FF2803">
        <w:rPr>
          <w:rFonts w:eastAsia="Times New Roman" w:cs="Times New Roman"/>
          <w:color w:val="000000"/>
          <w:szCs w:val="24"/>
        </w:rPr>
        <w:lastRenderedPageBreak/>
        <w:t xml:space="preserve">Bank Kenya Plc was incorporated in 2016 as a result of the corporate reorganization of NIC Bank </w:t>
      </w:r>
      <w:r w:rsidR="006524F4" w:rsidRPr="00FF2803">
        <w:rPr>
          <w:rFonts w:eastAsia="Times New Roman" w:cs="Times New Roman"/>
          <w:color w:val="000000"/>
          <w:szCs w:val="24"/>
        </w:rPr>
        <w:t>Group. I</w:t>
      </w:r>
      <w:r w:rsidR="00690BAA" w:rsidRPr="00FF2803">
        <w:rPr>
          <w:rFonts w:eastAsia="Times New Roman" w:cs="Times New Roman"/>
          <w:color w:val="000000"/>
          <w:szCs w:val="24"/>
        </w:rPr>
        <w:t>n December 2018, NIC Group announced that it would be merging with Commercial Bank of Africa (CBA).</w:t>
      </w:r>
      <w:r w:rsidR="00690BAA" w:rsidRPr="00FF2803">
        <w:rPr>
          <w:rFonts w:eastAsia="Times New Roman" w:cs="Times New Roman"/>
          <w:color w:val="000000"/>
          <w:szCs w:val="24"/>
          <w:vertAlign w:val="superscript"/>
        </w:rPr>
        <w:footnoteReference w:id="105"/>
      </w:r>
      <w:r w:rsidR="00690BAA" w:rsidRPr="00FF2803">
        <w:rPr>
          <w:rFonts w:eastAsia="Times New Roman" w:cs="Times New Roman"/>
          <w:color w:val="000000"/>
          <w:szCs w:val="24"/>
        </w:rPr>
        <w:t xml:space="preserve"> The Transaction was approved by the Kenyan regulators and shareholders in April 2019. </w:t>
      </w:r>
      <w:r w:rsidRPr="00FF2803">
        <w:rPr>
          <w:rFonts w:eastAsia="Times New Roman" w:cs="Times New Roman"/>
          <w:color w:val="000000"/>
          <w:szCs w:val="24"/>
        </w:rPr>
        <w:t xml:space="preserve">The two banks </w:t>
      </w:r>
      <w:r w:rsidR="00690BAA" w:rsidRPr="00FF2803">
        <w:rPr>
          <w:rFonts w:eastAsia="Times New Roman" w:cs="Times New Roman"/>
          <w:color w:val="000000"/>
          <w:szCs w:val="24"/>
        </w:rPr>
        <w:t>announced the deal</w:t>
      </w:r>
      <w:r w:rsidR="00FF2803" w:rsidRPr="00FF2803">
        <w:rPr>
          <w:rFonts w:eastAsia="Times New Roman" w:cs="Times New Roman"/>
          <w:color w:val="000000"/>
          <w:szCs w:val="24"/>
        </w:rPr>
        <w:t xml:space="preserve"> publicly</w:t>
      </w:r>
      <w:r w:rsidR="00690BAA" w:rsidRPr="00FF2803">
        <w:rPr>
          <w:rFonts w:eastAsia="Times New Roman" w:cs="Times New Roman"/>
          <w:color w:val="000000"/>
          <w:szCs w:val="24"/>
        </w:rPr>
        <w:t xml:space="preserve"> in January 2019, in which current </w:t>
      </w:r>
      <w:r w:rsidR="00FF2803" w:rsidRPr="00FF2803">
        <w:rPr>
          <w:rFonts w:eastAsia="Times New Roman" w:cs="Times New Roman"/>
          <w:color w:val="000000"/>
          <w:szCs w:val="24"/>
        </w:rPr>
        <w:t>NIC Group shareholders would own</w:t>
      </w:r>
      <w:r w:rsidR="00690BAA" w:rsidRPr="00FF2803">
        <w:rPr>
          <w:rFonts w:eastAsia="Times New Roman" w:cs="Times New Roman"/>
          <w:color w:val="000000"/>
          <w:szCs w:val="24"/>
        </w:rPr>
        <w:t xml:space="preserve"> 47% of the merged entity and CBA shareholders 53%.</w:t>
      </w:r>
      <w:r w:rsidR="00226AC1" w:rsidRPr="00FF2803">
        <w:rPr>
          <w:rStyle w:val="FootnoteReference"/>
          <w:rFonts w:eastAsia="Times New Roman" w:cs="Times New Roman"/>
          <w:color w:val="000000"/>
          <w:szCs w:val="24"/>
        </w:rPr>
        <w:footnoteReference w:id="106"/>
      </w:r>
      <w:r w:rsidR="00690BAA" w:rsidRPr="00FF2803">
        <w:rPr>
          <w:rFonts w:eastAsia="Times New Roman" w:cs="Times New Roman"/>
          <w:color w:val="000000"/>
          <w:szCs w:val="24"/>
        </w:rPr>
        <w:t xml:space="preserve"> In March, Commercial Bank of Africa said its shareholders had accepted a share swap with NIC Group. The merger was agreed by NIC Group’s </w:t>
      </w:r>
      <w:r w:rsidR="00FF2803" w:rsidRPr="00FF2803">
        <w:rPr>
          <w:rFonts w:eastAsia="Times New Roman" w:cs="Times New Roman"/>
          <w:color w:val="000000"/>
          <w:szCs w:val="24"/>
        </w:rPr>
        <w:t xml:space="preserve">shareholders on April 17, to allow </w:t>
      </w:r>
      <w:r w:rsidR="00690BAA" w:rsidRPr="00FF2803">
        <w:rPr>
          <w:rFonts w:eastAsia="Times New Roman" w:cs="Times New Roman"/>
          <w:color w:val="000000"/>
          <w:szCs w:val="24"/>
        </w:rPr>
        <w:t>the two companies to create the third-largest bank by assets in East Africa.</w:t>
      </w:r>
      <w:r w:rsidR="006524F4" w:rsidRPr="00FF2803">
        <w:rPr>
          <w:rStyle w:val="FootnoteReference"/>
          <w:rFonts w:eastAsia="Times New Roman" w:cs="Times New Roman"/>
          <w:color w:val="000000"/>
          <w:szCs w:val="24"/>
        </w:rPr>
        <w:footnoteReference w:id="107"/>
      </w:r>
      <w:r w:rsidR="00690BAA" w:rsidRPr="00FF2803">
        <w:rPr>
          <w:rFonts w:eastAsia="Times New Roman" w:cs="Times New Roman"/>
          <w:color w:val="000000"/>
          <w:szCs w:val="24"/>
        </w:rPr>
        <w:t xml:space="preserve"> Following the merger, effective October 1, 2019, all subsidiaries </w:t>
      </w:r>
      <w:r w:rsidR="006524F4" w:rsidRPr="00FF2803">
        <w:rPr>
          <w:rFonts w:eastAsia="Times New Roman" w:cs="Times New Roman"/>
          <w:color w:val="000000"/>
          <w:szCs w:val="24"/>
        </w:rPr>
        <w:t xml:space="preserve">began to operate </w:t>
      </w:r>
      <w:r w:rsidR="00690BAA" w:rsidRPr="00FF2803">
        <w:rPr>
          <w:rFonts w:eastAsia="Times New Roman" w:cs="Times New Roman"/>
          <w:color w:val="000000"/>
          <w:szCs w:val="24"/>
        </w:rPr>
        <w:t>under a non-operating h</w:t>
      </w:r>
      <w:r w:rsidR="00226AC1" w:rsidRPr="00FF2803">
        <w:rPr>
          <w:rFonts w:eastAsia="Times New Roman" w:cs="Times New Roman"/>
          <w:color w:val="000000"/>
          <w:szCs w:val="24"/>
        </w:rPr>
        <w:t xml:space="preserve">olding company, NCBA Group Plc; </w:t>
      </w:r>
      <w:r w:rsidR="002E0EB7" w:rsidRPr="00FF2803">
        <w:rPr>
          <w:rFonts w:eastAsia="Times New Roman" w:cs="Times New Roman"/>
          <w:color w:val="000000"/>
          <w:szCs w:val="24"/>
        </w:rPr>
        <w:t>t</w:t>
      </w:r>
      <w:r w:rsidR="00690BAA" w:rsidRPr="00FF2803">
        <w:rPr>
          <w:rFonts w:eastAsia="Times New Roman" w:cs="Times New Roman"/>
          <w:color w:val="000000"/>
          <w:szCs w:val="24"/>
        </w:rPr>
        <w:t>he central bank said the merged entity will have a combined market share of 9.9% and a customer base of over 40 million people in East Africa.</w:t>
      </w:r>
      <w:r w:rsidR="006524F4" w:rsidRPr="00FF2803">
        <w:rPr>
          <w:rStyle w:val="FootnoteReference"/>
          <w:rFonts w:eastAsia="Times New Roman" w:cs="Times New Roman"/>
          <w:color w:val="000000"/>
          <w:szCs w:val="24"/>
        </w:rPr>
        <w:footnoteReference w:id="108"/>
      </w:r>
    </w:p>
    <w:p w14:paraId="0343E85B" w14:textId="77777777" w:rsidR="006524F4" w:rsidRPr="005B66DE" w:rsidRDefault="006524F4" w:rsidP="00690BAA">
      <w:pPr>
        <w:spacing w:before="200" w:after="0" w:line="360" w:lineRule="auto"/>
        <w:rPr>
          <w:rFonts w:eastAsia="Times New Roman" w:cs="Times New Roman"/>
          <w:color w:val="000000"/>
          <w:szCs w:val="24"/>
        </w:rPr>
      </w:pPr>
    </w:p>
    <w:p w14:paraId="3A45E779" w14:textId="617F0AFF" w:rsidR="00690BAA" w:rsidRPr="00226AC1" w:rsidRDefault="00226AC1" w:rsidP="00226AC1">
      <w:pPr>
        <w:pStyle w:val="Heading2"/>
        <w:numPr>
          <w:ilvl w:val="1"/>
          <w:numId w:val="23"/>
        </w:numPr>
        <w:rPr>
          <w:rFonts w:eastAsia="Times New Roman"/>
        </w:rPr>
      </w:pPr>
      <w:r>
        <w:rPr>
          <w:rFonts w:eastAsia="Times New Roman"/>
        </w:rPr>
        <w:t xml:space="preserve">      </w:t>
      </w:r>
      <w:bookmarkStart w:id="42" w:name="_Toc62552895"/>
      <w:r>
        <w:rPr>
          <w:rFonts w:eastAsia="Times New Roman"/>
        </w:rPr>
        <w:t>NCBA’S COMPLIANCE WITH THE LAW</w:t>
      </w:r>
      <w:bookmarkEnd w:id="42"/>
    </w:p>
    <w:p w14:paraId="26CDD3D7" w14:textId="21E095A5" w:rsidR="00F12E14" w:rsidRDefault="00BB3A02" w:rsidP="00690BAA">
      <w:pPr>
        <w:spacing w:after="0" w:line="360" w:lineRule="auto"/>
        <w:rPr>
          <w:rFonts w:eastAsia="Times New Roman" w:cs="Times New Roman"/>
          <w:color w:val="000000"/>
          <w:szCs w:val="24"/>
        </w:rPr>
      </w:pPr>
      <w:r>
        <w:rPr>
          <w:rFonts w:eastAsia="Times New Roman" w:cs="Times New Roman"/>
          <w:color w:val="000000"/>
          <w:szCs w:val="24"/>
        </w:rPr>
        <w:t xml:space="preserve">As illustrated in the previous chapter, approval from relevant authorities is </w:t>
      </w:r>
      <w:r w:rsidR="006524F4">
        <w:rPr>
          <w:rFonts w:eastAsia="Times New Roman" w:cs="Times New Roman"/>
          <w:color w:val="000000"/>
          <w:szCs w:val="24"/>
        </w:rPr>
        <w:t xml:space="preserve">a </w:t>
      </w:r>
      <w:r>
        <w:rPr>
          <w:rFonts w:eastAsia="Times New Roman" w:cs="Times New Roman"/>
          <w:color w:val="000000"/>
          <w:szCs w:val="24"/>
        </w:rPr>
        <w:t xml:space="preserve">mandatory </w:t>
      </w:r>
      <w:r w:rsidR="006524F4">
        <w:rPr>
          <w:rFonts w:eastAsia="Times New Roman" w:cs="Times New Roman"/>
          <w:color w:val="000000"/>
          <w:szCs w:val="24"/>
        </w:rPr>
        <w:t>pre-requisite for a</w:t>
      </w:r>
      <w:r>
        <w:rPr>
          <w:rFonts w:eastAsia="Times New Roman" w:cs="Times New Roman"/>
          <w:color w:val="000000"/>
          <w:szCs w:val="24"/>
        </w:rPr>
        <w:t xml:space="preserve"> merger. This section will</w:t>
      </w:r>
      <w:r w:rsidR="00690BAA" w:rsidRPr="005B66DE">
        <w:rPr>
          <w:rFonts w:eastAsia="Times New Roman" w:cs="Times New Roman"/>
          <w:color w:val="000000"/>
          <w:szCs w:val="24"/>
        </w:rPr>
        <w:t xml:space="preserve"> </w:t>
      </w:r>
      <w:r>
        <w:rPr>
          <w:rFonts w:eastAsia="Times New Roman" w:cs="Times New Roman"/>
          <w:color w:val="000000"/>
          <w:szCs w:val="24"/>
        </w:rPr>
        <w:t xml:space="preserve">analyze NIC’s and CBA’s compliance with the relevant legal requirements. </w:t>
      </w:r>
    </w:p>
    <w:p w14:paraId="680C9DAE" w14:textId="4FC597E2" w:rsidR="00BB3A02" w:rsidRPr="00BB3A02" w:rsidRDefault="00BB3A02" w:rsidP="00224481">
      <w:pPr>
        <w:pStyle w:val="Heading3"/>
        <w:numPr>
          <w:ilvl w:val="0"/>
          <w:numId w:val="33"/>
        </w:numPr>
        <w:rPr>
          <w:rFonts w:eastAsia="Times New Roman"/>
          <w:i/>
        </w:rPr>
      </w:pPr>
      <w:bookmarkStart w:id="43" w:name="_Toc62552896"/>
      <w:r>
        <w:rPr>
          <w:rFonts w:eastAsia="Times New Roman"/>
          <w:i/>
        </w:rPr>
        <w:t xml:space="preserve">Compliance with the </w:t>
      </w:r>
      <w:r w:rsidRPr="00BB3A02">
        <w:rPr>
          <w:rFonts w:eastAsia="Times New Roman"/>
          <w:i/>
        </w:rPr>
        <w:t>Banking Act</w:t>
      </w:r>
      <w:bookmarkEnd w:id="43"/>
    </w:p>
    <w:p w14:paraId="4144B280" w14:textId="77777777" w:rsidR="00920248" w:rsidRPr="005B66DE" w:rsidRDefault="00920248" w:rsidP="00690BAA">
      <w:pPr>
        <w:spacing w:after="0" w:line="360" w:lineRule="auto"/>
        <w:rPr>
          <w:rFonts w:eastAsia="Times New Roman" w:cs="Times New Roman"/>
          <w:szCs w:val="24"/>
        </w:rPr>
      </w:pPr>
    </w:p>
    <w:p w14:paraId="7C3ADA48" w14:textId="638583F1" w:rsidR="00690BAA" w:rsidRDefault="00635F22" w:rsidP="00690BAA">
      <w:pPr>
        <w:spacing w:after="0" w:line="360" w:lineRule="auto"/>
        <w:rPr>
          <w:rFonts w:eastAsia="Times New Roman" w:cs="Times New Roman"/>
          <w:color w:val="000000"/>
          <w:szCs w:val="24"/>
        </w:rPr>
      </w:pPr>
      <w:r>
        <w:rPr>
          <w:rFonts w:eastAsia="Times New Roman" w:cs="Times New Roman"/>
          <w:color w:val="000000"/>
          <w:szCs w:val="24"/>
        </w:rPr>
        <w:t xml:space="preserve">Section 9 of the Banking Act requires </w:t>
      </w:r>
      <w:r w:rsidR="00690BAA" w:rsidRPr="005B66DE">
        <w:rPr>
          <w:rFonts w:eastAsia="Times New Roman" w:cs="Times New Roman"/>
          <w:color w:val="000000"/>
          <w:szCs w:val="24"/>
        </w:rPr>
        <w:t>parties to get approval from the Central Bank of Kenya. The Central Bank of Kenya gave the go ahead for the merger, and the approval was published in the gazette on 27th September 2019, making the entity Kenya’s third-largest lender by asset base.</w:t>
      </w:r>
      <w:r w:rsidR="00690BAA" w:rsidRPr="005B66DE">
        <w:rPr>
          <w:rFonts w:eastAsia="Times New Roman" w:cs="Times New Roman"/>
          <w:color w:val="000000"/>
          <w:szCs w:val="24"/>
          <w:vertAlign w:val="superscript"/>
        </w:rPr>
        <w:footnoteReference w:id="109"/>
      </w:r>
      <w:r w:rsidR="00690BAA" w:rsidRPr="005B66DE">
        <w:rPr>
          <w:rFonts w:eastAsia="Times New Roman" w:cs="Times New Roman"/>
          <w:color w:val="000000"/>
          <w:szCs w:val="24"/>
        </w:rPr>
        <w:t xml:space="preserve"> Central Bank of Kenya also issued a press release stating their approval guided under section 13(4) of the Banking Act and approval by the Cabinet Secretary, National Treasury on September 20, 2019, for the merger under Section 9 of the Banking Act.</w:t>
      </w:r>
      <w:r w:rsidR="00690BAA" w:rsidRPr="005B66DE">
        <w:rPr>
          <w:rFonts w:eastAsia="Times New Roman" w:cs="Times New Roman"/>
          <w:color w:val="000000"/>
          <w:szCs w:val="24"/>
          <w:vertAlign w:val="superscript"/>
        </w:rPr>
        <w:footnoteReference w:id="110"/>
      </w:r>
      <w:r w:rsidR="00690BAA" w:rsidRPr="005B66DE">
        <w:rPr>
          <w:rFonts w:eastAsia="Times New Roman" w:cs="Times New Roman"/>
          <w:color w:val="000000"/>
          <w:szCs w:val="24"/>
        </w:rPr>
        <w:t xml:space="preserve"> They also approved the name NCBA </w:t>
      </w:r>
      <w:r w:rsidR="00690BAA" w:rsidRPr="005B66DE">
        <w:rPr>
          <w:rFonts w:eastAsia="Times New Roman" w:cs="Times New Roman"/>
          <w:color w:val="000000"/>
          <w:szCs w:val="24"/>
        </w:rPr>
        <w:lastRenderedPageBreak/>
        <w:t>guided by rule 3.1.2 CBK Prudential Guidelines on Mergers, Amalgamations, Transfers of Assets and Liabilities.</w:t>
      </w:r>
      <w:r w:rsidR="00690BAA" w:rsidRPr="005B66DE">
        <w:rPr>
          <w:rFonts w:eastAsia="Times New Roman" w:cs="Times New Roman"/>
          <w:color w:val="000000"/>
          <w:szCs w:val="24"/>
          <w:vertAlign w:val="superscript"/>
        </w:rPr>
        <w:footnoteReference w:id="111"/>
      </w:r>
    </w:p>
    <w:p w14:paraId="3325E37C" w14:textId="77777777" w:rsidR="00635F22" w:rsidRPr="00635F22" w:rsidRDefault="00635F22" w:rsidP="00690BAA">
      <w:pPr>
        <w:spacing w:after="0" w:line="360" w:lineRule="auto"/>
        <w:rPr>
          <w:rFonts w:eastAsia="Times New Roman" w:cs="Times New Roman"/>
          <w:color w:val="000000"/>
          <w:szCs w:val="24"/>
        </w:rPr>
      </w:pPr>
    </w:p>
    <w:p w14:paraId="59C680A2" w14:textId="167A381C" w:rsidR="00635F22" w:rsidRPr="00635F22" w:rsidRDefault="00635F22" w:rsidP="00224481">
      <w:pPr>
        <w:pStyle w:val="Heading3"/>
        <w:numPr>
          <w:ilvl w:val="0"/>
          <w:numId w:val="33"/>
        </w:numPr>
        <w:rPr>
          <w:rFonts w:eastAsia="Times New Roman"/>
          <w:i/>
        </w:rPr>
      </w:pPr>
      <w:bookmarkStart w:id="44" w:name="_Toc62552897"/>
      <w:r w:rsidRPr="00635F22">
        <w:rPr>
          <w:rFonts w:eastAsia="Times New Roman"/>
          <w:i/>
        </w:rPr>
        <w:t>Compliance with the Competition Act</w:t>
      </w:r>
      <w:bookmarkEnd w:id="44"/>
    </w:p>
    <w:p w14:paraId="751FFA98" w14:textId="77777777" w:rsidR="00635F22" w:rsidRPr="00635F22" w:rsidRDefault="00635F22" w:rsidP="00635F22"/>
    <w:p w14:paraId="1D1050B0" w14:textId="28A542F0" w:rsidR="004F7521" w:rsidRDefault="002E0EB7" w:rsidP="00690BAA">
      <w:pPr>
        <w:spacing w:after="0" w:line="360" w:lineRule="auto"/>
        <w:rPr>
          <w:rFonts w:eastAsia="Times New Roman" w:cs="Times New Roman"/>
          <w:color w:val="000000"/>
          <w:szCs w:val="24"/>
        </w:rPr>
      </w:pPr>
      <w:r>
        <w:rPr>
          <w:rFonts w:eastAsia="Times New Roman" w:cs="Times New Roman"/>
          <w:color w:val="000000"/>
          <w:szCs w:val="24"/>
        </w:rPr>
        <w:t xml:space="preserve">The Competition Authority </w:t>
      </w:r>
      <w:r w:rsidR="00690BAA" w:rsidRPr="00635F22">
        <w:rPr>
          <w:rFonts w:eastAsia="Times New Roman" w:cs="Times New Roman"/>
          <w:color w:val="000000"/>
          <w:szCs w:val="24"/>
        </w:rPr>
        <w:t>plays a key role when it comes to approval is highlighted in section 42(2) of</w:t>
      </w:r>
      <w:r w:rsidR="006524F4">
        <w:rPr>
          <w:rFonts w:eastAsia="Times New Roman" w:cs="Times New Roman"/>
          <w:color w:val="000000"/>
          <w:szCs w:val="24"/>
        </w:rPr>
        <w:t xml:space="preserve"> the Competition Act. They approved the merger on </w:t>
      </w:r>
      <w:r w:rsidR="00690BAA" w:rsidRPr="00635F22">
        <w:rPr>
          <w:rFonts w:eastAsia="Times New Roman" w:cs="Times New Roman"/>
          <w:color w:val="000000"/>
          <w:szCs w:val="24"/>
        </w:rPr>
        <w:t>condition that no employee would be declared redundant within a year of transaction.</w:t>
      </w:r>
      <w:r w:rsidR="00690BAA" w:rsidRPr="005B66DE">
        <w:rPr>
          <w:vertAlign w:val="superscript"/>
        </w:rPr>
        <w:footnoteReference w:id="112"/>
      </w:r>
      <w:r w:rsidR="00690BAA" w:rsidRPr="00635F22">
        <w:rPr>
          <w:rFonts w:eastAsia="Times New Roman" w:cs="Times New Roman"/>
          <w:color w:val="000000"/>
          <w:szCs w:val="24"/>
        </w:rPr>
        <w:t xml:space="preserve"> </w:t>
      </w:r>
      <w:r w:rsidR="00997CA4">
        <w:rPr>
          <w:rFonts w:eastAsia="Times New Roman" w:cs="Times New Roman"/>
          <w:color w:val="000000"/>
          <w:szCs w:val="24"/>
        </w:rPr>
        <w:t>In the month of April of 2019, t</w:t>
      </w:r>
      <w:r w:rsidR="00690BAA" w:rsidRPr="00635F22">
        <w:rPr>
          <w:rFonts w:eastAsia="Times New Roman" w:cs="Times New Roman"/>
          <w:color w:val="000000"/>
          <w:szCs w:val="24"/>
        </w:rPr>
        <w:t>he NIC Group issued a public notice informing citizens that the shareholders of NIC had approved and ratified the merger agreement.</w:t>
      </w:r>
      <w:r w:rsidR="00AA32E2">
        <w:rPr>
          <w:rStyle w:val="FootnoteReference"/>
          <w:rFonts w:eastAsia="Times New Roman" w:cs="Times New Roman"/>
          <w:color w:val="000000"/>
          <w:szCs w:val="24"/>
        </w:rPr>
        <w:footnoteReference w:id="113"/>
      </w:r>
      <w:r w:rsidR="00690BAA" w:rsidRPr="00635F22">
        <w:rPr>
          <w:rFonts w:eastAsia="Times New Roman" w:cs="Times New Roman"/>
          <w:color w:val="000000"/>
          <w:szCs w:val="24"/>
        </w:rPr>
        <w:t xml:space="preserve"> Further, the disclaimer indicated that the notice had been issued subject to the Capital Markets Authority. The needed approval from this authority is also highlighted in Part II of the Capital Markets Act.</w:t>
      </w:r>
    </w:p>
    <w:p w14:paraId="2506FCC2" w14:textId="77777777" w:rsidR="007D5C52" w:rsidRPr="007D5C52" w:rsidRDefault="007D5C52" w:rsidP="00690BAA">
      <w:pPr>
        <w:spacing w:after="0" w:line="360" w:lineRule="auto"/>
        <w:rPr>
          <w:rFonts w:eastAsia="Times New Roman" w:cs="Times New Roman"/>
          <w:color w:val="000000"/>
          <w:szCs w:val="24"/>
        </w:rPr>
      </w:pPr>
    </w:p>
    <w:p w14:paraId="6163D847" w14:textId="562EE038" w:rsidR="00226AC1" w:rsidRDefault="00226AC1" w:rsidP="00CC7644">
      <w:pPr>
        <w:pStyle w:val="Heading2"/>
        <w:numPr>
          <w:ilvl w:val="1"/>
          <w:numId w:val="23"/>
        </w:numPr>
        <w:rPr>
          <w:rFonts w:eastAsia="Times New Roman"/>
        </w:rPr>
      </w:pPr>
      <w:r>
        <w:rPr>
          <w:rFonts w:eastAsia="Times New Roman"/>
        </w:rPr>
        <w:t xml:space="preserve"> </w:t>
      </w:r>
      <w:bookmarkStart w:id="45" w:name="_Toc62552898"/>
      <w:r>
        <w:rPr>
          <w:rFonts w:eastAsia="Times New Roman"/>
        </w:rPr>
        <w:t>CREATION OF TBTF BANK</w:t>
      </w:r>
      <w:bookmarkEnd w:id="45"/>
      <w:r w:rsidR="00CC7644">
        <w:rPr>
          <w:rFonts w:eastAsia="Times New Roman"/>
        </w:rPr>
        <w:t xml:space="preserve"> </w:t>
      </w:r>
    </w:p>
    <w:p w14:paraId="215E014B" w14:textId="29B93824" w:rsidR="00930E1A" w:rsidRDefault="00F12E14" w:rsidP="00CC7644">
      <w:pPr>
        <w:spacing w:after="0" w:line="360" w:lineRule="auto"/>
        <w:rPr>
          <w:rFonts w:eastAsia="Times New Roman" w:cs="Times New Roman"/>
          <w:color w:val="000000"/>
          <w:szCs w:val="24"/>
        </w:rPr>
      </w:pPr>
      <w:r w:rsidRPr="00226AC1">
        <w:rPr>
          <w:rFonts w:eastAsia="Times New Roman" w:cs="Times New Roman"/>
          <w:color w:val="000000"/>
          <w:szCs w:val="24"/>
        </w:rPr>
        <w:t xml:space="preserve">The </w:t>
      </w:r>
      <w:r w:rsidR="00690BAA" w:rsidRPr="00226AC1">
        <w:rPr>
          <w:rFonts w:eastAsia="Times New Roman" w:cs="Times New Roman"/>
          <w:color w:val="000000"/>
          <w:szCs w:val="24"/>
        </w:rPr>
        <w:t>newly formed</w:t>
      </w:r>
      <w:r w:rsidR="00AA32E2">
        <w:rPr>
          <w:rFonts w:eastAsia="Times New Roman" w:cs="Times New Roman"/>
          <w:color w:val="000000"/>
          <w:szCs w:val="24"/>
        </w:rPr>
        <w:t xml:space="preserve"> bank, </w:t>
      </w:r>
      <w:r w:rsidRPr="00226AC1">
        <w:rPr>
          <w:rFonts w:eastAsia="Times New Roman" w:cs="Times New Roman"/>
          <w:color w:val="000000"/>
          <w:szCs w:val="24"/>
        </w:rPr>
        <w:t xml:space="preserve">NCBA </w:t>
      </w:r>
      <w:r w:rsidR="00AA32E2">
        <w:rPr>
          <w:rFonts w:eastAsia="Times New Roman" w:cs="Times New Roman"/>
          <w:color w:val="000000"/>
          <w:szCs w:val="24"/>
        </w:rPr>
        <w:t xml:space="preserve">bank, has </w:t>
      </w:r>
      <w:r w:rsidR="00CC7644" w:rsidRPr="00226AC1">
        <w:rPr>
          <w:rFonts w:eastAsia="Times New Roman" w:cs="Times New Roman"/>
          <w:color w:val="000000"/>
          <w:szCs w:val="24"/>
        </w:rPr>
        <w:t>total asset</w:t>
      </w:r>
      <w:r w:rsidR="00CC7644">
        <w:rPr>
          <w:rFonts w:eastAsia="Times New Roman" w:cs="Times New Roman"/>
          <w:color w:val="000000"/>
          <w:szCs w:val="24"/>
        </w:rPr>
        <w:t>s</w:t>
      </w:r>
      <w:r w:rsidR="00690BAA" w:rsidRPr="00226AC1">
        <w:rPr>
          <w:rFonts w:eastAsia="Times New Roman" w:cs="Times New Roman"/>
          <w:color w:val="000000"/>
          <w:szCs w:val="24"/>
        </w:rPr>
        <w:t xml:space="preserve"> that equal</w:t>
      </w:r>
      <w:r w:rsidR="00224481">
        <w:rPr>
          <w:rFonts w:eastAsia="Times New Roman" w:cs="Times New Roman"/>
          <w:color w:val="000000"/>
          <w:szCs w:val="24"/>
        </w:rPr>
        <w:t xml:space="preserve">s at least 30% </w:t>
      </w:r>
      <w:r w:rsidR="00690BAA" w:rsidRPr="00226AC1">
        <w:rPr>
          <w:rFonts w:eastAsia="Times New Roman" w:cs="Times New Roman"/>
          <w:color w:val="000000"/>
          <w:szCs w:val="24"/>
        </w:rPr>
        <w:t>of the country’s gross domestic product (GDP).</w:t>
      </w:r>
      <w:r w:rsidR="00CC7644">
        <w:rPr>
          <w:rStyle w:val="FootnoteReference"/>
          <w:rFonts w:eastAsia="Times New Roman" w:cs="Times New Roman"/>
          <w:color w:val="000000"/>
          <w:szCs w:val="24"/>
        </w:rPr>
        <w:footnoteReference w:id="114"/>
      </w:r>
      <w:r w:rsidR="00690BAA" w:rsidRPr="00226AC1">
        <w:rPr>
          <w:rFonts w:eastAsia="Times New Roman" w:cs="Times New Roman"/>
          <w:color w:val="000000"/>
          <w:szCs w:val="24"/>
        </w:rPr>
        <w:t xml:space="preserve"> Before the merger, neither of the banks exceeded this size and thus the newly formed entity now poses a great threat to the fin</w:t>
      </w:r>
      <w:r w:rsidR="00CC7644">
        <w:rPr>
          <w:rFonts w:eastAsia="Times New Roman" w:cs="Times New Roman"/>
          <w:color w:val="000000"/>
          <w:szCs w:val="24"/>
        </w:rPr>
        <w:t xml:space="preserve">ancial stability of the nation </w:t>
      </w:r>
      <w:r w:rsidR="006524F4">
        <w:rPr>
          <w:rFonts w:eastAsia="Times New Roman" w:cs="Times New Roman"/>
          <w:color w:val="000000"/>
          <w:szCs w:val="24"/>
        </w:rPr>
        <w:t xml:space="preserve">if it fails thus requiring the </w:t>
      </w:r>
      <w:r w:rsidR="00690BAA" w:rsidRPr="00226AC1">
        <w:rPr>
          <w:rFonts w:eastAsia="Times New Roman" w:cs="Times New Roman"/>
          <w:color w:val="000000"/>
          <w:szCs w:val="24"/>
        </w:rPr>
        <w:t xml:space="preserve">government’s help to bail them out. </w:t>
      </w:r>
      <w:r w:rsidR="00CC7644">
        <w:rPr>
          <w:rFonts w:eastAsia="Times New Roman" w:cs="Times New Roman"/>
          <w:color w:val="000000"/>
          <w:szCs w:val="24"/>
        </w:rPr>
        <w:t>Additionall</w:t>
      </w:r>
      <w:r w:rsidR="00791773">
        <w:rPr>
          <w:rFonts w:eastAsia="Times New Roman" w:cs="Times New Roman"/>
          <w:color w:val="000000"/>
          <w:szCs w:val="24"/>
        </w:rPr>
        <w:t>y, NCBA holds</w:t>
      </w:r>
      <w:r w:rsidR="00224481">
        <w:rPr>
          <w:rFonts w:eastAsia="Times New Roman" w:cs="Times New Roman"/>
          <w:color w:val="000000"/>
          <w:szCs w:val="24"/>
        </w:rPr>
        <w:t xml:space="preserve"> </w:t>
      </w:r>
      <w:r w:rsidR="00791773">
        <w:rPr>
          <w:rFonts w:eastAsia="Times New Roman" w:cs="Times New Roman"/>
          <w:color w:val="000000"/>
          <w:szCs w:val="24"/>
        </w:rPr>
        <w:t>10.67 per cent of Kenya’s market share comprising of former CBA’s and NIC’s 6.05 and 4.62 per cent of market share respectively.</w:t>
      </w:r>
      <w:r w:rsidR="00791773">
        <w:rPr>
          <w:rStyle w:val="FootnoteReference"/>
          <w:rFonts w:eastAsia="Times New Roman" w:cs="Times New Roman"/>
          <w:color w:val="000000"/>
          <w:szCs w:val="24"/>
        </w:rPr>
        <w:footnoteReference w:id="115"/>
      </w:r>
      <w:r w:rsidR="001D6B03">
        <w:rPr>
          <w:rFonts w:eastAsia="Times New Roman" w:cs="Times New Roman"/>
          <w:color w:val="000000"/>
          <w:szCs w:val="24"/>
        </w:rPr>
        <w:t xml:space="preserve"> Notably, the bank is considered a Tier 1 bank and third largest bank in the country. </w:t>
      </w:r>
      <w:r w:rsidR="00FF1765">
        <w:rPr>
          <w:rStyle w:val="FootnoteReference"/>
          <w:rFonts w:eastAsia="Times New Roman" w:cs="Times New Roman"/>
          <w:color w:val="000000"/>
          <w:szCs w:val="24"/>
        </w:rPr>
        <w:footnoteReference w:id="116"/>
      </w:r>
    </w:p>
    <w:p w14:paraId="2AFDAFD0" w14:textId="31BC0230" w:rsidR="000C23C9" w:rsidRDefault="001D6B03" w:rsidP="002A4AB4">
      <w:pPr>
        <w:spacing w:after="0" w:line="360" w:lineRule="auto"/>
        <w:rPr>
          <w:rFonts w:eastAsia="Times New Roman" w:cs="Times New Roman"/>
          <w:kern w:val="3"/>
          <w:szCs w:val="24"/>
        </w:rPr>
      </w:pPr>
      <w:r>
        <w:rPr>
          <w:rFonts w:eastAsia="Times New Roman" w:cs="Times New Roman"/>
          <w:color w:val="000000"/>
          <w:szCs w:val="24"/>
        </w:rPr>
        <w:t xml:space="preserve">Notably, one of NCBA’s predecessor CBA is known </w:t>
      </w:r>
      <w:r w:rsidR="000C23C9">
        <w:rPr>
          <w:rFonts w:eastAsia="Times New Roman" w:cs="Times New Roman"/>
          <w:color w:val="000000"/>
          <w:szCs w:val="24"/>
        </w:rPr>
        <w:t xml:space="preserve">to have </w:t>
      </w:r>
      <w:r>
        <w:rPr>
          <w:rFonts w:eastAsia="Times New Roman" w:cs="Times New Roman"/>
          <w:color w:val="000000"/>
          <w:szCs w:val="24"/>
        </w:rPr>
        <w:t>significant political ties</w:t>
      </w:r>
      <w:r w:rsidR="00930E1A">
        <w:rPr>
          <w:rFonts w:eastAsia="Times New Roman" w:cs="Times New Roman"/>
          <w:color w:val="000000"/>
          <w:szCs w:val="24"/>
        </w:rPr>
        <w:t xml:space="preserve">. </w:t>
      </w:r>
      <w:r w:rsidR="00930E1A">
        <w:rPr>
          <w:rStyle w:val="FootnoteReference"/>
          <w:rFonts w:eastAsia="Times New Roman" w:cs="Times New Roman"/>
          <w:color w:val="000000"/>
          <w:szCs w:val="24"/>
        </w:rPr>
        <w:footnoteReference w:id="117"/>
      </w:r>
      <w:r w:rsidR="00930E1A">
        <w:rPr>
          <w:rFonts w:eastAsia="Times New Roman" w:cs="Times New Roman"/>
          <w:color w:val="000000"/>
          <w:szCs w:val="24"/>
        </w:rPr>
        <w:t xml:space="preserve"> </w:t>
      </w:r>
      <w:r w:rsidR="000C23C9">
        <w:rPr>
          <w:rFonts w:eastAsia="Times New Roman" w:cs="Times New Roman"/>
          <w:color w:val="000000"/>
          <w:szCs w:val="24"/>
        </w:rPr>
        <w:t xml:space="preserve">Currently, </w:t>
      </w:r>
      <w:r w:rsidR="00930E1A">
        <w:rPr>
          <w:rFonts w:eastAsia="Times New Roman" w:cs="Times New Roman"/>
          <w:color w:val="000000"/>
          <w:szCs w:val="24"/>
        </w:rPr>
        <w:t xml:space="preserve">NCBA’s top </w:t>
      </w:r>
      <w:r w:rsidR="00224481">
        <w:rPr>
          <w:rFonts w:eastAsia="Times New Roman" w:cs="Times New Roman"/>
          <w:color w:val="000000"/>
          <w:szCs w:val="24"/>
        </w:rPr>
        <w:t xml:space="preserve">shareholders </w:t>
      </w:r>
      <w:r w:rsidR="002E0EB7">
        <w:rPr>
          <w:rFonts w:eastAsia="Times New Roman" w:cs="Times New Roman"/>
          <w:color w:val="000000"/>
          <w:szCs w:val="24"/>
        </w:rPr>
        <w:t xml:space="preserve">include </w:t>
      </w:r>
      <w:r w:rsidR="00930E1A">
        <w:rPr>
          <w:rFonts w:eastAsia="Times New Roman" w:cs="Times New Roman"/>
          <w:color w:val="000000"/>
          <w:szCs w:val="24"/>
        </w:rPr>
        <w:t xml:space="preserve">Uhuru Kenyatta, Mama </w:t>
      </w:r>
      <w:proofErr w:type="spellStart"/>
      <w:r w:rsidR="00930E1A">
        <w:rPr>
          <w:rFonts w:eastAsia="Times New Roman" w:cs="Times New Roman"/>
          <w:color w:val="000000"/>
          <w:szCs w:val="24"/>
        </w:rPr>
        <w:t>Ngina</w:t>
      </w:r>
      <w:proofErr w:type="spellEnd"/>
      <w:r w:rsidR="00930E1A">
        <w:rPr>
          <w:rFonts w:eastAsia="Times New Roman" w:cs="Times New Roman"/>
          <w:color w:val="000000"/>
          <w:szCs w:val="24"/>
        </w:rPr>
        <w:t xml:space="preserve"> Kenyatta and </w:t>
      </w:r>
      <w:proofErr w:type="spellStart"/>
      <w:r w:rsidR="00930E1A">
        <w:rPr>
          <w:rFonts w:eastAsia="Times New Roman" w:cs="Times New Roman"/>
          <w:color w:val="000000"/>
          <w:szCs w:val="24"/>
        </w:rPr>
        <w:t>Muhoho</w:t>
      </w:r>
      <w:proofErr w:type="spellEnd"/>
      <w:r w:rsidR="00930E1A">
        <w:rPr>
          <w:rFonts w:eastAsia="Times New Roman" w:cs="Times New Roman"/>
          <w:color w:val="000000"/>
          <w:szCs w:val="24"/>
        </w:rPr>
        <w:t xml:space="preserve"> Kenyatta with a combined </w:t>
      </w:r>
      <w:r w:rsidR="00224481">
        <w:rPr>
          <w:rFonts w:eastAsia="Times New Roman" w:cs="Times New Roman"/>
          <w:color w:val="000000"/>
          <w:szCs w:val="24"/>
        </w:rPr>
        <w:t xml:space="preserve">a </w:t>
      </w:r>
      <w:r w:rsidR="00930E1A">
        <w:rPr>
          <w:rFonts w:eastAsia="Times New Roman" w:cs="Times New Roman"/>
          <w:color w:val="000000"/>
          <w:szCs w:val="24"/>
        </w:rPr>
        <w:t>s</w:t>
      </w:r>
      <w:r w:rsidR="00224481">
        <w:rPr>
          <w:rFonts w:eastAsia="Times New Roman" w:cs="Times New Roman"/>
          <w:color w:val="000000"/>
          <w:szCs w:val="24"/>
        </w:rPr>
        <w:t>take</w:t>
      </w:r>
      <w:r w:rsidR="00930E1A">
        <w:rPr>
          <w:rFonts w:eastAsia="Times New Roman" w:cs="Times New Roman"/>
          <w:color w:val="000000"/>
          <w:szCs w:val="24"/>
        </w:rPr>
        <w:t xml:space="preserve"> of approximately 13 per cent valued at 8.5 Billion Kenyan Shillings.</w:t>
      </w:r>
      <w:r w:rsidR="00930E1A">
        <w:rPr>
          <w:rStyle w:val="FootnoteReference"/>
          <w:rFonts w:eastAsia="Times New Roman" w:cs="Times New Roman"/>
          <w:color w:val="000000"/>
          <w:szCs w:val="24"/>
        </w:rPr>
        <w:footnoteReference w:id="118"/>
      </w:r>
      <w:r w:rsidR="000C23C9">
        <w:rPr>
          <w:rFonts w:eastAsia="Times New Roman" w:cs="Times New Roman"/>
          <w:color w:val="000000"/>
          <w:szCs w:val="24"/>
        </w:rPr>
        <w:t xml:space="preserve"> </w:t>
      </w:r>
      <w:r w:rsidR="000C23C9">
        <w:rPr>
          <w:rFonts w:eastAsia="Times New Roman" w:cs="Times New Roman"/>
          <w:color w:val="000000"/>
          <w:szCs w:val="24"/>
        </w:rPr>
        <w:lastRenderedPageBreak/>
        <w:t xml:space="preserve">Consequently, the Bank enjoys both TBTF status and deep political connections. </w:t>
      </w:r>
      <w:r w:rsidR="00034EB0">
        <w:rPr>
          <w:rFonts w:eastAsia="Times New Roman" w:cs="Times New Roman"/>
          <w:color w:val="000000"/>
          <w:szCs w:val="24"/>
        </w:rPr>
        <w:t xml:space="preserve">NIC and CBA banks were </w:t>
      </w:r>
      <w:r w:rsidR="000C23C9">
        <w:rPr>
          <w:rFonts w:eastAsia="Times New Roman" w:cs="Times New Roman"/>
          <w:kern w:val="3"/>
          <w:szCs w:val="24"/>
        </w:rPr>
        <w:t>exempted</w:t>
      </w:r>
      <w:r w:rsidR="00690BAA" w:rsidRPr="005B66DE">
        <w:rPr>
          <w:rFonts w:eastAsia="Times New Roman" w:cs="Times New Roman"/>
          <w:kern w:val="3"/>
          <w:szCs w:val="24"/>
        </w:rPr>
        <w:t xml:space="preserve"> from paying share transfer tax running into hundreds of mill</w:t>
      </w:r>
      <w:r w:rsidR="004F7521" w:rsidRPr="005B66DE">
        <w:rPr>
          <w:rFonts w:eastAsia="Times New Roman" w:cs="Times New Roman"/>
          <w:kern w:val="3"/>
          <w:szCs w:val="24"/>
        </w:rPr>
        <w:t xml:space="preserve">ions of </w:t>
      </w:r>
      <w:r w:rsidR="00034EB0">
        <w:rPr>
          <w:rFonts w:eastAsia="Times New Roman" w:cs="Times New Roman"/>
          <w:kern w:val="3"/>
          <w:szCs w:val="24"/>
        </w:rPr>
        <w:t xml:space="preserve">shillings; the tax relief is speculated to be tied to banks’ </w:t>
      </w:r>
      <w:r w:rsidR="00034EB0" w:rsidRPr="005B66DE">
        <w:rPr>
          <w:rFonts w:eastAsia="Times New Roman" w:cs="Times New Roman"/>
          <w:kern w:val="3"/>
          <w:szCs w:val="24"/>
        </w:rPr>
        <w:t>political network</w:t>
      </w:r>
      <w:r w:rsidR="00224481">
        <w:rPr>
          <w:rFonts w:eastAsia="Times New Roman" w:cs="Times New Roman"/>
          <w:kern w:val="3"/>
          <w:szCs w:val="24"/>
        </w:rPr>
        <w:t>.</w:t>
      </w:r>
      <w:r w:rsidR="00034EB0">
        <w:rPr>
          <w:rStyle w:val="FootnoteReference"/>
          <w:rFonts w:eastAsia="Times New Roman" w:cs="Times New Roman"/>
          <w:kern w:val="3"/>
          <w:szCs w:val="24"/>
        </w:rPr>
        <w:footnoteReference w:id="119"/>
      </w:r>
      <w:r w:rsidR="00224481">
        <w:rPr>
          <w:rFonts w:eastAsia="Times New Roman" w:cs="Times New Roman"/>
          <w:kern w:val="3"/>
          <w:szCs w:val="24"/>
        </w:rPr>
        <w:t xml:space="preserve"> </w:t>
      </w:r>
      <w:r w:rsidR="004F7521" w:rsidRPr="005B66DE">
        <w:rPr>
          <w:rFonts w:eastAsia="Times New Roman" w:cs="Times New Roman"/>
          <w:kern w:val="3"/>
          <w:szCs w:val="24"/>
        </w:rPr>
        <w:t>This move</w:t>
      </w:r>
      <w:r w:rsidR="00690BAA" w:rsidRPr="005B66DE">
        <w:rPr>
          <w:rFonts w:eastAsia="Times New Roman" w:cs="Times New Roman"/>
          <w:kern w:val="3"/>
          <w:szCs w:val="24"/>
        </w:rPr>
        <w:t xml:space="preserve"> </w:t>
      </w:r>
      <w:r w:rsidR="00034EB0">
        <w:rPr>
          <w:rFonts w:eastAsia="Times New Roman" w:cs="Times New Roman"/>
          <w:kern w:val="3"/>
          <w:szCs w:val="24"/>
        </w:rPr>
        <w:t xml:space="preserve">was unsuccessfully </w:t>
      </w:r>
      <w:r w:rsidR="00690BAA" w:rsidRPr="005B66DE">
        <w:rPr>
          <w:rFonts w:eastAsia="Times New Roman" w:cs="Times New Roman"/>
          <w:kern w:val="3"/>
          <w:szCs w:val="24"/>
        </w:rPr>
        <w:t xml:space="preserve">challenged </w:t>
      </w:r>
      <w:r w:rsidR="00224481">
        <w:rPr>
          <w:rFonts w:eastAsia="Times New Roman" w:cs="Times New Roman"/>
          <w:kern w:val="3"/>
          <w:szCs w:val="24"/>
        </w:rPr>
        <w:t xml:space="preserve">in court </w:t>
      </w:r>
      <w:r w:rsidR="000C23C9">
        <w:rPr>
          <w:rFonts w:eastAsia="Times New Roman" w:cs="Times New Roman"/>
          <w:kern w:val="3"/>
          <w:szCs w:val="24"/>
        </w:rPr>
        <w:t xml:space="preserve">on grounds that </w:t>
      </w:r>
      <w:r w:rsidR="00224481">
        <w:rPr>
          <w:rFonts w:eastAsia="Times New Roman" w:cs="Times New Roman"/>
          <w:kern w:val="3"/>
          <w:szCs w:val="24"/>
        </w:rPr>
        <w:t xml:space="preserve">Kenyans would lose money </w:t>
      </w:r>
      <w:r w:rsidR="00224481" w:rsidRPr="005B66DE">
        <w:rPr>
          <w:rFonts w:eastAsia="Times New Roman" w:cs="Times New Roman"/>
          <w:kern w:val="3"/>
          <w:szCs w:val="24"/>
        </w:rPr>
        <w:t xml:space="preserve">by activist </w:t>
      </w:r>
      <w:proofErr w:type="spellStart"/>
      <w:r w:rsidR="00224481" w:rsidRPr="005B66DE">
        <w:rPr>
          <w:rFonts w:eastAsia="Times New Roman" w:cs="Times New Roman"/>
          <w:kern w:val="3"/>
          <w:szCs w:val="24"/>
        </w:rPr>
        <w:t>Okiya</w:t>
      </w:r>
      <w:proofErr w:type="spellEnd"/>
      <w:r w:rsidR="00224481" w:rsidRPr="005B66DE">
        <w:rPr>
          <w:rFonts w:eastAsia="Times New Roman" w:cs="Times New Roman"/>
          <w:kern w:val="3"/>
          <w:szCs w:val="24"/>
        </w:rPr>
        <w:t xml:space="preserve"> </w:t>
      </w:r>
      <w:proofErr w:type="spellStart"/>
      <w:r w:rsidR="00224481" w:rsidRPr="005B66DE">
        <w:rPr>
          <w:rFonts w:eastAsia="Times New Roman" w:cs="Times New Roman"/>
          <w:kern w:val="3"/>
          <w:szCs w:val="24"/>
        </w:rPr>
        <w:t>Omtatah</w:t>
      </w:r>
      <w:proofErr w:type="spellEnd"/>
      <w:r w:rsidR="002E0EB7">
        <w:rPr>
          <w:rFonts w:eastAsia="Times New Roman" w:cs="Times New Roman"/>
          <w:kern w:val="3"/>
          <w:szCs w:val="24"/>
        </w:rPr>
        <w:t xml:space="preserve">. </w:t>
      </w:r>
      <w:r w:rsidR="00741C43">
        <w:rPr>
          <w:rFonts w:eastAsia="Times New Roman" w:cs="Times New Roman"/>
          <w:kern w:val="3"/>
          <w:szCs w:val="24"/>
        </w:rPr>
        <w:t>It is peculiar that such a tax break would be awarded whilst the targets set for tax collection are not being met.</w:t>
      </w:r>
      <w:r w:rsidR="00207F45">
        <w:rPr>
          <w:rStyle w:val="FootnoteReference"/>
          <w:rFonts w:eastAsia="Times New Roman" w:cs="Times New Roman"/>
          <w:kern w:val="3"/>
          <w:szCs w:val="24"/>
        </w:rPr>
        <w:footnoteReference w:id="120"/>
      </w:r>
    </w:p>
    <w:p w14:paraId="3E5C76D4" w14:textId="77777777" w:rsidR="002E0EB7" w:rsidRDefault="002E0EB7" w:rsidP="002A4AB4">
      <w:pPr>
        <w:spacing w:after="0" w:line="360" w:lineRule="auto"/>
        <w:rPr>
          <w:rFonts w:eastAsia="Times New Roman" w:cs="Times New Roman"/>
          <w:kern w:val="3"/>
          <w:szCs w:val="24"/>
        </w:rPr>
      </w:pPr>
    </w:p>
    <w:p w14:paraId="6240FA2A" w14:textId="0FC3AEC3" w:rsidR="00251BC5" w:rsidRDefault="000C23C9" w:rsidP="002A4AB4">
      <w:pPr>
        <w:spacing w:after="0" w:line="360" w:lineRule="auto"/>
        <w:rPr>
          <w:rFonts w:eastAsia="Times New Roman" w:cs="Times New Roman"/>
          <w:kern w:val="3"/>
          <w:szCs w:val="24"/>
        </w:rPr>
      </w:pPr>
      <w:r>
        <w:rPr>
          <w:rFonts w:eastAsia="Times New Roman" w:cs="Times New Roman"/>
          <w:kern w:val="3"/>
          <w:szCs w:val="24"/>
        </w:rPr>
        <w:t>As banks grow to TBTF status, st</w:t>
      </w:r>
      <w:r w:rsidR="00F12E14" w:rsidRPr="005B66DE">
        <w:rPr>
          <w:rFonts w:eastAsia="Times New Roman" w:cs="Times New Roman"/>
          <w:kern w:val="3"/>
          <w:szCs w:val="24"/>
        </w:rPr>
        <w:t xml:space="preserve">rict merger regulations </w:t>
      </w:r>
      <w:r w:rsidR="00690BAA" w:rsidRPr="005B66DE">
        <w:rPr>
          <w:rFonts w:eastAsia="Times New Roman" w:cs="Times New Roman"/>
          <w:kern w:val="3"/>
          <w:szCs w:val="24"/>
        </w:rPr>
        <w:t>targeting banking sector</w:t>
      </w:r>
      <w:r w:rsidR="00E97978">
        <w:rPr>
          <w:rFonts w:eastAsia="Times New Roman" w:cs="Times New Roman"/>
          <w:kern w:val="3"/>
          <w:szCs w:val="24"/>
        </w:rPr>
        <w:t xml:space="preserve"> as</w:t>
      </w:r>
      <w:r w:rsidR="00034EB0">
        <w:rPr>
          <w:rFonts w:eastAsia="Times New Roman" w:cs="Times New Roman"/>
          <w:kern w:val="3"/>
          <w:szCs w:val="24"/>
        </w:rPr>
        <w:t xml:space="preserve"> well as regulation of TBTF regulations</w:t>
      </w:r>
      <w:r w:rsidR="00690BAA" w:rsidRPr="005B66DE">
        <w:rPr>
          <w:rFonts w:eastAsia="Times New Roman" w:cs="Times New Roman"/>
          <w:kern w:val="3"/>
          <w:szCs w:val="24"/>
        </w:rPr>
        <w:t xml:space="preserve"> should </w:t>
      </w:r>
      <w:r>
        <w:rPr>
          <w:rFonts w:eastAsia="Times New Roman" w:cs="Times New Roman"/>
          <w:kern w:val="3"/>
          <w:szCs w:val="24"/>
        </w:rPr>
        <w:t>be prioritized in order</w:t>
      </w:r>
      <w:r w:rsidR="00690BAA" w:rsidRPr="005B66DE">
        <w:rPr>
          <w:rFonts w:eastAsia="Times New Roman" w:cs="Times New Roman"/>
          <w:kern w:val="3"/>
          <w:szCs w:val="24"/>
        </w:rPr>
        <w:t xml:space="preserve"> to prevent banks</w:t>
      </w:r>
      <w:r>
        <w:rPr>
          <w:rFonts w:eastAsia="Times New Roman" w:cs="Times New Roman"/>
          <w:kern w:val="3"/>
          <w:szCs w:val="24"/>
        </w:rPr>
        <w:t xml:space="preserve"> from having a leverage on size and political </w:t>
      </w:r>
      <w:r w:rsidR="00034EB0">
        <w:rPr>
          <w:rFonts w:eastAsia="Times New Roman" w:cs="Times New Roman"/>
          <w:kern w:val="3"/>
          <w:szCs w:val="24"/>
        </w:rPr>
        <w:t>might.</w:t>
      </w:r>
    </w:p>
    <w:p w14:paraId="6114173A" w14:textId="4659814C" w:rsidR="00182E55" w:rsidRDefault="00182E55" w:rsidP="002A4AB4">
      <w:pPr>
        <w:spacing w:after="0" w:line="360" w:lineRule="auto"/>
        <w:rPr>
          <w:rFonts w:eastAsia="Times New Roman" w:cs="Times New Roman"/>
          <w:kern w:val="3"/>
          <w:szCs w:val="24"/>
        </w:rPr>
      </w:pPr>
    </w:p>
    <w:p w14:paraId="72C22E00" w14:textId="1D6ABD93" w:rsidR="00182E55" w:rsidRDefault="00182E55" w:rsidP="002A4AB4">
      <w:pPr>
        <w:spacing w:after="0" w:line="360" w:lineRule="auto"/>
        <w:rPr>
          <w:rFonts w:eastAsia="Times New Roman" w:cs="Times New Roman"/>
          <w:b/>
          <w:kern w:val="3"/>
          <w:sz w:val="28"/>
          <w:szCs w:val="28"/>
        </w:rPr>
      </w:pPr>
      <w:r>
        <w:rPr>
          <w:rFonts w:eastAsia="Times New Roman" w:cs="Times New Roman"/>
          <w:b/>
          <w:kern w:val="3"/>
          <w:sz w:val="28"/>
          <w:szCs w:val="28"/>
        </w:rPr>
        <w:t>3.4 IMPACT OF TBTF BANK TBTF BANKS</w:t>
      </w:r>
    </w:p>
    <w:p w14:paraId="01225CB4" w14:textId="238BE899" w:rsidR="00E97978" w:rsidRDefault="00E97978" w:rsidP="00251BC5">
      <w:pPr>
        <w:spacing w:line="360" w:lineRule="auto"/>
        <w:rPr>
          <w:rFonts w:cs="Times New Roman"/>
          <w:szCs w:val="24"/>
        </w:rPr>
      </w:pPr>
      <w:r>
        <w:rPr>
          <w:rFonts w:cs="Times New Roman"/>
          <w:szCs w:val="24"/>
        </w:rPr>
        <w:t>This section will look into the n</w:t>
      </w:r>
      <w:r w:rsidR="006D5240">
        <w:rPr>
          <w:rFonts w:cs="Times New Roman"/>
          <w:szCs w:val="24"/>
        </w:rPr>
        <w:t xml:space="preserve">egative impact of TBTF Banks on Kenya’s </w:t>
      </w:r>
      <w:r>
        <w:rPr>
          <w:rFonts w:cs="Times New Roman"/>
          <w:szCs w:val="24"/>
        </w:rPr>
        <w:t>economy</w:t>
      </w:r>
      <w:r w:rsidR="002E0EB7">
        <w:rPr>
          <w:rFonts w:cs="Times New Roman"/>
          <w:szCs w:val="24"/>
        </w:rPr>
        <w:t>, financial system, its citizenry and the banking industry.</w:t>
      </w:r>
      <w:r>
        <w:rPr>
          <w:rFonts w:cs="Times New Roman"/>
          <w:szCs w:val="24"/>
        </w:rPr>
        <w:t xml:space="preserve"> </w:t>
      </w:r>
    </w:p>
    <w:p w14:paraId="3F6DCC32" w14:textId="77777777" w:rsidR="00E97978" w:rsidRDefault="00E97978" w:rsidP="00251BC5">
      <w:pPr>
        <w:spacing w:line="360" w:lineRule="auto"/>
        <w:rPr>
          <w:rFonts w:cs="Times New Roman"/>
          <w:szCs w:val="24"/>
        </w:rPr>
      </w:pPr>
    </w:p>
    <w:p w14:paraId="62100F2B" w14:textId="00364F1B" w:rsidR="00E97978" w:rsidRPr="00E97978" w:rsidRDefault="00182E55" w:rsidP="00182E55">
      <w:pPr>
        <w:pStyle w:val="Heading2"/>
        <w:ind w:left="720"/>
      </w:pPr>
      <w:r>
        <w:t>3.4.1</w:t>
      </w:r>
      <w:r w:rsidR="006D5240">
        <w:t xml:space="preserve">      </w:t>
      </w:r>
      <w:bookmarkStart w:id="46" w:name="_Toc62552900"/>
      <w:r w:rsidR="00F7790D">
        <w:t>TAXPAYER’S EXPOSURE – A MORAL HAZARD</w:t>
      </w:r>
      <w:bookmarkEnd w:id="46"/>
    </w:p>
    <w:p w14:paraId="7086301C" w14:textId="2FCEBD12" w:rsidR="00110954" w:rsidRPr="00182E55" w:rsidRDefault="006D5240" w:rsidP="00182E55">
      <w:pPr>
        <w:spacing w:line="360" w:lineRule="auto"/>
        <w:rPr>
          <w:rFonts w:cs="Times New Roman"/>
          <w:szCs w:val="24"/>
        </w:rPr>
      </w:pPr>
      <w:r w:rsidRPr="00182E55">
        <w:rPr>
          <w:rFonts w:cs="Times New Roman"/>
          <w:szCs w:val="24"/>
        </w:rPr>
        <w:t>The e</w:t>
      </w:r>
      <w:r w:rsidR="00E97978" w:rsidRPr="00182E55">
        <w:rPr>
          <w:rFonts w:cs="Times New Roman"/>
          <w:szCs w:val="24"/>
        </w:rPr>
        <w:t xml:space="preserve">xistence of TBTF banks </w:t>
      </w:r>
      <w:r w:rsidR="00110954" w:rsidRPr="00182E55">
        <w:rPr>
          <w:rFonts w:cs="Times New Roman"/>
          <w:szCs w:val="24"/>
        </w:rPr>
        <w:t>increases taxpayers’ financial exposure as they are the government’s primary source of income.</w:t>
      </w:r>
      <w:r w:rsidR="00110954">
        <w:rPr>
          <w:rStyle w:val="FootnoteReference"/>
          <w:rFonts w:cs="Times New Roman"/>
          <w:szCs w:val="24"/>
        </w:rPr>
        <w:footnoteReference w:id="121"/>
      </w:r>
      <w:r w:rsidR="00110954" w:rsidRPr="00182E55">
        <w:rPr>
          <w:rFonts w:cs="Times New Roman"/>
          <w:szCs w:val="24"/>
        </w:rPr>
        <w:t xml:space="preserve"> As it stands, Kenya’s taxpayers’ face heavy financial obligations due to high national debt</w:t>
      </w:r>
      <w:r w:rsidR="00E35B53" w:rsidRPr="00182E55">
        <w:rPr>
          <w:rFonts w:cs="Times New Roman"/>
          <w:szCs w:val="24"/>
        </w:rPr>
        <w:t xml:space="preserve"> which stands at approximately 6.6 Billion Kenyan Shillings</w:t>
      </w:r>
      <w:r w:rsidR="00110954" w:rsidRPr="00182E55">
        <w:rPr>
          <w:rFonts w:cs="Times New Roman"/>
          <w:szCs w:val="24"/>
        </w:rPr>
        <w:t>; creation of further risks will thus results in reduced quality of life</w:t>
      </w:r>
      <w:r w:rsidR="005F5360" w:rsidRPr="00182E55">
        <w:rPr>
          <w:rFonts w:cs="Times New Roman"/>
          <w:szCs w:val="24"/>
        </w:rPr>
        <w:t xml:space="preserve"> </w:t>
      </w:r>
      <w:r w:rsidR="002E0EB7" w:rsidRPr="00182E55">
        <w:rPr>
          <w:rFonts w:cs="Times New Roman"/>
          <w:szCs w:val="24"/>
        </w:rPr>
        <w:t xml:space="preserve">for Kenyans </w:t>
      </w:r>
      <w:r w:rsidR="005F5360" w:rsidRPr="00182E55">
        <w:rPr>
          <w:rFonts w:cs="Times New Roman"/>
          <w:szCs w:val="24"/>
        </w:rPr>
        <w:t>among other effects</w:t>
      </w:r>
      <w:r w:rsidR="00110954" w:rsidRPr="00182E55">
        <w:rPr>
          <w:rFonts w:cs="Times New Roman"/>
          <w:szCs w:val="24"/>
        </w:rPr>
        <w:t>.</w:t>
      </w:r>
      <w:r w:rsidR="00110954">
        <w:rPr>
          <w:rStyle w:val="FootnoteReference"/>
          <w:rFonts w:cs="Times New Roman"/>
          <w:szCs w:val="24"/>
        </w:rPr>
        <w:footnoteReference w:id="122"/>
      </w:r>
    </w:p>
    <w:p w14:paraId="1FA08CFE" w14:textId="4C938DD2" w:rsidR="00251BC5" w:rsidRPr="00182E55" w:rsidRDefault="00251BC5" w:rsidP="00182E55">
      <w:pPr>
        <w:spacing w:line="360" w:lineRule="auto"/>
        <w:rPr>
          <w:rFonts w:cs="Times New Roman"/>
          <w:szCs w:val="24"/>
        </w:rPr>
      </w:pPr>
      <w:r w:rsidRPr="00182E55">
        <w:rPr>
          <w:rFonts w:cs="Times New Roman"/>
          <w:szCs w:val="24"/>
        </w:rPr>
        <w:t xml:space="preserve">The ‘moral hazard’ </w:t>
      </w:r>
      <w:r w:rsidR="005F5360" w:rsidRPr="00182E55">
        <w:rPr>
          <w:rFonts w:cs="Times New Roman"/>
          <w:szCs w:val="24"/>
        </w:rPr>
        <w:t>is premised on the idea that TBTF banks take risks that they would otherwise avoid with the assurance that they will receive financial deliverance when</w:t>
      </w:r>
      <w:r w:rsidR="00284AFD" w:rsidRPr="00182E55">
        <w:rPr>
          <w:rFonts w:cs="Times New Roman"/>
          <w:szCs w:val="24"/>
        </w:rPr>
        <w:t xml:space="preserve"> ‘things get thick’</w:t>
      </w:r>
      <w:r w:rsidR="005F5360" w:rsidRPr="00182E55">
        <w:rPr>
          <w:rFonts w:cs="Times New Roman"/>
          <w:szCs w:val="24"/>
        </w:rPr>
        <w:t>.</w:t>
      </w:r>
      <w:r w:rsidRPr="005B66DE">
        <w:rPr>
          <w:vertAlign w:val="superscript"/>
        </w:rPr>
        <w:footnoteReference w:id="123"/>
      </w:r>
      <w:r w:rsidRPr="00182E55">
        <w:rPr>
          <w:rFonts w:cs="Times New Roman"/>
          <w:szCs w:val="24"/>
        </w:rPr>
        <w:t xml:space="preserve"> </w:t>
      </w:r>
      <w:r w:rsidR="00112E3D" w:rsidRPr="00182E55">
        <w:rPr>
          <w:rFonts w:cs="Times New Roman"/>
          <w:szCs w:val="24"/>
        </w:rPr>
        <w:t xml:space="preserve">The active occurrence of the </w:t>
      </w:r>
      <w:r w:rsidR="00284AFD" w:rsidRPr="00182E55">
        <w:rPr>
          <w:rFonts w:cs="Times New Roman"/>
          <w:szCs w:val="24"/>
        </w:rPr>
        <w:t>moral hazard</w:t>
      </w:r>
      <w:r w:rsidR="00112E3D" w:rsidRPr="00182E55">
        <w:rPr>
          <w:rFonts w:cs="Times New Roman"/>
          <w:szCs w:val="24"/>
        </w:rPr>
        <w:t xml:space="preserve"> is then presented</w:t>
      </w:r>
      <w:r w:rsidR="006D5240" w:rsidRPr="00182E55">
        <w:rPr>
          <w:rFonts w:cs="Times New Roman"/>
          <w:szCs w:val="24"/>
        </w:rPr>
        <w:t xml:space="preserve"> when </w:t>
      </w:r>
      <w:r w:rsidR="00E35B53" w:rsidRPr="00182E55">
        <w:rPr>
          <w:rFonts w:cs="Times New Roman"/>
          <w:szCs w:val="24"/>
        </w:rPr>
        <w:t>t</w:t>
      </w:r>
      <w:r w:rsidR="00284AFD" w:rsidRPr="00182E55">
        <w:rPr>
          <w:rFonts w:cs="Times New Roman"/>
          <w:szCs w:val="24"/>
        </w:rPr>
        <w:t xml:space="preserve">axpayers bear the burden </w:t>
      </w:r>
      <w:r w:rsidR="00E35B53" w:rsidRPr="00182E55">
        <w:rPr>
          <w:rFonts w:cs="Times New Roman"/>
          <w:szCs w:val="24"/>
        </w:rPr>
        <w:t xml:space="preserve">of </w:t>
      </w:r>
      <w:r w:rsidR="006D5240" w:rsidRPr="00182E55">
        <w:rPr>
          <w:rFonts w:cs="Times New Roman"/>
          <w:szCs w:val="24"/>
        </w:rPr>
        <w:t>the consequences of</w:t>
      </w:r>
      <w:r w:rsidR="00E35B53" w:rsidRPr="00182E55">
        <w:rPr>
          <w:rFonts w:cs="Times New Roman"/>
          <w:szCs w:val="24"/>
        </w:rPr>
        <w:t xml:space="preserve"> TBTF bank</w:t>
      </w:r>
      <w:r w:rsidR="00284AFD" w:rsidRPr="00182E55">
        <w:rPr>
          <w:rFonts w:cs="Times New Roman"/>
          <w:szCs w:val="24"/>
        </w:rPr>
        <w:t>s</w:t>
      </w:r>
      <w:r w:rsidR="00E35B53" w:rsidRPr="00182E55">
        <w:rPr>
          <w:rFonts w:cs="Times New Roman"/>
          <w:szCs w:val="24"/>
        </w:rPr>
        <w:t>’</w:t>
      </w:r>
      <w:r w:rsidR="00284AFD" w:rsidRPr="00182E55">
        <w:rPr>
          <w:rFonts w:cs="Times New Roman"/>
          <w:szCs w:val="24"/>
        </w:rPr>
        <w:t xml:space="preserve"> actions.</w:t>
      </w:r>
      <w:r w:rsidR="00284AFD">
        <w:rPr>
          <w:rStyle w:val="FootnoteReference"/>
          <w:rFonts w:cs="Times New Roman"/>
          <w:szCs w:val="24"/>
        </w:rPr>
        <w:footnoteReference w:id="124"/>
      </w:r>
      <w:r w:rsidRPr="00182E55">
        <w:rPr>
          <w:rFonts w:cs="Times New Roman"/>
          <w:szCs w:val="24"/>
        </w:rPr>
        <w:t xml:space="preserve"> </w:t>
      </w:r>
      <w:r w:rsidR="00E35B53" w:rsidRPr="00182E55">
        <w:rPr>
          <w:rFonts w:cs="Times New Roman"/>
          <w:szCs w:val="24"/>
        </w:rPr>
        <w:t>It follows that relieving institutions from their poor or risky decisions instills the idea that their actions are risk free and promotes the continuation of their actions as they stand to gain without loss.</w:t>
      </w:r>
    </w:p>
    <w:p w14:paraId="434B4D43" w14:textId="77777777" w:rsidR="00D92BB1" w:rsidRDefault="00D92BB1" w:rsidP="00251BC5">
      <w:pPr>
        <w:spacing w:line="360" w:lineRule="auto"/>
        <w:rPr>
          <w:rFonts w:cs="Times New Roman"/>
          <w:szCs w:val="24"/>
        </w:rPr>
      </w:pPr>
    </w:p>
    <w:p w14:paraId="2D09583A" w14:textId="175857A9" w:rsidR="00182E55" w:rsidRPr="00182E55" w:rsidRDefault="00182E55" w:rsidP="00182E55">
      <w:pPr>
        <w:pStyle w:val="Heading2"/>
        <w:ind w:left="720"/>
      </w:pPr>
      <w:bookmarkStart w:id="47" w:name="_Toc62552901"/>
      <w:r>
        <w:t xml:space="preserve">3.4.2 </w:t>
      </w:r>
      <w:r w:rsidR="00EE5A6E">
        <w:t xml:space="preserve">  </w:t>
      </w:r>
      <w:r>
        <w:t>WEAKENING</w:t>
      </w:r>
      <w:r w:rsidR="00F7790D">
        <w:t xml:space="preserve"> COMPETITION</w:t>
      </w:r>
      <w:bookmarkEnd w:id="47"/>
    </w:p>
    <w:p w14:paraId="6D4DA12C" w14:textId="51C93A4F" w:rsidR="00251BC5" w:rsidRPr="00182E55" w:rsidRDefault="00251BC5" w:rsidP="00182E55">
      <w:pPr>
        <w:spacing w:line="360" w:lineRule="auto"/>
        <w:rPr>
          <w:rFonts w:cs="Times New Roman"/>
          <w:szCs w:val="24"/>
        </w:rPr>
      </w:pPr>
      <w:r w:rsidRPr="00182E55">
        <w:rPr>
          <w:rFonts w:cs="Times New Roman"/>
          <w:szCs w:val="24"/>
        </w:rPr>
        <w:t>TBTF has a negati</w:t>
      </w:r>
      <w:r w:rsidR="00E35B53" w:rsidRPr="00182E55">
        <w:rPr>
          <w:rFonts w:cs="Times New Roman"/>
          <w:szCs w:val="24"/>
        </w:rPr>
        <w:t xml:space="preserve">ve impact on market competition as large institutions, due to their </w:t>
      </w:r>
      <w:r w:rsidR="003760C6" w:rsidRPr="00182E55">
        <w:rPr>
          <w:rFonts w:cs="Times New Roman"/>
          <w:szCs w:val="24"/>
        </w:rPr>
        <w:t>economies</w:t>
      </w:r>
      <w:r w:rsidR="006D5240" w:rsidRPr="00182E55">
        <w:rPr>
          <w:rFonts w:cs="Times New Roman"/>
          <w:szCs w:val="24"/>
        </w:rPr>
        <w:t xml:space="preserve"> of scale</w:t>
      </w:r>
      <w:r w:rsidR="00112E3D" w:rsidRPr="00182E55">
        <w:rPr>
          <w:rFonts w:cs="Times New Roman"/>
          <w:szCs w:val="24"/>
        </w:rPr>
        <w:t>,</w:t>
      </w:r>
      <w:r w:rsidR="006D5240" w:rsidRPr="00182E55">
        <w:rPr>
          <w:rFonts w:cs="Times New Roman"/>
          <w:szCs w:val="24"/>
        </w:rPr>
        <w:t xml:space="preserve"> </w:t>
      </w:r>
      <w:r w:rsidR="003760C6" w:rsidRPr="00182E55">
        <w:rPr>
          <w:rFonts w:cs="Times New Roman"/>
          <w:szCs w:val="24"/>
        </w:rPr>
        <w:t>have access to a wider and more confident market access.</w:t>
      </w:r>
      <w:r w:rsidR="00A627C0">
        <w:rPr>
          <w:rStyle w:val="FootnoteReference"/>
          <w:rFonts w:cs="Times New Roman"/>
          <w:szCs w:val="24"/>
        </w:rPr>
        <w:footnoteReference w:id="125"/>
      </w:r>
      <w:r w:rsidR="003760C6" w:rsidRPr="00182E55">
        <w:rPr>
          <w:rFonts w:cs="Times New Roman"/>
          <w:szCs w:val="24"/>
        </w:rPr>
        <w:t xml:space="preserve"> </w:t>
      </w:r>
      <w:r w:rsidR="001458E5" w:rsidRPr="00182E55">
        <w:rPr>
          <w:rFonts w:cs="Times New Roman"/>
          <w:szCs w:val="24"/>
        </w:rPr>
        <w:t xml:space="preserve"> </w:t>
      </w:r>
      <w:r w:rsidR="006D5240" w:rsidRPr="00182E55">
        <w:rPr>
          <w:rFonts w:cs="Times New Roman"/>
          <w:szCs w:val="24"/>
        </w:rPr>
        <w:t>It is a common practice for  a Kenyan looking to open a bank account to conduct search an</w:t>
      </w:r>
      <w:r w:rsidR="00112E3D" w:rsidRPr="00182E55">
        <w:rPr>
          <w:rFonts w:cs="Times New Roman"/>
          <w:szCs w:val="24"/>
        </w:rPr>
        <w:t>d</w:t>
      </w:r>
      <w:r w:rsidR="006D5240" w:rsidRPr="00182E55">
        <w:rPr>
          <w:rFonts w:cs="Times New Roman"/>
          <w:szCs w:val="24"/>
        </w:rPr>
        <w:t xml:space="preserve"> </w:t>
      </w:r>
      <w:r w:rsidR="00112E3D" w:rsidRPr="00182E55">
        <w:rPr>
          <w:rFonts w:cs="Times New Roman"/>
          <w:szCs w:val="24"/>
        </w:rPr>
        <w:t>decide</w:t>
      </w:r>
      <w:r w:rsidR="006D5240" w:rsidRPr="00182E55">
        <w:rPr>
          <w:rFonts w:cs="Times New Roman"/>
          <w:szCs w:val="24"/>
        </w:rPr>
        <w:t xml:space="preserve"> to bank with a Tier 1 bank</w:t>
      </w:r>
      <w:r w:rsidR="00112E3D" w:rsidRPr="00182E55">
        <w:rPr>
          <w:rFonts w:cs="Times New Roman"/>
          <w:szCs w:val="24"/>
        </w:rPr>
        <w:t xml:space="preserve"> based on the basis that it will not fail and should it fail, the government will intervene</w:t>
      </w:r>
      <w:r w:rsidR="006D5240" w:rsidRPr="00182E55">
        <w:rPr>
          <w:rFonts w:cs="Times New Roman"/>
          <w:szCs w:val="24"/>
        </w:rPr>
        <w:t>.</w:t>
      </w:r>
      <w:r w:rsidR="00112E3D">
        <w:rPr>
          <w:rStyle w:val="FootnoteReference"/>
          <w:rFonts w:cs="Times New Roman"/>
          <w:szCs w:val="24"/>
        </w:rPr>
        <w:footnoteReference w:id="126"/>
      </w:r>
      <w:r w:rsidR="00112E3D" w:rsidRPr="00182E55">
        <w:rPr>
          <w:rFonts w:cs="Times New Roman"/>
          <w:szCs w:val="24"/>
        </w:rPr>
        <w:t xml:space="preserve"> </w:t>
      </w:r>
      <w:r w:rsidR="001458E5" w:rsidRPr="00182E55">
        <w:rPr>
          <w:rFonts w:cs="Times New Roman"/>
          <w:szCs w:val="24"/>
        </w:rPr>
        <w:t xml:space="preserve">Additionally, TBTF Banks have an unfair advantage due to the implicit credit guarantee they receive from governments and as such </w:t>
      </w:r>
      <w:r w:rsidR="006D5240" w:rsidRPr="00182E55">
        <w:rPr>
          <w:rFonts w:cs="Times New Roman"/>
          <w:szCs w:val="24"/>
        </w:rPr>
        <w:t>receive more</w:t>
      </w:r>
      <w:r w:rsidR="001458E5" w:rsidRPr="00182E55">
        <w:rPr>
          <w:rFonts w:cs="Times New Roman"/>
          <w:szCs w:val="24"/>
        </w:rPr>
        <w:t xml:space="preserve"> funding </w:t>
      </w:r>
      <w:r w:rsidR="006D5240" w:rsidRPr="00182E55">
        <w:rPr>
          <w:rFonts w:cs="Times New Roman"/>
          <w:szCs w:val="24"/>
        </w:rPr>
        <w:t xml:space="preserve">at subsidized rates from their </w:t>
      </w:r>
      <w:r w:rsidR="00112E3D" w:rsidRPr="00182E55">
        <w:rPr>
          <w:rFonts w:cs="Times New Roman"/>
          <w:szCs w:val="24"/>
        </w:rPr>
        <w:t>creditors</w:t>
      </w:r>
      <w:r w:rsidR="001458E5" w:rsidRPr="00182E55">
        <w:rPr>
          <w:rFonts w:cs="Times New Roman"/>
          <w:szCs w:val="24"/>
        </w:rPr>
        <w:t>.</w:t>
      </w:r>
      <w:r w:rsidR="001458E5">
        <w:rPr>
          <w:rStyle w:val="FootnoteReference"/>
          <w:rFonts w:cs="Times New Roman"/>
          <w:szCs w:val="24"/>
        </w:rPr>
        <w:footnoteReference w:id="127"/>
      </w:r>
      <w:r w:rsidR="007852F8" w:rsidRPr="00182E55">
        <w:rPr>
          <w:rFonts w:cs="Times New Roman"/>
          <w:szCs w:val="24"/>
        </w:rPr>
        <w:t xml:space="preserve"> </w:t>
      </w:r>
      <w:r w:rsidR="001458E5" w:rsidRPr="00182E55">
        <w:rPr>
          <w:rFonts w:cs="Times New Roman"/>
          <w:szCs w:val="24"/>
        </w:rPr>
        <w:t>The said</w:t>
      </w:r>
      <w:r w:rsidRPr="00182E55">
        <w:rPr>
          <w:rFonts w:cs="Times New Roman"/>
          <w:szCs w:val="24"/>
        </w:rPr>
        <w:t xml:space="preserve"> advantages </w:t>
      </w:r>
      <w:r w:rsidR="001458E5" w:rsidRPr="00182E55">
        <w:rPr>
          <w:rFonts w:cs="Times New Roman"/>
          <w:szCs w:val="24"/>
        </w:rPr>
        <w:t xml:space="preserve">hinder competition and could substantially </w:t>
      </w:r>
      <w:r w:rsidR="002E0EB7" w:rsidRPr="00182E55">
        <w:rPr>
          <w:rFonts w:cs="Times New Roman"/>
          <w:szCs w:val="24"/>
        </w:rPr>
        <w:t>monopolize the</w:t>
      </w:r>
      <w:r w:rsidR="00C77FF3" w:rsidRPr="00182E55">
        <w:rPr>
          <w:rFonts w:cs="Times New Roman"/>
          <w:szCs w:val="24"/>
        </w:rPr>
        <w:t xml:space="preserve"> banking</w:t>
      </w:r>
      <w:r w:rsidR="001458E5" w:rsidRPr="00182E55">
        <w:rPr>
          <w:rFonts w:cs="Times New Roman"/>
          <w:szCs w:val="24"/>
        </w:rPr>
        <w:t xml:space="preserve"> industry</w:t>
      </w:r>
      <w:r w:rsidR="00C77FF3" w:rsidRPr="00182E55">
        <w:rPr>
          <w:rFonts w:cs="Times New Roman"/>
          <w:szCs w:val="24"/>
        </w:rPr>
        <w:t xml:space="preserve"> </w:t>
      </w:r>
      <w:r w:rsidR="002E0EB7" w:rsidRPr="00182E55">
        <w:rPr>
          <w:rFonts w:cs="Times New Roman"/>
          <w:szCs w:val="24"/>
        </w:rPr>
        <w:t xml:space="preserve">due to such </w:t>
      </w:r>
      <w:r w:rsidR="00C77FF3" w:rsidRPr="00182E55">
        <w:rPr>
          <w:rFonts w:cs="Times New Roman"/>
          <w:szCs w:val="24"/>
        </w:rPr>
        <w:t>barriers of entry</w:t>
      </w:r>
      <w:r w:rsidR="001458E5" w:rsidRPr="00182E55">
        <w:rPr>
          <w:rFonts w:cs="Times New Roman"/>
          <w:szCs w:val="24"/>
        </w:rPr>
        <w:t xml:space="preserve">. </w:t>
      </w:r>
    </w:p>
    <w:p w14:paraId="3ADFEECA" w14:textId="77777777" w:rsidR="00D92BB1" w:rsidRDefault="00D92BB1" w:rsidP="00251BC5">
      <w:pPr>
        <w:spacing w:line="360" w:lineRule="auto"/>
        <w:rPr>
          <w:rFonts w:cs="Times New Roman"/>
          <w:szCs w:val="24"/>
        </w:rPr>
      </w:pPr>
    </w:p>
    <w:p w14:paraId="26E40917" w14:textId="3D0AAE7B" w:rsidR="00F7790D" w:rsidRPr="005B66DE" w:rsidRDefault="00F7790D" w:rsidP="00182E55">
      <w:pPr>
        <w:pStyle w:val="Heading2"/>
        <w:numPr>
          <w:ilvl w:val="2"/>
          <w:numId w:val="45"/>
        </w:numPr>
        <w:jc w:val="both"/>
      </w:pPr>
      <w:bookmarkStart w:id="48" w:name="_Toc62552902"/>
      <w:r>
        <w:t>CORRUPTION</w:t>
      </w:r>
      <w:bookmarkEnd w:id="48"/>
    </w:p>
    <w:p w14:paraId="6AAFF722" w14:textId="4B883379" w:rsidR="00FB3678" w:rsidRPr="00182E55" w:rsidRDefault="00D1111E" w:rsidP="00182E55">
      <w:pPr>
        <w:spacing w:line="360" w:lineRule="auto"/>
        <w:rPr>
          <w:rFonts w:cs="Times New Roman"/>
          <w:szCs w:val="24"/>
        </w:rPr>
      </w:pPr>
      <w:r w:rsidRPr="00182E55">
        <w:rPr>
          <w:rFonts w:cs="Times New Roman"/>
          <w:szCs w:val="24"/>
        </w:rPr>
        <w:t>True to the notion that ‘</w:t>
      </w:r>
      <w:r w:rsidR="00C77FF3" w:rsidRPr="00182E55">
        <w:rPr>
          <w:rFonts w:cs="Times New Roman"/>
          <w:szCs w:val="24"/>
        </w:rPr>
        <w:t>power corrupts and absolute power corrupts absolutely</w:t>
      </w:r>
      <w:r w:rsidRPr="00182E55">
        <w:rPr>
          <w:rFonts w:cs="Times New Roman"/>
          <w:szCs w:val="24"/>
        </w:rPr>
        <w:t>’</w:t>
      </w:r>
      <w:r w:rsidR="00C77FF3" w:rsidRPr="00182E55">
        <w:rPr>
          <w:rFonts w:cs="Times New Roman"/>
          <w:szCs w:val="24"/>
        </w:rPr>
        <w:t xml:space="preserve">, TBTF banks </w:t>
      </w:r>
      <w:r w:rsidRPr="00182E55">
        <w:rPr>
          <w:rFonts w:cs="Times New Roman"/>
          <w:szCs w:val="24"/>
        </w:rPr>
        <w:t>tend to engage in unethical and corrupt activities without regard for regulations governing it.</w:t>
      </w:r>
      <w:r>
        <w:rPr>
          <w:rStyle w:val="FootnoteReference"/>
          <w:rFonts w:cs="Times New Roman"/>
          <w:szCs w:val="24"/>
        </w:rPr>
        <w:footnoteReference w:id="128"/>
      </w:r>
      <w:r w:rsidRPr="00182E55">
        <w:rPr>
          <w:rFonts w:cs="Times New Roman"/>
          <w:szCs w:val="24"/>
        </w:rPr>
        <w:t xml:space="preserve"> </w:t>
      </w:r>
      <w:r w:rsidR="00C50CD7" w:rsidRPr="00182E55">
        <w:rPr>
          <w:rFonts w:cs="Times New Roman"/>
          <w:szCs w:val="24"/>
        </w:rPr>
        <w:t xml:space="preserve">The </w:t>
      </w:r>
      <w:r w:rsidR="007852F8" w:rsidRPr="00182E55">
        <w:rPr>
          <w:rFonts w:cs="Times New Roman"/>
          <w:szCs w:val="24"/>
        </w:rPr>
        <w:t xml:space="preserve">prevention of </w:t>
      </w:r>
      <w:r w:rsidR="00C50CD7" w:rsidRPr="00182E55">
        <w:rPr>
          <w:rFonts w:cs="Times New Roman"/>
          <w:szCs w:val="24"/>
        </w:rPr>
        <w:t xml:space="preserve">corruption is equally tasked to regulators and </w:t>
      </w:r>
      <w:r w:rsidR="00FB3678" w:rsidRPr="00182E55">
        <w:rPr>
          <w:rFonts w:cs="Times New Roman"/>
          <w:szCs w:val="24"/>
        </w:rPr>
        <w:t>market</w:t>
      </w:r>
      <w:r w:rsidR="00C50CD7" w:rsidRPr="00182E55">
        <w:rPr>
          <w:rFonts w:cs="Times New Roman"/>
          <w:szCs w:val="24"/>
        </w:rPr>
        <w:t xml:space="preserve"> industry players.</w:t>
      </w:r>
      <w:r w:rsidR="00C50CD7">
        <w:rPr>
          <w:rStyle w:val="FootnoteReference"/>
          <w:rFonts w:cs="Times New Roman"/>
          <w:szCs w:val="24"/>
        </w:rPr>
        <w:footnoteReference w:id="129"/>
      </w:r>
      <w:r w:rsidR="00C50CD7" w:rsidRPr="00182E55">
        <w:rPr>
          <w:rFonts w:cs="Times New Roman"/>
          <w:szCs w:val="24"/>
        </w:rPr>
        <w:t xml:space="preserve"> It follows that </w:t>
      </w:r>
      <w:r w:rsidR="007852F8" w:rsidRPr="00182E55">
        <w:rPr>
          <w:rFonts w:cs="Times New Roman"/>
          <w:szCs w:val="24"/>
        </w:rPr>
        <w:t xml:space="preserve">where </w:t>
      </w:r>
      <w:r w:rsidR="00FB3678" w:rsidRPr="00182E55">
        <w:rPr>
          <w:rFonts w:cs="Times New Roman"/>
          <w:szCs w:val="24"/>
        </w:rPr>
        <w:t>laws</w:t>
      </w:r>
      <w:r w:rsidR="00C50CD7" w:rsidRPr="00182E55">
        <w:rPr>
          <w:rFonts w:cs="Times New Roman"/>
          <w:szCs w:val="24"/>
        </w:rPr>
        <w:t xml:space="preserve"> of,</w:t>
      </w:r>
      <w:r w:rsidR="00FB3678" w:rsidRPr="00182E55">
        <w:rPr>
          <w:rFonts w:cs="Times New Roman"/>
          <w:szCs w:val="24"/>
        </w:rPr>
        <w:t xml:space="preserve"> and regulators </w:t>
      </w:r>
      <w:r w:rsidR="002E70A1" w:rsidRPr="00182E55">
        <w:rPr>
          <w:rFonts w:cs="Times New Roman"/>
          <w:szCs w:val="24"/>
        </w:rPr>
        <w:t xml:space="preserve"> in, </w:t>
      </w:r>
      <w:r w:rsidR="00C50CD7" w:rsidRPr="00182E55">
        <w:rPr>
          <w:rFonts w:cs="Times New Roman"/>
          <w:szCs w:val="24"/>
        </w:rPr>
        <w:t xml:space="preserve">a country </w:t>
      </w:r>
      <w:r w:rsidR="00FB3678" w:rsidRPr="00182E55">
        <w:rPr>
          <w:rFonts w:cs="Times New Roman"/>
          <w:szCs w:val="24"/>
        </w:rPr>
        <w:t xml:space="preserve">are committed to </w:t>
      </w:r>
      <w:r w:rsidR="007852F8" w:rsidRPr="00182E55">
        <w:rPr>
          <w:rFonts w:cs="Times New Roman"/>
          <w:szCs w:val="24"/>
        </w:rPr>
        <w:t xml:space="preserve">anti-corrupt practices, the </w:t>
      </w:r>
      <w:r w:rsidR="00C50CD7" w:rsidRPr="00182E55">
        <w:rPr>
          <w:rFonts w:cs="Times New Roman"/>
          <w:szCs w:val="24"/>
        </w:rPr>
        <w:t>TBTF banks, forming the largest pool of market industry players in the banking sector, must be committed to the same cause.</w:t>
      </w:r>
      <w:r w:rsidR="00C50CD7">
        <w:rPr>
          <w:rStyle w:val="FootnoteReference"/>
          <w:rFonts w:cs="Times New Roman"/>
          <w:szCs w:val="24"/>
        </w:rPr>
        <w:footnoteReference w:id="130"/>
      </w:r>
      <w:r w:rsidR="00C50CD7" w:rsidRPr="00182E55">
        <w:rPr>
          <w:rFonts w:cs="Times New Roman"/>
          <w:szCs w:val="24"/>
        </w:rPr>
        <w:t xml:space="preserve"> However, in many cases, TBTF banks are uninhibited due to their influence.</w:t>
      </w:r>
      <w:r w:rsidR="00C50CD7">
        <w:rPr>
          <w:rStyle w:val="FootnoteReference"/>
          <w:rFonts w:cs="Times New Roman"/>
          <w:szCs w:val="24"/>
        </w:rPr>
        <w:footnoteReference w:id="131"/>
      </w:r>
      <w:r w:rsidR="00C50CD7" w:rsidRPr="00182E55">
        <w:rPr>
          <w:rFonts w:cs="Times New Roman"/>
          <w:szCs w:val="24"/>
        </w:rPr>
        <w:t xml:space="preserve"> </w:t>
      </w:r>
      <w:r w:rsidR="00FB3678" w:rsidRPr="00182E55">
        <w:rPr>
          <w:rFonts w:cs="Times New Roman"/>
          <w:szCs w:val="24"/>
        </w:rPr>
        <w:t xml:space="preserve">In </w:t>
      </w:r>
      <w:r w:rsidR="002E70A1" w:rsidRPr="00182E55">
        <w:rPr>
          <w:rFonts w:cs="Times New Roman"/>
          <w:szCs w:val="24"/>
        </w:rPr>
        <w:t>Kenya</w:t>
      </w:r>
      <w:r w:rsidR="007852F8" w:rsidRPr="00182E55">
        <w:rPr>
          <w:rFonts w:cs="Times New Roman"/>
          <w:szCs w:val="24"/>
        </w:rPr>
        <w:t>,</w:t>
      </w:r>
      <w:r w:rsidR="002E70A1" w:rsidRPr="00182E55">
        <w:rPr>
          <w:rFonts w:cs="Times New Roman"/>
          <w:szCs w:val="24"/>
        </w:rPr>
        <w:t xml:space="preserve"> where the government including legisla</w:t>
      </w:r>
      <w:r w:rsidR="007852F8" w:rsidRPr="00182E55">
        <w:rPr>
          <w:rFonts w:cs="Times New Roman"/>
          <w:szCs w:val="24"/>
        </w:rPr>
        <w:t>tors and policy makers engage in corrupt activities</w:t>
      </w:r>
      <w:r w:rsidR="002E70A1" w:rsidRPr="00182E55">
        <w:rPr>
          <w:rFonts w:cs="Times New Roman"/>
          <w:szCs w:val="24"/>
        </w:rPr>
        <w:t xml:space="preserve">, it </w:t>
      </w:r>
      <w:r w:rsidR="00FB3678" w:rsidRPr="00182E55">
        <w:rPr>
          <w:rFonts w:cs="Times New Roman"/>
          <w:szCs w:val="24"/>
        </w:rPr>
        <w:t xml:space="preserve">is perceivable that TBTF banks </w:t>
      </w:r>
      <w:r w:rsidR="007852F8" w:rsidRPr="00182E55">
        <w:rPr>
          <w:rFonts w:cs="Times New Roman"/>
          <w:szCs w:val="24"/>
        </w:rPr>
        <w:t>may</w:t>
      </w:r>
      <w:r w:rsidR="002E70A1" w:rsidRPr="00182E55">
        <w:rPr>
          <w:rFonts w:cs="Times New Roman"/>
          <w:szCs w:val="24"/>
        </w:rPr>
        <w:t xml:space="preserve"> have influence over </w:t>
      </w:r>
      <w:r w:rsidR="007852F8" w:rsidRPr="00182E55">
        <w:rPr>
          <w:rFonts w:cs="Times New Roman"/>
          <w:szCs w:val="24"/>
        </w:rPr>
        <w:t xml:space="preserve">its </w:t>
      </w:r>
      <w:r w:rsidR="00FB3678" w:rsidRPr="00182E55">
        <w:rPr>
          <w:rFonts w:cs="Times New Roman"/>
          <w:szCs w:val="24"/>
        </w:rPr>
        <w:t xml:space="preserve">regulation </w:t>
      </w:r>
      <w:r w:rsidR="002E70A1" w:rsidRPr="00182E55">
        <w:rPr>
          <w:rFonts w:cs="Times New Roman"/>
          <w:szCs w:val="24"/>
        </w:rPr>
        <w:t>thus engaging in corrupt activities without consequence.</w:t>
      </w:r>
    </w:p>
    <w:p w14:paraId="5432935D" w14:textId="04492C9A" w:rsidR="002E70A1" w:rsidRPr="00182E55" w:rsidRDefault="002E70A1" w:rsidP="00182E55">
      <w:pPr>
        <w:spacing w:line="360" w:lineRule="auto"/>
        <w:rPr>
          <w:rFonts w:cs="Times New Roman"/>
          <w:szCs w:val="24"/>
        </w:rPr>
      </w:pPr>
      <w:r w:rsidRPr="00182E55">
        <w:rPr>
          <w:rFonts w:cs="Times New Roman"/>
          <w:szCs w:val="24"/>
        </w:rPr>
        <w:lastRenderedPageBreak/>
        <w:t xml:space="preserve">Additionally,  due to their size, </w:t>
      </w:r>
      <w:r w:rsidR="00251BC5" w:rsidRPr="00182E55">
        <w:rPr>
          <w:rFonts w:cs="Times New Roman"/>
          <w:szCs w:val="24"/>
        </w:rPr>
        <w:t xml:space="preserve">huge banks </w:t>
      </w:r>
      <w:r w:rsidR="007852F8" w:rsidRPr="00182E55">
        <w:rPr>
          <w:rFonts w:cs="Times New Roman"/>
          <w:szCs w:val="24"/>
        </w:rPr>
        <w:t xml:space="preserve">conducting </w:t>
      </w:r>
      <w:r w:rsidR="00251BC5" w:rsidRPr="00182E55">
        <w:rPr>
          <w:rFonts w:cs="Times New Roman"/>
          <w:szCs w:val="24"/>
        </w:rPr>
        <w:t xml:space="preserve">money laundering activities </w:t>
      </w:r>
      <w:r w:rsidR="007852F8" w:rsidRPr="00182E55">
        <w:rPr>
          <w:rFonts w:cs="Times New Roman"/>
          <w:szCs w:val="24"/>
        </w:rPr>
        <w:t xml:space="preserve">may not be easily spotted by </w:t>
      </w:r>
      <w:r w:rsidRPr="00182E55">
        <w:rPr>
          <w:rFonts w:cs="Times New Roman"/>
          <w:szCs w:val="24"/>
        </w:rPr>
        <w:t>regulators</w:t>
      </w:r>
      <w:r w:rsidR="00251BC5" w:rsidRPr="00182E55">
        <w:rPr>
          <w:rFonts w:cs="Times New Roman"/>
          <w:szCs w:val="24"/>
        </w:rPr>
        <w:t>.</w:t>
      </w:r>
      <w:r w:rsidR="00251BC5" w:rsidRPr="005B66DE">
        <w:rPr>
          <w:vertAlign w:val="superscript"/>
        </w:rPr>
        <w:footnoteReference w:id="132"/>
      </w:r>
      <w:r w:rsidR="00251BC5" w:rsidRPr="00182E55">
        <w:rPr>
          <w:rFonts w:cs="Times New Roman"/>
          <w:szCs w:val="24"/>
        </w:rPr>
        <w:t xml:space="preserve"> </w:t>
      </w:r>
      <w:r w:rsidRPr="00182E55">
        <w:rPr>
          <w:rFonts w:cs="Times New Roman"/>
          <w:szCs w:val="24"/>
        </w:rPr>
        <w:t>For example, in</w:t>
      </w:r>
      <w:r w:rsidR="00251BC5" w:rsidRPr="00182E55">
        <w:rPr>
          <w:rFonts w:cs="Times New Roman"/>
          <w:szCs w:val="24"/>
        </w:rPr>
        <w:t xml:space="preserve"> 2012, HSBC hit the headlines for failing to implement an effective anti-money laundering program having been a victim of hundreds of millions being laundered through the bank for Mexican drug cartels.</w:t>
      </w:r>
      <w:r w:rsidR="00251BC5" w:rsidRPr="005B66DE">
        <w:rPr>
          <w:rStyle w:val="FootnoteReference"/>
          <w:rFonts w:cs="Times New Roman"/>
          <w:szCs w:val="24"/>
        </w:rPr>
        <w:footnoteReference w:id="133"/>
      </w:r>
      <w:r w:rsidR="007852F8" w:rsidRPr="00182E55">
        <w:rPr>
          <w:rFonts w:cs="Times New Roman"/>
          <w:szCs w:val="24"/>
        </w:rPr>
        <w:t xml:space="preserve"> In</w:t>
      </w:r>
      <w:r w:rsidRPr="00182E55">
        <w:rPr>
          <w:rFonts w:cs="Times New Roman"/>
          <w:szCs w:val="24"/>
        </w:rPr>
        <w:t xml:space="preserve"> Kenya, Standard Chartered was</w:t>
      </w:r>
      <w:r w:rsidR="00251BC5" w:rsidRPr="00182E55">
        <w:rPr>
          <w:rFonts w:cs="Times New Roman"/>
          <w:szCs w:val="24"/>
        </w:rPr>
        <w:t xml:space="preserve"> involved in facilitating the movement of hundreds of millions for sanctioned countries such as Sudan and Iran</w:t>
      </w:r>
      <w:r w:rsidR="007852F8" w:rsidRPr="00182E55">
        <w:rPr>
          <w:rFonts w:cs="Times New Roman"/>
          <w:szCs w:val="24"/>
        </w:rPr>
        <w:t xml:space="preserve"> unnoticed</w:t>
      </w:r>
      <w:r w:rsidR="00251BC5" w:rsidRPr="00182E55">
        <w:rPr>
          <w:rFonts w:cs="Times New Roman"/>
          <w:szCs w:val="24"/>
        </w:rPr>
        <w:t>.</w:t>
      </w:r>
      <w:r w:rsidR="00251BC5" w:rsidRPr="005B66DE">
        <w:rPr>
          <w:rStyle w:val="FootnoteReference"/>
          <w:rFonts w:cs="Times New Roman"/>
          <w:szCs w:val="24"/>
        </w:rPr>
        <w:footnoteReference w:id="134"/>
      </w:r>
      <w:r w:rsidR="00251BC5" w:rsidRPr="00182E55">
        <w:rPr>
          <w:rFonts w:cs="Times New Roman"/>
          <w:szCs w:val="24"/>
        </w:rPr>
        <w:t xml:space="preserve"> </w:t>
      </w:r>
    </w:p>
    <w:p w14:paraId="562CF7F7" w14:textId="44B32202" w:rsidR="00251BC5" w:rsidRPr="00182E55" w:rsidRDefault="002E70A1" w:rsidP="00182E55">
      <w:pPr>
        <w:spacing w:line="360" w:lineRule="auto"/>
        <w:rPr>
          <w:rFonts w:cs="Times New Roman"/>
          <w:szCs w:val="24"/>
        </w:rPr>
      </w:pPr>
      <w:r w:rsidRPr="00182E55">
        <w:rPr>
          <w:rFonts w:cs="Times New Roman"/>
          <w:szCs w:val="24"/>
        </w:rPr>
        <w:t xml:space="preserve">In addition to the market power, TBTF banks, more often than not, have strong political backing making it difficult </w:t>
      </w:r>
      <w:r w:rsidR="00251BC5" w:rsidRPr="00182E55">
        <w:rPr>
          <w:rFonts w:cs="Times New Roman"/>
          <w:szCs w:val="24"/>
        </w:rPr>
        <w:t xml:space="preserve">to hold the bank, its managers or shareholders accountable upon any wrong doing. </w:t>
      </w:r>
      <w:r>
        <w:rPr>
          <w:rStyle w:val="FootnoteReference"/>
          <w:rFonts w:cs="Times New Roman"/>
          <w:szCs w:val="24"/>
        </w:rPr>
        <w:footnoteReference w:id="135"/>
      </w:r>
      <w:r w:rsidR="00A0607C" w:rsidRPr="00182E55">
        <w:rPr>
          <w:rFonts w:cs="Times New Roman"/>
          <w:szCs w:val="24"/>
        </w:rPr>
        <w:t xml:space="preserve"> </w:t>
      </w:r>
      <w:r w:rsidR="006D5240" w:rsidRPr="00182E55">
        <w:rPr>
          <w:rFonts w:cs="Times New Roman"/>
          <w:szCs w:val="24"/>
        </w:rPr>
        <w:t xml:space="preserve">Supposing, </w:t>
      </w:r>
      <w:r w:rsidR="00251BC5" w:rsidRPr="00182E55">
        <w:rPr>
          <w:rFonts w:cs="Times New Roman"/>
          <w:szCs w:val="24"/>
        </w:rPr>
        <w:t xml:space="preserve">HSBC managers </w:t>
      </w:r>
      <w:r w:rsidR="007852F8" w:rsidRPr="00182E55">
        <w:rPr>
          <w:rFonts w:cs="Times New Roman"/>
          <w:szCs w:val="24"/>
        </w:rPr>
        <w:t>and shareholders of the bank were</w:t>
      </w:r>
      <w:r w:rsidR="00251BC5" w:rsidRPr="00182E55">
        <w:rPr>
          <w:rFonts w:cs="Times New Roman"/>
          <w:szCs w:val="24"/>
        </w:rPr>
        <w:t xml:space="preserve"> publicly charged with matters relating to banking irregularities, this may cause a panic </w:t>
      </w:r>
      <w:r w:rsidR="007852F8" w:rsidRPr="00182E55">
        <w:rPr>
          <w:rFonts w:cs="Times New Roman"/>
          <w:szCs w:val="24"/>
        </w:rPr>
        <w:t>resulting in</w:t>
      </w:r>
      <w:r w:rsidR="00251BC5" w:rsidRPr="00182E55">
        <w:rPr>
          <w:rFonts w:cs="Times New Roman"/>
          <w:szCs w:val="24"/>
        </w:rPr>
        <w:t xml:space="preserve"> account holders and investors </w:t>
      </w:r>
      <w:r w:rsidR="007852F8" w:rsidRPr="00182E55">
        <w:rPr>
          <w:rFonts w:cs="Times New Roman"/>
          <w:szCs w:val="24"/>
        </w:rPr>
        <w:t>disassociating</w:t>
      </w:r>
      <w:r w:rsidR="00251BC5" w:rsidRPr="00182E55">
        <w:rPr>
          <w:rFonts w:cs="Times New Roman"/>
          <w:szCs w:val="24"/>
        </w:rPr>
        <w:t xml:space="preserve"> themselves</w:t>
      </w:r>
      <w:r w:rsidR="006D5240" w:rsidRPr="00182E55">
        <w:rPr>
          <w:rFonts w:cs="Times New Roman"/>
          <w:szCs w:val="24"/>
        </w:rPr>
        <w:t xml:space="preserve">; </w:t>
      </w:r>
      <w:r w:rsidR="00A0607C" w:rsidRPr="00182E55">
        <w:rPr>
          <w:rFonts w:cs="Times New Roman"/>
          <w:szCs w:val="24"/>
        </w:rPr>
        <w:t>ultimately</w:t>
      </w:r>
      <w:r w:rsidR="007852F8" w:rsidRPr="00182E55">
        <w:rPr>
          <w:rFonts w:cs="Times New Roman"/>
          <w:szCs w:val="24"/>
        </w:rPr>
        <w:t xml:space="preserve">, </w:t>
      </w:r>
      <w:r w:rsidR="006D5240" w:rsidRPr="00182E55">
        <w:rPr>
          <w:rFonts w:cs="Times New Roman"/>
          <w:szCs w:val="24"/>
        </w:rPr>
        <w:t xml:space="preserve">the </w:t>
      </w:r>
      <w:r w:rsidR="00251BC5" w:rsidRPr="00182E55">
        <w:rPr>
          <w:rFonts w:cs="Times New Roman"/>
          <w:szCs w:val="24"/>
        </w:rPr>
        <w:t xml:space="preserve">bank </w:t>
      </w:r>
      <w:r w:rsidR="006D5240" w:rsidRPr="00182E55">
        <w:rPr>
          <w:rFonts w:cs="Times New Roman"/>
          <w:szCs w:val="24"/>
        </w:rPr>
        <w:t xml:space="preserve">may ‘go under’ </w:t>
      </w:r>
      <w:r w:rsidR="00251BC5" w:rsidRPr="00182E55">
        <w:rPr>
          <w:rFonts w:cs="Times New Roman"/>
          <w:szCs w:val="24"/>
        </w:rPr>
        <w:t>and disr</w:t>
      </w:r>
      <w:r w:rsidR="006D5240" w:rsidRPr="00182E55">
        <w:rPr>
          <w:rFonts w:cs="Times New Roman"/>
          <w:szCs w:val="24"/>
        </w:rPr>
        <w:t>upt the entire financial system.</w:t>
      </w:r>
      <w:r w:rsidR="006D5240" w:rsidRPr="005B66DE">
        <w:rPr>
          <w:vertAlign w:val="superscript"/>
        </w:rPr>
        <w:footnoteReference w:id="136"/>
      </w:r>
      <w:r w:rsidR="006D5240" w:rsidRPr="00182E55">
        <w:rPr>
          <w:rFonts w:cs="Times New Roman"/>
          <w:szCs w:val="24"/>
        </w:rPr>
        <w:t xml:space="preserve"> </w:t>
      </w:r>
      <w:r w:rsidR="00251BC5" w:rsidRPr="00182E55">
        <w:rPr>
          <w:rFonts w:cs="Times New Roman"/>
          <w:szCs w:val="24"/>
        </w:rPr>
        <w:t xml:space="preserve">In most cases, settlements are the most available cause of action against </w:t>
      </w:r>
      <w:r w:rsidR="007852F8" w:rsidRPr="00182E55">
        <w:rPr>
          <w:rFonts w:cs="Times New Roman"/>
          <w:szCs w:val="24"/>
        </w:rPr>
        <w:t xml:space="preserve">these </w:t>
      </w:r>
      <w:r w:rsidR="00251BC5" w:rsidRPr="00182E55">
        <w:rPr>
          <w:rFonts w:cs="Times New Roman"/>
          <w:szCs w:val="24"/>
        </w:rPr>
        <w:t>banks</w:t>
      </w:r>
      <w:r w:rsidR="006D5240" w:rsidRPr="00182E55">
        <w:rPr>
          <w:rFonts w:cs="Times New Roman"/>
          <w:szCs w:val="24"/>
        </w:rPr>
        <w:t xml:space="preserve"> resulting in</w:t>
      </w:r>
      <w:r w:rsidR="007852F8" w:rsidRPr="00182E55">
        <w:rPr>
          <w:rFonts w:cs="Times New Roman"/>
          <w:szCs w:val="24"/>
        </w:rPr>
        <w:t xml:space="preserve"> an</w:t>
      </w:r>
      <w:r w:rsidR="006D5240" w:rsidRPr="00182E55">
        <w:rPr>
          <w:rFonts w:cs="Times New Roman"/>
          <w:szCs w:val="24"/>
        </w:rPr>
        <w:t xml:space="preserve"> implicit</w:t>
      </w:r>
      <w:r w:rsidR="00251BC5" w:rsidRPr="00182E55">
        <w:rPr>
          <w:rFonts w:cs="Times New Roman"/>
          <w:szCs w:val="24"/>
        </w:rPr>
        <w:t xml:space="preserve"> semi-immunity policy</w:t>
      </w:r>
      <w:r w:rsidR="007852F8" w:rsidRPr="00182E55">
        <w:rPr>
          <w:rFonts w:cs="Times New Roman"/>
          <w:szCs w:val="24"/>
        </w:rPr>
        <w:t xml:space="preserve"> that</w:t>
      </w:r>
      <w:r w:rsidR="00251BC5" w:rsidRPr="00182E55">
        <w:rPr>
          <w:rFonts w:cs="Times New Roman"/>
          <w:szCs w:val="24"/>
        </w:rPr>
        <w:t xml:space="preserve"> has been nicknamed ‘too big to jail’ </w:t>
      </w:r>
      <w:r w:rsidR="007852F8" w:rsidRPr="00182E55">
        <w:rPr>
          <w:rFonts w:cs="Times New Roman"/>
          <w:szCs w:val="24"/>
        </w:rPr>
        <w:t xml:space="preserve"> and </w:t>
      </w:r>
      <w:r w:rsidR="00251BC5" w:rsidRPr="00182E55">
        <w:rPr>
          <w:rFonts w:cs="Times New Roman"/>
          <w:szCs w:val="24"/>
        </w:rPr>
        <w:t>translates to additional economic advantage.</w:t>
      </w:r>
      <w:r w:rsidR="00251BC5" w:rsidRPr="005B66DE">
        <w:rPr>
          <w:vertAlign w:val="superscript"/>
        </w:rPr>
        <w:footnoteReference w:id="137"/>
      </w:r>
    </w:p>
    <w:p w14:paraId="3BD880FE" w14:textId="77777777" w:rsidR="00D92BB1" w:rsidRDefault="00D92BB1" w:rsidP="00251BC5">
      <w:pPr>
        <w:spacing w:line="360" w:lineRule="auto"/>
        <w:rPr>
          <w:rFonts w:cs="Times New Roman"/>
          <w:szCs w:val="24"/>
        </w:rPr>
      </w:pPr>
    </w:p>
    <w:p w14:paraId="0C24C5BD" w14:textId="03D2828D" w:rsidR="00F7790D" w:rsidRPr="005B66DE" w:rsidRDefault="00224481" w:rsidP="00182E55">
      <w:pPr>
        <w:pStyle w:val="Heading2"/>
        <w:numPr>
          <w:ilvl w:val="2"/>
          <w:numId w:val="45"/>
        </w:numPr>
      </w:pPr>
      <w:bookmarkStart w:id="49" w:name="_Toc62552903"/>
      <w:r>
        <w:t xml:space="preserve">SOVEREIGN </w:t>
      </w:r>
      <w:r w:rsidR="00D92BB1">
        <w:t xml:space="preserve">FINANCIAL </w:t>
      </w:r>
      <w:r>
        <w:t>RISK</w:t>
      </w:r>
      <w:bookmarkEnd w:id="49"/>
    </w:p>
    <w:p w14:paraId="0CD1277F" w14:textId="77777777" w:rsidR="00DC63F9" w:rsidRPr="00182E55" w:rsidRDefault="00D92BB1" w:rsidP="00182E55">
      <w:pPr>
        <w:spacing w:line="360" w:lineRule="auto"/>
        <w:rPr>
          <w:rFonts w:cs="Times New Roman"/>
          <w:szCs w:val="24"/>
          <w:bdr w:val="none" w:sz="0" w:space="0" w:color="auto" w:frame="1"/>
          <w:shd w:val="clear" w:color="auto" w:fill="FFFFFF"/>
        </w:rPr>
      </w:pPr>
      <w:r w:rsidRPr="00182E55">
        <w:rPr>
          <w:rFonts w:cs="Times New Roman"/>
          <w:color w:val="232323"/>
          <w:szCs w:val="24"/>
          <w:shd w:val="clear" w:color="auto" w:fill="FFFFFF"/>
        </w:rPr>
        <w:t xml:space="preserve">As globalization </w:t>
      </w:r>
      <w:r w:rsidR="00A0607C" w:rsidRPr="00182E55">
        <w:rPr>
          <w:rFonts w:cs="Times New Roman"/>
          <w:color w:val="232323"/>
          <w:szCs w:val="24"/>
          <w:shd w:val="clear" w:color="auto" w:fill="FFFFFF"/>
        </w:rPr>
        <w:t>continues to sour</w:t>
      </w:r>
      <w:r w:rsidRPr="00182E55">
        <w:rPr>
          <w:rFonts w:cs="Times New Roman"/>
          <w:color w:val="232323"/>
          <w:szCs w:val="24"/>
          <w:shd w:val="clear" w:color="auto" w:fill="FFFFFF"/>
        </w:rPr>
        <w:t xml:space="preserve">, </w:t>
      </w:r>
      <w:r w:rsidR="00DC63F9" w:rsidRPr="00182E55">
        <w:rPr>
          <w:rFonts w:cs="Times New Roman"/>
          <w:color w:val="232323"/>
          <w:szCs w:val="24"/>
          <w:shd w:val="clear" w:color="auto" w:fill="FFFFFF"/>
        </w:rPr>
        <w:t xml:space="preserve">the </w:t>
      </w:r>
      <w:r w:rsidRPr="00182E55">
        <w:rPr>
          <w:rFonts w:cs="Times New Roman"/>
          <w:color w:val="232323"/>
          <w:szCs w:val="24"/>
          <w:shd w:val="clear" w:color="auto" w:fill="FFFFFF"/>
        </w:rPr>
        <w:t xml:space="preserve">soundness of an economy’s financial system is </w:t>
      </w:r>
      <w:r w:rsidR="00A0607C" w:rsidRPr="00182E55">
        <w:rPr>
          <w:rFonts w:cs="Times New Roman"/>
          <w:color w:val="232323"/>
          <w:szCs w:val="24"/>
          <w:shd w:val="clear" w:color="auto" w:fill="FFFFFF"/>
        </w:rPr>
        <w:t>constantly</w:t>
      </w:r>
      <w:r w:rsidRPr="00182E55">
        <w:rPr>
          <w:rFonts w:cs="Times New Roman"/>
          <w:color w:val="232323"/>
          <w:szCs w:val="24"/>
          <w:shd w:val="clear" w:color="auto" w:fill="FFFFFF"/>
        </w:rPr>
        <w:t xml:space="preserve"> under scrutiny by investors and trading partners.</w:t>
      </w:r>
      <w:r>
        <w:rPr>
          <w:rStyle w:val="FootnoteReference"/>
          <w:rFonts w:cs="Times New Roman"/>
          <w:color w:val="232323"/>
          <w:szCs w:val="24"/>
          <w:shd w:val="clear" w:color="auto" w:fill="FFFFFF"/>
        </w:rPr>
        <w:footnoteReference w:id="138"/>
      </w:r>
      <w:r w:rsidRPr="00182E55">
        <w:rPr>
          <w:rFonts w:cs="Times New Roman"/>
          <w:color w:val="232323"/>
          <w:szCs w:val="24"/>
          <w:shd w:val="clear" w:color="auto" w:fill="FFFFFF"/>
        </w:rPr>
        <w:t xml:space="preserve"> Notably, the </w:t>
      </w:r>
      <w:r w:rsidR="00251BC5" w:rsidRPr="00182E55">
        <w:rPr>
          <w:rFonts w:cs="Times New Roman"/>
          <w:color w:val="232323"/>
          <w:szCs w:val="24"/>
          <w:shd w:val="clear" w:color="auto" w:fill="FFFFFF"/>
        </w:rPr>
        <w:t>designation of TBTF can affect stability and efficiency</w:t>
      </w:r>
      <w:r w:rsidR="007852F8" w:rsidRPr="00182E55">
        <w:rPr>
          <w:rFonts w:cs="Times New Roman"/>
          <w:color w:val="232323"/>
          <w:szCs w:val="24"/>
          <w:shd w:val="clear" w:color="auto" w:fill="FFFFFF"/>
        </w:rPr>
        <w:t xml:space="preserve"> of an economy </w:t>
      </w:r>
      <w:r w:rsidRPr="00182E55">
        <w:rPr>
          <w:rFonts w:cs="Times New Roman"/>
          <w:color w:val="232323"/>
          <w:szCs w:val="24"/>
          <w:shd w:val="clear" w:color="auto" w:fill="FFFFFF"/>
        </w:rPr>
        <w:t xml:space="preserve">by </w:t>
      </w:r>
      <w:r w:rsidR="007852F8" w:rsidRPr="00182E55">
        <w:rPr>
          <w:rFonts w:cs="Times New Roman"/>
          <w:color w:val="232323"/>
          <w:szCs w:val="24"/>
          <w:shd w:val="clear" w:color="auto" w:fill="FFFFFF"/>
        </w:rPr>
        <w:t xml:space="preserve">conveying </w:t>
      </w:r>
      <w:r w:rsidR="00251BC5" w:rsidRPr="00182E55">
        <w:rPr>
          <w:rFonts w:cs="Times New Roman"/>
          <w:color w:val="232323"/>
          <w:szCs w:val="24"/>
          <w:shd w:val="clear" w:color="auto" w:fill="FFFFFF"/>
        </w:rPr>
        <w:t>implicit guarantee</w:t>
      </w:r>
      <w:r w:rsidR="007852F8" w:rsidRPr="00182E55">
        <w:rPr>
          <w:rFonts w:cs="Times New Roman"/>
          <w:color w:val="232323"/>
          <w:szCs w:val="24"/>
          <w:shd w:val="clear" w:color="auto" w:fill="FFFFFF"/>
        </w:rPr>
        <w:t xml:space="preserve">s to TBTF banks’ creditors thus </w:t>
      </w:r>
      <w:r w:rsidR="00251BC5" w:rsidRPr="00182E55">
        <w:rPr>
          <w:rFonts w:cs="Times New Roman"/>
          <w:color w:val="232323"/>
          <w:szCs w:val="24"/>
          <w:shd w:val="clear" w:color="auto" w:fill="FFFFFF"/>
        </w:rPr>
        <w:t>creating shareholder incentives to shift more risk to the government.</w:t>
      </w:r>
      <w:r>
        <w:rPr>
          <w:rStyle w:val="FootnoteReference"/>
          <w:rFonts w:cs="Times New Roman"/>
          <w:color w:val="232323"/>
          <w:szCs w:val="24"/>
          <w:shd w:val="clear" w:color="auto" w:fill="FFFFFF"/>
        </w:rPr>
        <w:footnoteReference w:id="139"/>
      </w:r>
      <w:r w:rsidR="00251BC5" w:rsidRPr="00182E55">
        <w:rPr>
          <w:rFonts w:cs="Times New Roman"/>
          <w:szCs w:val="24"/>
          <w:bdr w:val="none" w:sz="0" w:space="0" w:color="auto" w:frame="1"/>
          <w:shd w:val="clear" w:color="auto" w:fill="FFFFFF"/>
        </w:rPr>
        <w:t xml:space="preserve"> </w:t>
      </w:r>
    </w:p>
    <w:p w14:paraId="5D33B4EB" w14:textId="64F0DE74" w:rsidR="00D92BB1" w:rsidRPr="00182E55" w:rsidRDefault="00A0607C" w:rsidP="00182E55">
      <w:pPr>
        <w:spacing w:line="360" w:lineRule="auto"/>
        <w:rPr>
          <w:rFonts w:cs="Times New Roman"/>
          <w:szCs w:val="24"/>
          <w:bdr w:val="none" w:sz="0" w:space="0" w:color="auto" w:frame="1"/>
          <w:shd w:val="clear" w:color="auto" w:fill="FFFFFF"/>
        </w:rPr>
      </w:pPr>
      <w:r w:rsidRPr="00182E55">
        <w:rPr>
          <w:rFonts w:cs="Times New Roman"/>
          <w:szCs w:val="24"/>
          <w:bdr w:val="none" w:sz="0" w:space="0" w:color="auto" w:frame="1"/>
          <w:shd w:val="clear" w:color="auto" w:fill="FFFFFF"/>
        </w:rPr>
        <w:lastRenderedPageBreak/>
        <w:t xml:space="preserve">Additionally, prior </w:t>
      </w:r>
      <w:r w:rsidR="00DC63F9" w:rsidRPr="00182E55">
        <w:rPr>
          <w:rFonts w:cs="Times New Roman"/>
          <w:szCs w:val="24"/>
          <w:bdr w:val="none" w:sz="0" w:space="0" w:color="auto" w:frame="1"/>
          <w:shd w:val="clear" w:color="auto" w:fill="FFFFFF"/>
        </w:rPr>
        <w:t xml:space="preserve">chapters in this research, have </w:t>
      </w:r>
      <w:r w:rsidRPr="00182E55">
        <w:rPr>
          <w:rFonts w:cs="Times New Roman"/>
          <w:szCs w:val="24"/>
          <w:bdr w:val="none" w:sz="0" w:space="0" w:color="auto" w:frame="1"/>
          <w:shd w:val="clear" w:color="auto" w:fill="FFFFFF"/>
        </w:rPr>
        <w:t xml:space="preserve">illustrated </w:t>
      </w:r>
      <w:r w:rsidR="007F5BB0" w:rsidRPr="00182E55">
        <w:rPr>
          <w:rFonts w:cs="Times New Roman"/>
          <w:szCs w:val="24"/>
          <w:bdr w:val="none" w:sz="0" w:space="0" w:color="auto" w:frame="1"/>
          <w:shd w:val="clear" w:color="auto" w:fill="FFFFFF"/>
        </w:rPr>
        <w:t>the interconnectedness of TBTF b</w:t>
      </w:r>
      <w:r w:rsidRPr="00182E55">
        <w:rPr>
          <w:rFonts w:cs="Times New Roman"/>
          <w:szCs w:val="24"/>
          <w:bdr w:val="none" w:sz="0" w:space="0" w:color="auto" w:frame="1"/>
          <w:shd w:val="clear" w:color="auto" w:fill="FFFFFF"/>
        </w:rPr>
        <w:t xml:space="preserve">anks </w:t>
      </w:r>
      <w:r w:rsidR="007F5BB0" w:rsidRPr="00182E55">
        <w:rPr>
          <w:rFonts w:cs="Times New Roman"/>
          <w:szCs w:val="24"/>
          <w:bdr w:val="none" w:sz="0" w:space="0" w:color="auto" w:frame="1"/>
          <w:shd w:val="clear" w:color="auto" w:fill="FFFFFF"/>
        </w:rPr>
        <w:t xml:space="preserve">and an </w:t>
      </w:r>
      <w:r w:rsidRPr="00182E55">
        <w:rPr>
          <w:rFonts w:cs="Times New Roman"/>
          <w:szCs w:val="24"/>
          <w:bdr w:val="none" w:sz="0" w:space="0" w:color="auto" w:frame="1"/>
          <w:shd w:val="clear" w:color="auto" w:fill="FFFFFF"/>
        </w:rPr>
        <w:t xml:space="preserve">economy’s financial system. As such, in the event of a TBTF bank failing, the entire economy </w:t>
      </w:r>
      <w:r w:rsidR="00DC63F9" w:rsidRPr="00182E55">
        <w:rPr>
          <w:rFonts w:cs="Times New Roman"/>
          <w:szCs w:val="24"/>
          <w:bdr w:val="none" w:sz="0" w:space="0" w:color="auto" w:frame="1"/>
          <w:shd w:val="clear" w:color="auto" w:fill="FFFFFF"/>
        </w:rPr>
        <w:t>of Kenya stands to crumble.</w:t>
      </w:r>
    </w:p>
    <w:p w14:paraId="3E600A7D" w14:textId="3FC6FA47" w:rsidR="00920248" w:rsidRPr="007E428D" w:rsidRDefault="00920248" w:rsidP="007E428D">
      <w:pPr>
        <w:spacing w:line="360" w:lineRule="auto"/>
        <w:rPr>
          <w:rFonts w:cs="Times New Roman"/>
          <w:szCs w:val="24"/>
        </w:rPr>
      </w:pPr>
    </w:p>
    <w:p w14:paraId="057F2F63" w14:textId="77777777" w:rsidR="00161E5F" w:rsidRPr="00182E55" w:rsidRDefault="00161E5F" w:rsidP="00182E55">
      <w:pPr>
        <w:pStyle w:val="ListParagraph"/>
        <w:numPr>
          <w:ilvl w:val="0"/>
          <w:numId w:val="45"/>
        </w:numPr>
        <w:spacing w:after="160"/>
        <w:jc w:val="left"/>
        <w:rPr>
          <w:rFonts w:cs="Times New Roman"/>
          <w:color w:val="5B9BD5" w:themeColor="accent1"/>
          <w:sz w:val="28"/>
          <w:szCs w:val="28"/>
        </w:rPr>
      </w:pPr>
      <w:r w:rsidRPr="00182E55">
        <w:rPr>
          <w:rFonts w:cs="Times New Roman"/>
          <w:color w:val="5B9BD5" w:themeColor="accent1"/>
          <w:sz w:val="28"/>
          <w:szCs w:val="28"/>
        </w:rPr>
        <w:br w:type="page"/>
      </w:r>
    </w:p>
    <w:p w14:paraId="7B49917F" w14:textId="61E9604D" w:rsidR="00FD3913" w:rsidRDefault="006A35E3" w:rsidP="008546A0">
      <w:pPr>
        <w:pStyle w:val="Heading1"/>
        <w:rPr>
          <w:color w:val="0070C0"/>
        </w:rPr>
      </w:pPr>
      <w:bookmarkStart w:id="50" w:name="_Toc62552904"/>
      <w:r w:rsidRPr="004C62EF">
        <w:rPr>
          <w:color w:val="0070C0"/>
        </w:rPr>
        <w:lastRenderedPageBreak/>
        <w:t>C</w:t>
      </w:r>
      <w:r w:rsidR="00182E55">
        <w:rPr>
          <w:color w:val="0070C0"/>
        </w:rPr>
        <w:t>HAPTER 4</w:t>
      </w:r>
      <w:r w:rsidRPr="004C62EF">
        <w:rPr>
          <w:color w:val="0070C0"/>
        </w:rPr>
        <w:t>: CONCLUSION</w:t>
      </w:r>
      <w:bookmarkEnd w:id="50"/>
      <w:r w:rsidRPr="004C62EF">
        <w:rPr>
          <w:color w:val="0070C0"/>
        </w:rPr>
        <w:t xml:space="preserve"> </w:t>
      </w:r>
    </w:p>
    <w:p w14:paraId="51205438" w14:textId="56E36C98" w:rsidR="00207F45" w:rsidRDefault="00207F45" w:rsidP="00207F45">
      <w:pPr>
        <w:rPr>
          <w:b/>
        </w:rPr>
      </w:pPr>
      <w:r w:rsidRPr="00207F45">
        <w:rPr>
          <w:b/>
        </w:rPr>
        <w:t>4.1 CONCLUSION</w:t>
      </w:r>
    </w:p>
    <w:p w14:paraId="4DBCB30E" w14:textId="46BFA9ED" w:rsidR="00207F45" w:rsidRPr="004200FF" w:rsidRDefault="004200FF" w:rsidP="004200FF">
      <w:pPr>
        <w:widowControl w:val="0"/>
        <w:suppressAutoHyphens/>
        <w:overflowPunct w:val="0"/>
        <w:autoSpaceDE w:val="0"/>
        <w:autoSpaceDN w:val="0"/>
        <w:spacing w:after="0" w:line="360" w:lineRule="auto"/>
        <w:contextualSpacing/>
        <w:textAlignment w:val="baseline"/>
        <w:rPr>
          <w:rFonts w:eastAsiaTheme="minorEastAsia"/>
          <w:szCs w:val="24"/>
        </w:rPr>
      </w:pPr>
      <w:r>
        <w:t>This chapter presents a summary of the key findings and discussions. The study had four main objectives; (1) To ascertain whether</w:t>
      </w:r>
      <w:r>
        <w:t xml:space="preserve"> b</w:t>
      </w:r>
      <w:r w:rsidRPr="00CC400D">
        <w:t>ank mergers a</w:t>
      </w:r>
      <w:r>
        <w:t xml:space="preserve">re a </w:t>
      </w:r>
      <w:r w:rsidRPr="00CC400D">
        <w:t xml:space="preserve">cause of banking institutions </w:t>
      </w:r>
      <w:r>
        <w:t>attaining TBTF status.</w:t>
      </w:r>
      <w:r>
        <w:t xml:space="preserve"> (2) </w:t>
      </w:r>
      <w:r>
        <w:rPr>
          <w:rFonts w:eastAsia="Times New Roman" w:cs="Times New Roman"/>
          <w:kern w:val="3"/>
          <w:szCs w:val="24"/>
        </w:rPr>
        <w:t xml:space="preserve">The role of the current </w:t>
      </w:r>
      <w:r w:rsidRPr="00CC400D">
        <w:rPr>
          <w:rFonts w:eastAsia="Times New Roman" w:cs="Times New Roman"/>
          <w:kern w:val="3"/>
          <w:szCs w:val="24"/>
        </w:rPr>
        <w:t xml:space="preserve">regulatory framework </w:t>
      </w:r>
      <w:r>
        <w:rPr>
          <w:rFonts w:eastAsia="Times New Roman" w:cs="Times New Roman"/>
          <w:kern w:val="3"/>
          <w:szCs w:val="24"/>
        </w:rPr>
        <w:t>in promoting</w:t>
      </w:r>
      <w:r w:rsidRPr="00CC400D">
        <w:rPr>
          <w:rFonts w:eastAsia="Times New Roman" w:cs="Times New Roman"/>
          <w:kern w:val="3"/>
          <w:szCs w:val="24"/>
        </w:rPr>
        <w:t xml:space="preserve"> the grow</w:t>
      </w:r>
      <w:r>
        <w:rPr>
          <w:rFonts w:eastAsia="Times New Roman" w:cs="Times New Roman"/>
          <w:kern w:val="3"/>
          <w:szCs w:val="24"/>
        </w:rPr>
        <w:t>th of TBTF banking institutions.</w:t>
      </w:r>
      <w:r>
        <w:rPr>
          <w:rFonts w:eastAsia="Times New Roman" w:cs="Times New Roman"/>
          <w:kern w:val="3"/>
          <w:szCs w:val="24"/>
        </w:rPr>
        <w:t xml:space="preserve"> (3)</w:t>
      </w:r>
      <w:r w:rsidRPr="004200FF">
        <w:rPr>
          <w:rFonts w:eastAsia="Times New Roman" w:cs="Times New Roman"/>
          <w:kern w:val="3"/>
          <w:szCs w:val="24"/>
        </w:rPr>
        <w:t xml:space="preserve"> </w:t>
      </w:r>
      <w:r>
        <w:rPr>
          <w:rFonts w:eastAsia="Times New Roman" w:cs="Times New Roman"/>
          <w:kern w:val="3"/>
          <w:szCs w:val="24"/>
        </w:rPr>
        <w:t xml:space="preserve">The </w:t>
      </w:r>
      <w:r w:rsidRPr="005B66DE">
        <w:rPr>
          <w:rFonts w:eastAsia="Times New Roman" w:cs="Times New Roman"/>
          <w:kern w:val="3"/>
          <w:szCs w:val="24"/>
        </w:rPr>
        <w:t>impacts of TBTF banking institutions</w:t>
      </w:r>
      <w:r>
        <w:rPr>
          <w:rFonts w:eastAsia="Times New Roman" w:cs="Times New Roman"/>
          <w:kern w:val="3"/>
          <w:szCs w:val="24"/>
        </w:rPr>
        <w:t xml:space="preserve"> in an economy.</w:t>
      </w:r>
      <w:r>
        <w:rPr>
          <w:rFonts w:eastAsia="Times New Roman" w:cs="Times New Roman"/>
          <w:kern w:val="3"/>
          <w:szCs w:val="24"/>
        </w:rPr>
        <w:t xml:space="preserve"> (4) </w:t>
      </w:r>
      <w:r>
        <w:rPr>
          <w:rFonts w:eastAsia="Calibri" w:cs="Times New Roman"/>
          <w:kern w:val="3"/>
          <w:szCs w:val="24"/>
        </w:rPr>
        <w:t>Reforms</w:t>
      </w:r>
      <w:r w:rsidRPr="00161E5F">
        <w:rPr>
          <w:rFonts w:eastAsia="Calibri" w:cs="Times New Roman"/>
          <w:kern w:val="3"/>
          <w:szCs w:val="24"/>
        </w:rPr>
        <w:t xml:space="preserve"> to limit the grow</w:t>
      </w:r>
      <w:r>
        <w:rPr>
          <w:rFonts w:eastAsia="Calibri" w:cs="Times New Roman"/>
          <w:kern w:val="3"/>
          <w:szCs w:val="24"/>
        </w:rPr>
        <w:t>th of TBTF banking institutions.</w:t>
      </w:r>
      <w:r>
        <w:rPr>
          <w:rFonts w:eastAsiaTheme="minorEastAsia"/>
          <w:szCs w:val="24"/>
        </w:rPr>
        <w:t xml:space="preserve"> </w:t>
      </w:r>
      <w:r w:rsidR="00207F45">
        <w:t>Chapter one introduces the problem whereas Chapter two builds on the problem by providing the legal and institutional framework governing mergers of banks.  Chapter three then proves that there is a causal link between bank mergers and creation of TBTF banks through examining the CBA-NIC merger creating NCBA, a Tier One bank.</w:t>
      </w:r>
      <w:r w:rsidR="00207F45">
        <w:t xml:space="preserve"> </w:t>
      </w:r>
      <w:r w:rsidR="00207F45">
        <w:t>The study in Chapter four discusses and proves that TBTF banks pose possible negative externalities on Kenya’s economy.</w:t>
      </w:r>
    </w:p>
    <w:p w14:paraId="3E808ED4" w14:textId="2DEA8320" w:rsidR="00F72A13" w:rsidRPr="00F72A13" w:rsidRDefault="00F72A13" w:rsidP="00182E55">
      <w:pPr>
        <w:spacing w:line="360" w:lineRule="auto"/>
      </w:pPr>
    </w:p>
    <w:p w14:paraId="3A715FD0" w14:textId="30064BA2" w:rsidR="00BE2849" w:rsidRDefault="00A121F9" w:rsidP="00182E55">
      <w:pPr>
        <w:pStyle w:val="Heading2"/>
        <w:jc w:val="both"/>
        <w:rPr>
          <w:rFonts w:eastAsia="Times New Roman"/>
        </w:rPr>
      </w:pPr>
      <w:r>
        <w:rPr>
          <w:rFonts w:eastAsia="Times New Roman"/>
        </w:rPr>
        <w:t xml:space="preserve"> </w:t>
      </w:r>
      <w:bookmarkStart w:id="51" w:name="_Toc62552908"/>
      <w:r>
        <w:rPr>
          <w:rFonts w:eastAsia="Times New Roman"/>
        </w:rPr>
        <w:t xml:space="preserve"> </w:t>
      </w:r>
      <w:r w:rsidR="00182E55">
        <w:rPr>
          <w:rFonts w:eastAsia="Times New Roman"/>
        </w:rPr>
        <w:t xml:space="preserve">4.2 </w:t>
      </w:r>
      <w:r w:rsidR="00EB0067">
        <w:rPr>
          <w:rFonts w:eastAsia="Times New Roman"/>
        </w:rPr>
        <w:t>REC</w:t>
      </w:r>
      <w:r w:rsidR="00BE2849">
        <w:rPr>
          <w:rFonts w:eastAsia="Times New Roman"/>
        </w:rPr>
        <w:t>OM</w:t>
      </w:r>
      <w:r w:rsidR="00EB0067">
        <w:rPr>
          <w:rFonts w:eastAsia="Times New Roman"/>
        </w:rPr>
        <w:t>M</w:t>
      </w:r>
      <w:r w:rsidR="00BE2849">
        <w:rPr>
          <w:rFonts w:eastAsia="Times New Roman"/>
        </w:rPr>
        <w:t>ENDATIONS</w:t>
      </w:r>
      <w:bookmarkEnd w:id="51"/>
    </w:p>
    <w:p w14:paraId="2F5DEC1C" w14:textId="698A1E12" w:rsidR="008546A0" w:rsidRPr="008546A0" w:rsidRDefault="00BE2849" w:rsidP="00182E55">
      <w:pPr>
        <w:spacing w:line="360" w:lineRule="auto"/>
        <w:rPr>
          <w:rFonts w:eastAsia="Times New Roman" w:cs="Times New Roman"/>
          <w:szCs w:val="24"/>
        </w:rPr>
      </w:pPr>
      <w:r>
        <w:t>TBTF banks raise concern due to both their political and economic connectedness.</w:t>
      </w:r>
      <w:r w:rsidRPr="00BE2849">
        <w:rPr>
          <w:rStyle w:val="FootnoteReference"/>
          <w:rFonts w:eastAsia="Times New Roman" w:cs="Times New Roman"/>
          <w:szCs w:val="24"/>
        </w:rPr>
        <w:t xml:space="preserve"> </w:t>
      </w:r>
      <w:r w:rsidRPr="005B66DE">
        <w:rPr>
          <w:rStyle w:val="FootnoteReference"/>
          <w:rFonts w:eastAsia="Times New Roman" w:cs="Times New Roman"/>
          <w:szCs w:val="24"/>
        </w:rPr>
        <w:footnoteReference w:id="140"/>
      </w:r>
      <w:r w:rsidR="008546A0">
        <w:rPr>
          <w:rFonts w:eastAsia="Times New Roman" w:cs="Times New Roman"/>
          <w:szCs w:val="24"/>
        </w:rPr>
        <w:t xml:space="preserve"> This section will provide recommendations aimed towards regulating growth of</w:t>
      </w:r>
      <w:r w:rsidR="00D17330">
        <w:rPr>
          <w:rFonts w:eastAsia="Times New Roman" w:cs="Times New Roman"/>
          <w:szCs w:val="24"/>
        </w:rPr>
        <w:t>, and manag</w:t>
      </w:r>
      <w:r w:rsidR="00714DFE">
        <w:rPr>
          <w:rFonts w:eastAsia="Times New Roman" w:cs="Times New Roman"/>
          <w:szCs w:val="24"/>
        </w:rPr>
        <w:t>ing</w:t>
      </w:r>
      <w:r w:rsidR="008546A0">
        <w:rPr>
          <w:rFonts w:eastAsia="Times New Roman" w:cs="Times New Roman"/>
          <w:szCs w:val="24"/>
        </w:rPr>
        <w:t xml:space="preserve"> TBTF banks.</w:t>
      </w:r>
    </w:p>
    <w:p w14:paraId="4AE09D47" w14:textId="153685EB" w:rsidR="00FD3913" w:rsidRPr="00A121F9" w:rsidRDefault="00A121F9" w:rsidP="00182E55">
      <w:pPr>
        <w:pStyle w:val="Heading2"/>
        <w:numPr>
          <w:ilvl w:val="1"/>
          <w:numId w:val="38"/>
        </w:numPr>
        <w:jc w:val="both"/>
        <w:rPr>
          <w:rFonts w:eastAsia="Times New Roman"/>
          <w:b w:val="0"/>
          <w:i/>
        </w:rPr>
      </w:pPr>
      <w:bookmarkStart w:id="52" w:name="_Toc62552909"/>
      <w:r w:rsidRPr="00A121F9">
        <w:rPr>
          <w:rStyle w:val="Heading3Char"/>
          <w:b w:val="0"/>
          <w:i/>
        </w:rPr>
        <w:t>Strict merger regulations</w:t>
      </w:r>
      <w:bookmarkEnd w:id="52"/>
    </w:p>
    <w:p w14:paraId="275826B3" w14:textId="1C19745C" w:rsidR="00F72A13" w:rsidRDefault="00FD3913" w:rsidP="00182E55">
      <w:pPr>
        <w:spacing w:line="360" w:lineRule="auto"/>
        <w:rPr>
          <w:rFonts w:cs="Times New Roman"/>
          <w:szCs w:val="24"/>
        </w:rPr>
      </w:pPr>
      <w:r w:rsidRPr="005B66DE">
        <w:rPr>
          <w:rFonts w:cs="Times New Roman"/>
          <w:szCs w:val="24"/>
        </w:rPr>
        <w:t>Strict merger regulations have to be put in place to limit the growth of</w:t>
      </w:r>
      <w:r w:rsidR="00BE2849">
        <w:rPr>
          <w:rFonts w:cs="Times New Roman"/>
          <w:szCs w:val="24"/>
        </w:rPr>
        <w:t xml:space="preserve"> TBTF</w:t>
      </w:r>
      <w:r w:rsidRPr="005B66DE">
        <w:rPr>
          <w:rFonts w:cs="Times New Roman"/>
          <w:szCs w:val="24"/>
        </w:rPr>
        <w:t xml:space="preserve">. </w:t>
      </w:r>
      <w:r w:rsidR="00317D09">
        <w:rPr>
          <w:rFonts w:cs="Times New Roman"/>
          <w:szCs w:val="24"/>
        </w:rPr>
        <w:t>From the foregoing discussion</w:t>
      </w:r>
      <w:r w:rsidR="00BE2849">
        <w:rPr>
          <w:rFonts w:cs="Times New Roman"/>
          <w:szCs w:val="24"/>
        </w:rPr>
        <w:t xml:space="preserve">, </w:t>
      </w:r>
      <w:r w:rsidR="00317D09">
        <w:rPr>
          <w:rFonts w:cs="Times New Roman"/>
          <w:szCs w:val="24"/>
        </w:rPr>
        <w:t xml:space="preserve">it has been proven </w:t>
      </w:r>
      <w:r w:rsidR="007F5BB0">
        <w:rPr>
          <w:rFonts w:cs="Times New Roman"/>
          <w:szCs w:val="24"/>
        </w:rPr>
        <w:t xml:space="preserve">mergers result in creation of </w:t>
      </w:r>
      <w:r w:rsidRPr="005B66DE">
        <w:rPr>
          <w:rFonts w:cs="Times New Roman"/>
          <w:szCs w:val="24"/>
        </w:rPr>
        <w:t>TBTF</w:t>
      </w:r>
      <w:r w:rsidR="00317D09">
        <w:rPr>
          <w:rFonts w:cs="Times New Roman"/>
          <w:szCs w:val="24"/>
        </w:rPr>
        <w:t xml:space="preserve"> institutions in the banking industry</w:t>
      </w:r>
      <w:r w:rsidRPr="005B66DE">
        <w:rPr>
          <w:rFonts w:cs="Times New Roman"/>
          <w:szCs w:val="24"/>
        </w:rPr>
        <w:t xml:space="preserve">. The regulators approach </w:t>
      </w:r>
      <w:r w:rsidR="00317D09">
        <w:rPr>
          <w:rFonts w:cs="Times New Roman"/>
          <w:szCs w:val="24"/>
        </w:rPr>
        <w:t xml:space="preserve">should be </w:t>
      </w:r>
      <w:r w:rsidRPr="005B66DE">
        <w:rPr>
          <w:rFonts w:cs="Times New Roman"/>
          <w:szCs w:val="24"/>
        </w:rPr>
        <w:t xml:space="preserve">aimed at restricting the size of the merged banks by limiting mergers of two banks that </w:t>
      </w:r>
      <w:r w:rsidR="007F5BB0">
        <w:rPr>
          <w:rFonts w:cs="Times New Roman"/>
          <w:szCs w:val="24"/>
        </w:rPr>
        <w:t xml:space="preserve">result in </w:t>
      </w:r>
      <w:r w:rsidRPr="005B66DE">
        <w:rPr>
          <w:rFonts w:cs="Times New Roman"/>
          <w:szCs w:val="24"/>
        </w:rPr>
        <w:t>tier one bank</w:t>
      </w:r>
      <w:r w:rsidR="007F5BB0">
        <w:rPr>
          <w:rFonts w:cs="Times New Roman"/>
          <w:szCs w:val="24"/>
        </w:rPr>
        <w:t>s</w:t>
      </w:r>
      <w:r w:rsidRPr="005B66DE">
        <w:rPr>
          <w:rFonts w:cs="Times New Roman"/>
          <w:szCs w:val="24"/>
        </w:rPr>
        <w:t xml:space="preserve">. Strict merger regulations </w:t>
      </w:r>
      <w:r w:rsidR="00714DFE">
        <w:rPr>
          <w:rFonts w:cs="Times New Roman"/>
          <w:szCs w:val="24"/>
        </w:rPr>
        <w:t xml:space="preserve">will then decrease the propensity for mergers </w:t>
      </w:r>
      <w:r w:rsidR="007F5BB0">
        <w:rPr>
          <w:rFonts w:cs="Times New Roman"/>
          <w:szCs w:val="24"/>
        </w:rPr>
        <w:t xml:space="preserve">and ultimately </w:t>
      </w:r>
      <w:r w:rsidRPr="005B66DE">
        <w:rPr>
          <w:rFonts w:cs="Times New Roman"/>
          <w:szCs w:val="24"/>
        </w:rPr>
        <w:t>TBTF banking institutions.</w:t>
      </w:r>
      <w:r w:rsidR="00BE2849">
        <w:rPr>
          <w:rStyle w:val="FootnoteReference"/>
          <w:rFonts w:cs="Times New Roman"/>
          <w:szCs w:val="24"/>
        </w:rPr>
        <w:footnoteReference w:id="141"/>
      </w:r>
    </w:p>
    <w:p w14:paraId="7BD15A1F" w14:textId="4ACAFAE7" w:rsidR="00F72A13" w:rsidRPr="00F72A13" w:rsidRDefault="00F72A13" w:rsidP="00F72A13">
      <w:pPr>
        <w:spacing w:before="200" w:after="0" w:line="360" w:lineRule="auto"/>
        <w:rPr>
          <w:rFonts w:eastAsia="Times New Roman" w:cs="Times New Roman"/>
          <w:szCs w:val="24"/>
        </w:rPr>
      </w:pPr>
      <w:r w:rsidRPr="005B66DE">
        <w:rPr>
          <w:rFonts w:eastAsia="Times New Roman" w:cs="Times New Roman"/>
          <w:color w:val="000000"/>
          <w:szCs w:val="24"/>
        </w:rPr>
        <w:t xml:space="preserve">Bank mergers </w:t>
      </w:r>
      <w:r>
        <w:rPr>
          <w:rFonts w:eastAsia="Times New Roman" w:cs="Times New Roman"/>
          <w:color w:val="000000"/>
          <w:szCs w:val="24"/>
        </w:rPr>
        <w:t xml:space="preserve">also </w:t>
      </w:r>
      <w:r w:rsidRPr="005B66DE">
        <w:rPr>
          <w:rFonts w:eastAsia="Times New Roman" w:cs="Times New Roman"/>
          <w:color w:val="000000"/>
          <w:szCs w:val="24"/>
        </w:rPr>
        <w:t xml:space="preserve">need to be regulated to protect </w:t>
      </w:r>
      <w:r>
        <w:rPr>
          <w:rFonts w:eastAsia="Times New Roman" w:cs="Times New Roman"/>
          <w:color w:val="000000"/>
          <w:szCs w:val="24"/>
        </w:rPr>
        <w:t>the bank-customer relationship</w:t>
      </w:r>
      <w:r w:rsidRPr="005B66DE">
        <w:rPr>
          <w:rFonts w:eastAsia="Times New Roman" w:cs="Times New Roman"/>
          <w:color w:val="000000"/>
          <w:szCs w:val="24"/>
        </w:rPr>
        <w:t>.</w:t>
      </w:r>
      <w:r w:rsidRPr="005B66DE">
        <w:rPr>
          <w:rFonts w:eastAsia="Times New Roman" w:cs="Times New Roman"/>
          <w:color w:val="000000"/>
          <w:szCs w:val="24"/>
          <w:vertAlign w:val="superscript"/>
        </w:rPr>
        <w:footnoteReference w:id="142"/>
      </w:r>
      <w:r>
        <w:rPr>
          <w:rFonts w:eastAsia="Times New Roman" w:cs="Times New Roman"/>
          <w:color w:val="000000"/>
          <w:szCs w:val="24"/>
        </w:rPr>
        <w:t xml:space="preserve"> As was highlighted in the</w:t>
      </w:r>
      <w:r w:rsidRPr="005B66DE">
        <w:rPr>
          <w:rFonts w:eastAsia="Times New Roman" w:cs="Times New Roman"/>
          <w:color w:val="000000"/>
          <w:szCs w:val="24"/>
        </w:rPr>
        <w:t xml:space="preserve"> </w:t>
      </w:r>
      <w:r w:rsidRPr="005B66DE">
        <w:rPr>
          <w:rFonts w:eastAsia="Times New Roman" w:cs="Times New Roman"/>
          <w:i/>
          <w:iCs/>
          <w:color w:val="000000"/>
          <w:szCs w:val="24"/>
        </w:rPr>
        <w:t xml:space="preserve">Evans </w:t>
      </w:r>
      <w:proofErr w:type="spellStart"/>
      <w:r w:rsidRPr="005B66DE">
        <w:rPr>
          <w:rFonts w:eastAsia="Times New Roman" w:cs="Times New Roman"/>
          <w:i/>
          <w:iCs/>
          <w:color w:val="000000"/>
          <w:szCs w:val="24"/>
        </w:rPr>
        <w:t>Aseto</w:t>
      </w:r>
      <w:proofErr w:type="spellEnd"/>
      <w:r w:rsidRPr="005B66DE">
        <w:rPr>
          <w:rFonts w:eastAsia="Times New Roman" w:cs="Times New Roman"/>
          <w:i/>
          <w:iCs/>
          <w:color w:val="000000"/>
          <w:szCs w:val="24"/>
        </w:rPr>
        <w:t xml:space="preserve"> v the National Bank of Kenya &amp; Central Bank of Kenya</w:t>
      </w:r>
      <w:r>
        <w:rPr>
          <w:rFonts w:eastAsia="Times New Roman" w:cs="Times New Roman"/>
          <w:color w:val="000000"/>
          <w:szCs w:val="24"/>
        </w:rPr>
        <w:t xml:space="preserve">, </w:t>
      </w:r>
      <w:r w:rsidRPr="005B66DE">
        <w:rPr>
          <w:rFonts w:eastAsia="Times New Roman" w:cs="Times New Roman"/>
          <w:color w:val="000000"/>
          <w:szCs w:val="24"/>
        </w:rPr>
        <w:t xml:space="preserve">the </w:t>
      </w:r>
      <w:r w:rsidR="007F5BB0">
        <w:rPr>
          <w:rFonts w:eastAsia="Times New Roman" w:cs="Times New Roman"/>
          <w:color w:val="000000"/>
          <w:szCs w:val="24"/>
        </w:rPr>
        <w:t xml:space="preserve">objectives </w:t>
      </w:r>
      <w:r w:rsidRPr="005B66DE">
        <w:rPr>
          <w:rFonts w:eastAsia="Times New Roman" w:cs="Times New Roman"/>
          <w:color w:val="000000"/>
          <w:szCs w:val="24"/>
        </w:rPr>
        <w:t xml:space="preserve">of regulation and supervision </w:t>
      </w:r>
      <w:r w:rsidR="007F5BB0">
        <w:rPr>
          <w:rFonts w:eastAsia="Times New Roman" w:cs="Times New Roman"/>
          <w:color w:val="000000"/>
          <w:szCs w:val="24"/>
        </w:rPr>
        <w:t xml:space="preserve">are to promote </w:t>
      </w:r>
      <w:r w:rsidRPr="005B66DE">
        <w:rPr>
          <w:rFonts w:eastAsia="Times New Roman" w:cs="Times New Roman"/>
          <w:color w:val="000000"/>
          <w:szCs w:val="24"/>
        </w:rPr>
        <w:t>the soundnes</w:t>
      </w:r>
      <w:r w:rsidR="007F5BB0">
        <w:rPr>
          <w:rFonts w:eastAsia="Times New Roman" w:cs="Times New Roman"/>
          <w:color w:val="000000"/>
          <w:szCs w:val="24"/>
        </w:rPr>
        <w:t xml:space="preserve">s of the financial institution </w:t>
      </w:r>
      <w:r w:rsidR="007F5BB0">
        <w:rPr>
          <w:rFonts w:eastAsia="Times New Roman" w:cs="Times New Roman"/>
          <w:color w:val="000000"/>
          <w:szCs w:val="24"/>
        </w:rPr>
        <w:lastRenderedPageBreak/>
        <w:t xml:space="preserve">and </w:t>
      </w:r>
      <w:r w:rsidRPr="005B66DE">
        <w:rPr>
          <w:rFonts w:eastAsia="Times New Roman" w:cs="Times New Roman"/>
          <w:color w:val="000000"/>
          <w:szCs w:val="24"/>
        </w:rPr>
        <w:t>to protect integrity of the banking system and interests of the depositors while ensuring an effective and efficient banking system that finances economic growth.</w:t>
      </w:r>
      <w:r w:rsidRPr="005B66DE">
        <w:rPr>
          <w:rFonts w:eastAsia="Times New Roman" w:cs="Times New Roman"/>
          <w:color w:val="000000"/>
          <w:szCs w:val="24"/>
          <w:vertAlign w:val="superscript"/>
        </w:rPr>
        <w:footnoteReference w:id="143"/>
      </w:r>
      <w:r w:rsidRPr="005B66DE">
        <w:rPr>
          <w:rFonts w:eastAsia="Times New Roman" w:cs="Times New Roman"/>
          <w:color w:val="000000"/>
          <w:szCs w:val="24"/>
        </w:rPr>
        <w:t xml:space="preserve">  </w:t>
      </w:r>
    </w:p>
    <w:p w14:paraId="3A013C60" w14:textId="77777777" w:rsidR="00BF0A4A" w:rsidRPr="005B66DE" w:rsidRDefault="00BF0A4A" w:rsidP="008546A0">
      <w:pPr>
        <w:spacing w:line="360" w:lineRule="auto"/>
        <w:rPr>
          <w:rFonts w:cs="Times New Roman"/>
          <w:szCs w:val="24"/>
        </w:rPr>
      </w:pPr>
    </w:p>
    <w:p w14:paraId="30D042E7" w14:textId="67D281E1" w:rsidR="00FD3913" w:rsidRPr="00A121F9" w:rsidRDefault="00BF0A4A" w:rsidP="008546A0">
      <w:pPr>
        <w:pStyle w:val="Heading3"/>
        <w:numPr>
          <w:ilvl w:val="0"/>
          <w:numId w:val="38"/>
        </w:numPr>
        <w:spacing w:line="360" w:lineRule="auto"/>
        <w:rPr>
          <w:b/>
          <w:i/>
        </w:rPr>
      </w:pPr>
      <w:r>
        <w:t xml:space="preserve"> </w:t>
      </w:r>
      <w:bookmarkStart w:id="53" w:name="_Toc62552910"/>
      <w:r w:rsidR="00A121F9" w:rsidRPr="00A121F9">
        <w:rPr>
          <w:i/>
        </w:rPr>
        <w:t>Systemic tax</w:t>
      </w:r>
      <w:bookmarkEnd w:id="53"/>
      <w:r w:rsidR="00EB0067">
        <w:rPr>
          <w:i/>
        </w:rPr>
        <w:t xml:space="preserve"> regime</w:t>
      </w:r>
    </w:p>
    <w:p w14:paraId="7ABCDBDD" w14:textId="5054E4B6" w:rsidR="00944456" w:rsidRDefault="00FD3913" w:rsidP="008546A0">
      <w:pPr>
        <w:spacing w:line="360" w:lineRule="auto"/>
        <w:rPr>
          <w:rFonts w:cs="Times New Roman"/>
          <w:szCs w:val="24"/>
        </w:rPr>
      </w:pPr>
      <w:r w:rsidRPr="005B66DE">
        <w:rPr>
          <w:rFonts w:cs="Times New Roman"/>
          <w:szCs w:val="24"/>
        </w:rPr>
        <w:t xml:space="preserve">A </w:t>
      </w:r>
      <w:r w:rsidR="00944456">
        <w:rPr>
          <w:rFonts w:cs="Times New Roman"/>
          <w:szCs w:val="24"/>
        </w:rPr>
        <w:t>systemic tax refers to a cost to be levied on TBTF banks; the tax will serve to cater for the cost</w:t>
      </w:r>
      <w:r w:rsidR="007F5BB0">
        <w:rPr>
          <w:rFonts w:cs="Times New Roman"/>
          <w:szCs w:val="24"/>
        </w:rPr>
        <w:t xml:space="preserve"> of future crisis and deter </w:t>
      </w:r>
      <w:r w:rsidR="00944456">
        <w:rPr>
          <w:rFonts w:cs="Times New Roman"/>
          <w:szCs w:val="24"/>
        </w:rPr>
        <w:t>institutions from acquiring TBTF</w:t>
      </w:r>
      <w:r w:rsidRPr="005B66DE">
        <w:rPr>
          <w:rFonts w:cs="Times New Roman"/>
          <w:szCs w:val="24"/>
        </w:rPr>
        <w:t xml:space="preserve"> status.</w:t>
      </w:r>
      <w:r w:rsidR="004F304D">
        <w:rPr>
          <w:rFonts w:cs="Times New Roman"/>
          <w:szCs w:val="24"/>
        </w:rPr>
        <w:t xml:space="preserve"> </w:t>
      </w:r>
      <w:r w:rsidR="004F304D">
        <w:rPr>
          <w:rStyle w:val="FootnoteReference"/>
          <w:rFonts w:cs="Times New Roman"/>
          <w:szCs w:val="24"/>
        </w:rPr>
        <w:footnoteReference w:id="144"/>
      </w:r>
      <w:r w:rsidR="004F304D">
        <w:rPr>
          <w:rFonts w:cs="Times New Roman"/>
          <w:szCs w:val="24"/>
        </w:rPr>
        <w:t>Additionally, the tax will serve as an aid in the financial system by absorbing</w:t>
      </w:r>
      <w:r w:rsidRPr="005B66DE">
        <w:rPr>
          <w:rFonts w:cs="Times New Roman"/>
          <w:szCs w:val="24"/>
        </w:rPr>
        <w:t xml:space="preserve"> shocks caused to the market by the practices of these large institutions. Size creates </w:t>
      </w:r>
      <w:r w:rsidR="007F5BB0">
        <w:rPr>
          <w:rFonts w:cs="Times New Roman"/>
          <w:szCs w:val="24"/>
        </w:rPr>
        <w:t xml:space="preserve">negative externalities </w:t>
      </w:r>
      <w:r w:rsidRPr="005B66DE">
        <w:rPr>
          <w:rFonts w:cs="Times New Roman"/>
          <w:szCs w:val="24"/>
        </w:rPr>
        <w:t>and</w:t>
      </w:r>
      <w:r w:rsidR="007F5BB0">
        <w:rPr>
          <w:rFonts w:cs="Times New Roman"/>
          <w:szCs w:val="24"/>
        </w:rPr>
        <w:t xml:space="preserve"> taxation has proven as an effective remedy in dealing with such externalities</w:t>
      </w:r>
      <w:r w:rsidRPr="005B66DE">
        <w:rPr>
          <w:rFonts w:cs="Times New Roman"/>
          <w:szCs w:val="24"/>
        </w:rPr>
        <w:t>.</w:t>
      </w:r>
      <w:r w:rsidRPr="005B66DE">
        <w:rPr>
          <w:rStyle w:val="FootnoteReference"/>
          <w:rFonts w:cs="Times New Roman"/>
          <w:szCs w:val="24"/>
        </w:rPr>
        <w:footnoteReference w:id="145"/>
      </w:r>
    </w:p>
    <w:p w14:paraId="1EB63AC4" w14:textId="77777777" w:rsidR="00714DFE" w:rsidRPr="00944456" w:rsidRDefault="00714DFE" w:rsidP="008546A0">
      <w:pPr>
        <w:spacing w:line="360" w:lineRule="auto"/>
        <w:rPr>
          <w:rFonts w:cs="Times New Roman"/>
          <w:szCs w:val="24"/>
        </w:rPr>
      </w:pPr>
    </w:p>
    <w:p w14:paraId="59333271" w14:textId="5F93FC65" w:rsidR="00FD3913" w:rsidRPr="00A121F9" w:rsidRDefault="00A121F9" w:rsidP="008546A0">
      <w:pPr>
        <w:pStyle w:val="Heading3"/>
        <w:numPr>
          <w:ilvl w:val="0"/>
          <w:numId w:val="38"/>
        </w:numPr>
        <w:spacing w:line="360" w:lineRule="auto"/>
        <w:rPr>
          <w:i/>
        </w:rPr>
      </w:pPr>
      <w:bookmarkStart w:id="54" w:name="_Toc62552911"/>
      <w:r w:rsidRPr="00A121F9">
        <w:rPr>
          <w:i/>
        </w:rPr>
        <w:t>Limiting bailouts</w:t>
      </w:r>
      <w:bookmarkEnd w:id="54"/>
    </w:p>
    <w:p w14:paraId="1C22F54A" w14:textId="151E8779" w:rsidR="00FD3913" w:rsidRDefault="00FD3913" w:rsidP="008546A0">
      <w:pPr>
        <w:spacing w:line="360" w:lineRule="auto"/>
        <w:rPr>
          <w:rFonts w:cs="Times New Roman"/>
          <w:szCs w:val="24"/>
        </w:rPr>
      </w:pPr>
      <w:r w:rsidRPr="005B66DE">
        <w:rPr>
          <w:rFonts w:cs="Times New Roman"/>
          <w:szCs w:val="24"/>
        </w:rPr>
        <w:t xml:space="preserve">Government bailouts are </w:t>
      </w:r>
      <w:r w:rsidR="00BE2849">
        <w:rPr>
          <w:rFonts w:cs="Times New Roman"/>
          <w:szCs w:val="24"/>
        </w:rPr>
        <w:t xml:space="preserve">done at the </w:t>
      </w:r>
      <w:r w:rsidRPr="005B66DE">
        <w:rPr>
          <w:rFonts w:cs="Times New Roman"/>
          <w:szCs w:val="24"/>
        </w:rPr>
        <w:t>tax payers</w:t>
      </w:r>
      <w:r w:rsidR="00714DFE">
        <w:rPr>
          <w:rFonts w:cs="Times New Roman"/>
          <w:szCs w:val="24"/>
        </w:rPr>
        <w:t>’ expense making it</w:t>
      </w:r>
      <w:r w:rsidRPr="005B66DE">
        <w:rPr>
          <w:rFonts w:cs="Times New Roman"/>
          <w:szCs w:val="24"/>
        </w:rPr>
        <w:t xml:space="preserve"> an unjust and unfair practice.</w:t>
      </w:r>
      <w:r w:rsidR="00BE2849">
        <w:rPr>
          <w:rStyle w:val="FootnoteReference"/>
          <w:rFonts w:cs="Times New Roman"/>
          <w:szCs w:val="24"/>
        </w:rPr>
        <w:footnoteReference w:id="146"/>
      </w:r>
      <w:r w:rsidRPr="005B66DE">
        <w:rPr>
          <w:rFonts w:cs="Times New Roman"/>
          <w:szCs w:val="24"/>
        </w:rPr>
        <w:t xml:space="preserve"> </w:t>
      </w:r>
      <w:r w:rsidR="001D6015">
        <w:rPr>
          <w:rFonts w:cs="Times New Roman"/>
          <w:szCs w:val="24"/>
        </w:rPr>
        <w:t xml:space="preserve">Limiting bailouts will incentivize better risk-taking culture as these institutions </w:t>
      </w:r>
      <w:r w:rsidRPr="005B66DE">
        <w:rPr>
          <w:rFonts w:cs="Times New Roman"/>
          <w:szCs w:val="24"/>
        </w:rPr>
        <w:t>will have to fin</w:t>
      </w:r>
      <w:r w:rsidR="00BE2849">
        <w:rPr>
          <w:rFonts w:cs="Times New Roman"/>
          <w:szCs w:val="24"/>
        </w:rPr>
        <w:t>ance their own losses.</w:t>
      </w:r>
      <w:r w:rsidR="001D6015">
        <w:rPr>
          <w:rFonts w:cs="Times New Roman"/>
          <w:szCs w:val="24"/>
        </w:rPr>
        <w:t xml:space="preserve"> Notably</w:t>
      </w:r>
      <w:r w:rsidR="00BE2849">
        <w:rPr>
          <w:rFonts w:cs="Times New Roman"/>
          <w:szCs w:val="24"/>
        </w:rPr>
        <w:t>, b</w:t>
      </w:r>
      <w:r w:rsidRPr="005B66DE">
        <w:rPr>
          <w:rFonts w:cs="Times New Roman"/>
          <w:szCs w:val="24"/>
        </w:rPr>
        <w:t>ailouts have proven necessary to forestall systemic threat and is used as a rescue operation when policies</w:t>
      </w:r>
      <w:r w:rsidR="001D6015">
        <w:rPr>
          <w:rFonts w:cs="Times New Roman"/>
          <w:szCs w:val="24"/>
        </w:rPr>
        <w:t xml:space="preserve"> fail to prevent institutional</w:t>
      </w:r>
      <w:r w:rsidRPr="005B66DE">
        <w:rPr>
          <w:rFonts w:cs="Times New Roman"/>
          <w:szCs w:val="24"/>
        </w:rPr>
        <w:t xml:space="preserve"> failure.</w:t>
      </w:r>
      <w:r w:rsidRPr="005B66DE">
        <w:rPr>
          <w:rStyle w:val="FootnoteReference"/>
          <w:rFonts w:cs="Times New Roman"/>
          <w:szCs w:val="24"/>
        </w:rPr>
        <w:footnoteReference w:id="147"/>
      </w:r>
      <w:r w:rsidRPr="005B66DE">
        <w:rPr>
          <w:rFonts w:cs="Times New Roman"/>
          <w:szCs w:val="24"/>
        </w:rPr>
        <w:t xml:space="preserve"> </w:t>
      </w:r>
      <w:r w:rsidR="001D6015">
        <w:rPr>
          <w:rFonts w:cs="Times New Roman"/>
          <w:szCs w:val="24"/>
        </w:rPr>
        <w:t xml:space="preserve">To </w:t>
      </w:r>
      <w:r w:rsidRPr="005B66DE">
        <w:rPr>
          <w:rFonts w:cs="Times New Roman"/>
          <w:szCs w:val="24"/>
        </w:rPr>
        <w:t>deal with this practice, the</w:t>
      </w:r>
      <w:r w:rsidR="00BE2849">
        <w:rPr>
          <w:rFonts w:cs="Times New Roman"/>
          <w:szCs w:val="24"/>
        </w:rPr>
        <w:t xml:space="preserve"> government may introduce regulations that provi</w:t>
      </w:r>
      <w:r w:rsidR="007F5BB0">
        <w:rPr>
          <w:rFonts w:cs="Times New Roman"/>
          <w:szCs w:val="24"/>
        </w:rPr>
        <w:t>de</w:t>
      </w:r>
      <w:r w:rsidR="00BE2849">
        <w:rPr>
          <w:rFonts w:cs="Times New Roman"/>
          <w:szCs w:val="24"/>
        </w:rPr>
        <w:t xml:space="preserve"> f</w:t>
      </w:r>
      <w:r w:rsidR="00714DFE">
        <w:rPr>
          <w:rFonts w:cs="Times New Roman"/>
          <w:szCs w:val="24"/>
        </w:rPr>
        <w:t xml:space="preserve">or the manner of conducting </w:t>
      </w:r>
      <w:r w:rsidR="00BE2849">
        <w:rPr>
          <w:rFonts w:cs="Times New Roman"/>
          <w:szCs w:val="24"/>
        </w:rPr>
        <w:t>bail out</w:t>
      </w:r>
      <w:r w:rsidR="00714DFE">
        <w:rPr>
          <w:rFonts w:cs="Times New Roman"/>
          <w:szCs w:val="24"/>
        </w:rPr>
        <w:t>s</w:t>
      </w:r>
      <w:r w:rsidR="00BE2849">
        <w:rPr>
          <w:rFonts w:cs="Times New Roman"/>
          <w:szCs w:val="24"/>
        </w:rPr>
        <w:t xml:space="preserve"> including a long-term payment plan. Additionally, i</w:t>
      </w:r>
      <w:r w:rsidRPr="005B66DE">
        <w:rPr>
          <w:rFonts w:cs="Times New Roman"/>
          <w:szCs w:val="24"/>
        </w:rPr>
        <w:t xml:space="preserve">t </w:t>
      </w:r>
      <w:r w:rsidR="001D6015">
        <w:rPr>
          <w:rFonts w:cs="Times New Roman"/>
          <w:szCs w:val="24"/>
        </w:rPr>
        <w:t xml:space="preserve">is </w:t>
      </w:r>
      <w:r w:rsidRPr="005B66DE">
        <w:rPr>
          <w:rFonts w:cs="Times New Roman"/>
          <w:szCs w:val="24"/>
        </w:rPr>
        <w:t xml:space="preserve">important to promote legislation that deals with resolution when bailouts </w:t>
      </w:r>
      <w:r w:rsidR="00317D09">
        <w:rPr>
          <w:rFonts w:cs="Times New Roman"/>
          <w:szCs w:val="24"/>
        </w:rPr>
        <w:t>will not be available</w:t>
      </w:r>
      <w:r w:rsidR="001D6015">
        <w:rPr>
          <w:rFonts w:cs="Times New Roman"/>
          <w:szCs w:val="24"/>
        </w:rPr>
        <w:t xml:space="preserve">, such as where the relevant </w:t>
      </w:r>
      <w:r w:rsidR="00714DFE">
        <w:rPr>
          <w:rFonts w:cs="Times New Roman"/>
          <w:szCs w:val="24"/>
        </w:rPr>
        <w:t>institution</w:t>
      </w:r>
      <w:r w:rsidR="001D6015">
        <w:rPr>
          <w:rFonts w:cs="Times New Roman"/>
          <w:szCs w:val="24"/>
        </w:rPr>
        <w:t xml:space="preserve"> was in breach of laws and prudential guidelines</w:t>
      </w:r>
      <w:r w:rsidRPr="005B66DE">
        <w:rPr>
          <w:rFonts w:cs="Times New Roman"/>
          <w:szCs w:val="24"/>
        </w:rPr>
        <w:t>.</w:t>
      </w:r>
      <w:r w:rsidRPr="005B66DE">
        <w:rPr>
          <w:rStyle w:val="FootnoteReference"/>
          <w:rFonts w:cs="Times New Roman"/>
          <w:szCs w:val="24"/>
        </w:rPr>
        <w:footnoteReference w:id="148"/>
      </w:r>
      <w:r w:rsidRPr="005B66DE">
        <w:rPr>
          <w:rFonts w:cs="Times New Roman"/>
          <w:szCs w:val="24"/>
        </w:rPr>
        <w:t xml:space="preserve"> An example of a TBTF institution that did not gain from government intervention in the 2008 financial crisis is Lehman Brothers </w:t>
      </w:r>
      <w:r w:rsidR="00714DFE">
        <w:rPr>
          <w:rFonts w:cs="Times New Roman"/>
          <w:szCs w:val="24"/>
        </w:rPr>
        <w:t xml:space="preserve">which was declared insolvent; </w:t>
      </w:r>
      <w:r w:rsidRPr="005B66DE">
        <w:rPr>
          <w:rFonts w:cs="Times New Roman"/>
          <w:szCs w:val="24"/>
        </w:rPr>
        <w:t>it is in such circumstances that there is need for quick resolution having noted the systemic effects from the failure of Lehman Brothers.</w:t>
      </w:r>
      <w:r w:rsidRPr="005B66DE">
        <w:rPr>
          <w:rStyle w:val="FootnoteReference"/>
          <w:rFonts w:cs="Times New Roman"/>
          <w:szCs w:val="24"/>
        </w:rPr>
        <w:footnoteReference w:id="149"/>
      </w:r>
    </w:p>
    <w:p w14:paraId="36CBD30E" w14:textId="77777777" w:rsidR="00BF0A4A" w:rsidRPr="005B66DE" w:rsidRDefault="00BF0A4A" w:rsidP="008546A0">
      <w:pPr>
        <w:spacing w:line="360" w:lineRule="auto"/>
        <w:rPr>
          <w:rFonts w:cs="Times New Roman"/>
          <w:szCs w:val="24"/>
        </w:rPr>
      </w:pPr>
    </w:p>
    <w:p w14:paraId="0428E25E" w14:textId="349816E3" w:rsidR="00FD3913" w:rsidRPr="001D6015" w:rsidRDefault="00BF0A4A" w:rsidP="008546A0">
      <w:pPr>
        <w:pStyle w:val="Heading3"/>
        <w:numPr>
          <w:ilvl w:val="0"/>
          <w:numId w:val="38"/>
        </w:numPr>
        <w:spacing w:line="360" w:lineRule="auto"/>
        <w:rPr>
          <w:rFonts w:eastAsia="Times New Roman"/>
          <w:b/>
          <w:i/>
        </w:rPr>
      </w:pPr>
      <w:r>
        <w:rPr>
          <w:rFonts w:eastAsia="Times New Roman"/>
        </w:rPr>
        <w:lastRenderedPageBreak/>
        <w:t xml:space="preserve">  </w:t>
      </w:r>
      <w:bookmarkStart w:id="55" w:name="_Toc62552912"/>
      <w:r w:rsidR="00F72A13">
        <w:rPr>
          <w:rFonts w:eastAsia="Times New Roman"/>
          <w:i/>
        </w:rPr>
        <w:t>L</w:t>
      </w:r>
      <w:r w:rsidR="001D6015">
        <w:rPr>
          <w:rFonts w:eastAsia="Times New Roman"/>
          <w:i/>
        </w:rPr>
        <w:t>imiting size of banks</w:t>
      </w:r>
      <w:bookmarkEnd w:id="55"/>
    </w:p>
    <w:p w14:paraId="2F80D264" w14:textId="79D860EB" w:rsidR="0032188B" w:rsidRDefault="00FD3913" w:rsidP="008546A0">
      <w:pPr>
        <w:spacing w:line="360" w:lineRule="auto"/>
        <w:rPr>
          <w:rFonts w:eastAsia="Times New Roman" w:cs="Times New Roman"/>
          <w:szCs w:val="24"/>
        </w:rPr>
      </w:pPr>
      <w:r w:rsidRPr="005B66DE">
        <w:rPr>
          <w:rFonts w:eastAsia="Times New Roman" w:cs="Times New Roman"/>
          <w:szCs w:val="24"/>
        </w:rPr>
        <w:t xml:space="preserve">This </w:t>
      </w:r>
      <w:r w:rsidR="001D6015">
        <w:rPr>
          <w:rFonts w:eastAsia="Times New Roman" w:cs="Times New Roman"/>
          <w:szCs w:val="24"/>
        </w:rPr>
        <w:t>solution is put forward based on economic and political arguments: b</w:t>
      </w:r>
      <w:r w:rsidR="00714DFE">
        <w:rPr>
          <w:rFonts w:eastAsia="Times New Roman" w:cs="Times New Roman"/>
          <w:szCs w:val="24"/>
        </w:rPr>
        <w:t>reaking up</w:t>
      </w:r>
      <w:r w:rsidR="00F72A13">
        <w:rPr>
          <w:rFonts w:eastAsia="Times New Roman" w:cs="Times New Roman"/>
          <w:szCs w:val="24"/>
        </w:rPr>
        <w:t xml:space="preserve"> or limiting </w:t>
      </w:r>
      <w:r w:rsidRPr="005B66DE">
        <w:rPr>
          <w:rFonts w:eastAsia="Times New Roman" w:cs="Times New Roman"/>
          <w:szCs w:val="24"/>
        </w:rPr>
        <w:t>large banking institution</w:t>
      </w:r>
      <w:r w:rsidR="00714DFE">
        <w:rPr>
          <w:rFonts w:eastAsia="Times New Roman" w:cs="Times New Roman"/>
          <w:szCs w:val="24"/>
        </w:rPr>
        <w:t>s lets tax payers off the hook in relation to</w:t>
      </w:r>
      <w:r w:rsidRPr="005B66DE">
        <w:rPr>
          <w:rFonts w:eastAsia="Times New Roman" w:cs="Times New Roman"/>
          <w:szCs w:val="24"/>
        </w:rPr>
        <w:t xml:space="preserve"> f</w:t>
      </w:r>
      <w:r w:rsidR="00F72A13">
        <w:rPr>
          <w:rFonts w:eastAsia="Times New Roman" w:cs="Times New Roman"/>
          <w:szCs w:val="24"/>
        </w:rPr>
        <w:t>und</w:t>
      </w:r>
      <w:r w:rsidR="00714DFE">
        <w:rPr>
          <w:rFonts w:eastAsia="Times New Roman" w:cs="Times New Roman"/>
          <w:szCs w:val="24"/>
        </w:rPr>
        <w:t>ing</w:t>
      </w:r>
      <w:r w:rsidR="00F72A13">
        <w:rPr>
          <w:rFonts w:eastAsia="Times New Roman" w:cs="Times New Roman"/>
          <w:szCs w:val="24"/>
        </w:rPr>
        <w:t xml:space="preserve"> expensive bailouts and </w:t>
      </w:r>
      <w:r w:rsidRPr="005B66DE">
        <w:rPr>
          <w:rFonts w:eastAsia="Times New Roman" w:cs="Times New Roman"/>
          <w:szCs w:val="24"/>
        </w:rPr>
        <w:t>reduces the political influence of the banks.</w:t>
      </w:r>
      <w:r w:rsidR="00F72A13">
        <w:rPr>
          <w:rStyle w:val="FootnoteReference"/>
          <w:rFonts w:eastAsia="Times New Roman" w:cs="Times New Roman"/>
          <w:szCs w:val="24"/>
        </w:rPr>
        <w:footnoteReference w:id="150"/>
      </w:r>
      <w:r w:rsidRPr="005B66DE">
        <w:rPr>
          <w:rFonts w:eastAsia="Times New Roman" w:cs="Times New Roman"/>
          <w:szCs w:val="24"/>
        </w:rPr>
        <w:t xml:space="preserve"> This is a structural remedy aimed at distributing t</w:t>
      </w:r>
      <w:r w:rsidR="00F72A13">
        <w:rPr>
          <w:rFonts w:eastAsia="Times New Roman" w:cs="Times New Roman"/>
          <w:szCs w:val="24"/>
        </w:rPr>
        <w:t xml:space="preserve">he interests of the public to more banks, as opposed to having only few banks with </w:t>
      </w:r>
      <w:r w:rsidR="007F5BB0">
        <w:rPr>
          <w:rFonts w:eastAsia="Times New Roman" w:cs="Times New Roman"/>
          <w:szCs w:val="24"/>
        </w:rPr>
        <w:t>disproportionate and an</w:t>
      </w:r>
      <w:r w:rsidRPr="005B66DE">
        <w:rPr>
          <w:rFonts w:eastAsia="Times New Roman" w:cs="Times New Roman"/>
          <w:szCs w:val="24"/>
        </w:rPr>
        <w:t xml:space="preserve"> increasing conce</w:t>
      </w:r>
      <w:r w:rsidR="00714DFE">
        <w:rPr>
          <w:rFonts w:eastAsia="Times New Roman" w:cs="Times New Roman"/>
          <w:szCs w:val="24"/>
        </w:rPr>
        <w:t>ntration of financial resources</w:t>
      </w:r>
      <w:r w:rsidR="00F72A13">
        <w:rPr>
          <w:rFonts w:eastAsia="Times New Roman" w:cs="Times New Roman"/>
          <w:szCs w:val="24"/>
        </w:rPr>
        <w:t xml:space="preserve">; this also </w:t>
      </w:r>
      <w:r w:rsidRPr="005B66DE">
        <w:rPr>
          <w:rFonts w:eastAsia="Times New Roman" w:cs="Times New Roman"/>
          <w:szCs w:val="24"/>
        </w:rPr>
        <w:t>reduce</w:t>
      </w:r>
      <w:r w:rsidR="00F72A13">
        <w:rPr>
          <w:rFonts w:eastAsia="Times New Roman" w:cs="Times New Roman"/>
          <w:szCs w:val="24"/>
        </w:rPr>
        <w:t>s</w:t>
      </w:r>
      <w:r w:rsidR="007F5BB0">
        <w:rPr>
          <w:rFonts w:eastAsia="Times New Roman" w:cs="Times New Roman"/>
          <w:szCs w:val="24"/>
        </w:rPr>
        <w:t xml:space="preserve"> the dependence of an</w:t>
      </w:r>
      <w:r w:rsidRPr="005B66DE">
        <w:rPr>
          <w:rFonts w:eastAsia="Times New Roman" w:cs="Times New Roman"/>
          <w:szCs w:val="24"/>
        </w:rPr>
        <w:t xml:space="preserve"> economy on a few institutions.</w:t>
      </w:r>
      <w:r w:rsidRPr="005B66DE">
        <w:rPr>
          <w:rStyle w:val="FootnoteReference"/>
          <w:rFonts w:eastAsia="Times New Roman" w:cs="Times New Roman"/>
          <w:szCs w:val="24"/>
        </w:rPr>
        <w:footnoteReference w:id="151"/>
      </w:r>
    </w:p>
    <w:p w14:paraId="7D0B0FDA" w14:textId="6F9937B6" w:rsidR="00EB0067" w:rsidRDefault="00EB0067" w:rsidP="008546A0">
      <w:pPr>
        <w:spacing w:line="360" w:lineRule="auto"/>
        <w:rPr>
          <w:rFonts w:eastAsia="Times New Roman" w:cs="Times New Roman"/>
          <w:szCs w:val="24"/>
        </w:rPr>
      </w:pPr>
    </w:p>
    <w:p w14:paraId="63FB425E" w14:textId="132A97A0" w:rsidR="00EB0067" w:rsidRPr="00EB0067" w:rsidRDefault="00EB0067" w:rsidP="00EB0067">
      <w:pPr>
        <w:pStyle w:val="ListParagraph"/>
        <w:numPr>
          <w:ilvl w:val="0"/>
          <w:numId w:val="38"/>
        </w:numPr>
        <w:spacing w:line="360" w:lineRule="auto"/>
        <w:rPr>
          <w:rFonts w:eastAsia="Times New Roman" w:cs="Times New Roman"/>
          <w:i/>
          <w:szCs w:val="24"/>
        </w:rPr>
      </w:pPr>
      <w:r>
        <w:rPr>
          <w:rFonts w:eastAsia="Times New Roman" w:cs="Times New Roman"/>
          <w:i/>
          <w:szCs w:val="24"/>
        </w:rPr>
        <w:t>Special insurance regime for depositors for TBTF banks</w:t>
      </w:r>
    </w:p>
    <w:p w14:paraId="2DF0FB04" w14:textId="592DDB66" w:rsidR="00EB0067" w:rsidRDefault="00B913C0" w:rsidP="008546A0">
      <w:pPr>
        <w:spacing w:line="360" w:lineRule="auto"/>
        <w:rPr>
          <w:rFonts w:eastAsia="Times New Roman" w:cs="Times New Roman"/>
          <w:szCs w:val="24"/>
        </w:rPr>
      </w:pPr>
      <w:r>
        <w:rPr>
          <w:rFonts w:eastAsia="Times New Roman" w:cs="Times New Roman"/>
          <w:szCs w:val="24"/>
        </w:rPr>
        <w:t>A significant aspect for the financial system is a financial safety, deposit insurance, that is intended to promote financial stability. This insurance guarantees the depositor that his debt with a bank will be honored in the event the bank becomes bankrupt.</w:t>
      </w:r>
      <w:r w:rsidR="002C0249">
        <w:rPr>
          <w:rFonts w:eastAsia="Times New Roman" w:cs="Times New Roman"/>
          <w:szCs w:val="24"/>
        </w:rPr>
        <w:t xml:space="preserve"> This approach to regulating TBTF banks refers to a funded deposit insurance with risk related premiums paid by banks.</w:t>
      </w:r>
      <w:r w:rsidR="008033ED">
        <w:rPr>
          <w:rFonts w:eastAsia="Times New Roman" w:cs="Times New Roman"/>
          <w:szCs w:val="24"/>
        </w:rPr>
        <w:t xml:space="preserve"> It will allow banks to pre-plan for when a crisis occurs or they become bankrupt.</w:t>
      </w:r>
      <w:r w:rsidR="002C0249">
        <w:rPr>
          <w:rFonts w:eastAsia="Times New Roman" w:cs="Times New Roman"/>
          <w:szCs w:val="24"/>
        </w:rPr>
        <w:t xml:space="preserve"> </w:t>
      </w:r>
      <w:r w:rsidR="008033ED">
        <w:rPr>
          <w:rFonts w:eastAsia="Times New Roman" w:cs="Times New Roman"/>
          <w:szCs w:val="24"/>
        </w:rPr>
        <w:t>The aim of this is to create a system where when big banks fail, bondholders and shareholders are not underwritten by taxpayers which creates an incentive for them to prudently monitor the bank’s management.</w:t>
      </w:r>
    </w:p>
    <w:p w14:paraId="4F46B81D" w14:textId="144DB666" w:rsidR="00EE5A6E" w:rsidRDefault="00EE5A6E" w:rsidP="008546A0">
      <w:pPr>
        <w:spacing w:line="360" w:lineRule="auto"/>
        <w:rPr>
          <w:rFonts w:eastAsia="Times New Roman" w:cs="Times New Roman"/>
          <w:szCs w:val="24"/>
        </w:rPr>
      </w:pPr>
    </w:p>
    <w:p w14:paraId="045B2F5D" w14:textId="1CDDDAA4" w:rsidR="00EE5A6E" w:rsidRPr="00EE5A6E" w:rsidRDefault="00EE5A6E" w:rsidP="008546A0">
      <w:pPr>
        <w:spacing w:line="360" w:lineRule="auto"/>
        <w:rPr>
          <w:rFonts w:eastAsia="Times New Roman" w:cs="Times New Roman"/>
          <w:b/>
          <w:szCs w:val="24"/>
        </w:rPr>
      </w:pPr>
      <w:r>
        <w:rPr>
          <w:rFonts w:eastAsia="Times New Roman" w:cs="Times New Roman"/>
          <w:b/>
          <w:szCs w:val="24"/>
        </w:rPr>
        <w:t>4.3 Areas of further research</w:t>
      </w:r>
    </w:p>
    <w:p w14:paraId="54320CE9" w14:textId="2EA949A6" w:rsidR="00182E55" w:rsidRDefault="00EE5A6E" w:rsidP="008546A0">
      <w:pPr>
        <w:spacing w:line="360" w:lineRule="auto"/>
        <w:rPr>
          <w:rFonts w:eastAsia="Times New Roman" w:cs="Times New Roman"/>
          <w:szCs w:val="24"/>
        </w:rPr>
      </w:pPr>
      <w:r>
        <w:rPr>
          <w:rFonts w:eastAsia="Times New Roman" w:cs="Times New Roman"/>
          <w:szCs w:val="24"/>
        </w:rPr>
        <w:t xml:space="preserve">TBTF banks are mainly created through conventional ways of banking. Islamic banking on the other hand provides a completely different way of banking governed by Islamic faith. Islamic banks have proven to promote a sound banking and financial system and very few close to none of Islamic banks have fallen. It would be of interest to economists, lawyers and regulators to conduct research study to determine why the Islamic banking system would help curtail the growth and failure of TBTF banks through its governing practices. This will help </w:t>
      </w:r>
      <w:r w:rsidR="00950AA2">
        <w:rPr>
          <w:rFonts w:eastAsia="Times New Roman" w:cs="Times New Roman"/>
          <w:szCs w:val="24"/>
        </w:rPr>
        <w:t>analyze whether an adoption of this banking approach is more effective so as to come up with a sound, efficient and sustainable financial system.</w:t>
      </w:r>
    </w:p>
    <w:p w14:paraId="374DBCB5" w14:textId="0FFC5EA0" w:rsidR="00FD3913" w:rsidRPr="004C62EF" w:rsidRDefault="0032188B" w:rsidP="00182E55">
      <w:pPr>
        <w:pStyle w:val="Heading1"/>
        <w:numPr>
          <w:ilvl w:val="0"/>
          <w:numId w:val="18"/>
        </w:numPr>
        <w:rPr>
          <w:rFonts w:eastAsia="Times New Roman"/>
          <w:color w:val="0070C0"/>
          <w:sz w:val="24"/>
          <w:szCs w:val="24"/>
        </w:rPr>
      </w:pPr>
      <w:bookmarkStart w:id="56" w:name="_Toc62552913"/>
      <w:r w:rsidRPr="004C62EF">
        <w:rPr>
          <w:rFonts w:eastAsia="Times New Roman"/>
          <w:color w:val="0070C0"/>
          <w:sz w:val="24"/>
          <w:szCs w:val="24"/>
        </w:rPr>
        <w:lastRenderedPageBreak/>
        <w:t>BIBLIOGRAPHY</w:t>
      </w:r>
      <w:bookmarkEnd w:id="56"/>
    </w:p>
    <w:p w14:paraId="39246E3F" w14:textId="77777777" w:rsidR="00B80328" w:rsidRPr="00B80328" w:rsidRDefault="00B80328" w:rsidP="00B80328"/>
    <w:p w14:paraId="1D379DF3" w14:textId="726E5781" w:rsidR="00286E38" w:rsidRPr="00CF3CC4" w:rsidRDefault="00286E38" w:rsidP="00B80328">
      <w:pPr>
        <w:pStyle w:val="Heading2"/>
        <w:numPr>
          <w:ilvl w:val="1"/>
          <w:numId w:val="18"/>
        </w:numPr>
        <w:jc w:val="both"/>
        <w:rPr>
          <w:rFonts w:cs="Times New Roman"/>
          <w:szCs w:val="24"/>
        </w:rPr>
      </w:pPr>
      <w:r w:rsidRPr="00CF3CC4">
        <w:rPr>
          <w:rFonts w:cs="Times New Roman"/>
          <w:szCs w:val="24"/>
        </w:rPr>
        <w:t xml:space="preserve">      </w:t>
      </w:r>
      <w:bookmarkStart w:id="57" w:name="_Toc62552914"/>
      <w:r w:rsidR="00CF3CC4">
        <w:rPr>
          <w:rFonts w:cs="Times New Roman"/>
          <w:szCs w:val="24"/>
        </w:rPr>
        <w:t xml:space="preserve">LAWS AND </w:t>
      </w:r>
      <w:r w:rsidR="00FF0CD4" w:rsidRPr="00CF3CC4">
        <w:rPr>
          <w:rFonts w:cs="Times New Roman"/>
          <w:szCs w:val="24"/>
        </w:rPr>
        <w:t>REGULATIONS</w:t>
      </w:r>
      <w:bookmarkEnd w:id="57"/>
    </w:p>
    <w:p w14:paraId="346B9000" w14:textId="77777777" w:rsidR="007B3ADB" w:rsidRPr="00CF3CC4" w:rsidRDefault="007B3ADB" w:rsidP="00CF3CC4">
      <w:pPr>
        <w:pStyle w:val="FootnoteText"/>
        <w:numPr>
          <w:ilvl w:val="0"/>
          <w:numId w:val="17"/>
        </w:numPr>
        <w:spacing w:line="360" w:lineRule="auto"/>
        <w:rPr>
          <w:rFonts w:cs="Times New Roman"/>
          <w:b w:val="0"/>
          <w:sz w:val="24"/>
          <w:szCs w:val="24"/>
        </w:rPr>
      </w:pPr>
      <w:r w:rsidRPr="00CF3CC4">
        <w:rPr>
          <w:rFonts w:cs="Times New Roman"/>
          <w:b w:val="0"/>
          <w:i/>
          <w:color w:val="000000"/>
          <w:sz w:val="24"/>
          <w:szCs w:val="24"/>
        </w:rPr>
        <w:t>CBK Prudential Guidelines on Mergers, Amalgamations, Transfers of Assets and Liabilities</w:t>
      </w:r>
      <w:r w:rsidRPr="00CF3CC4">
        <w:rPr>
          <w:rFonts w:cs="Times New Roman"/>
          <w:b w:val="0"/>
          <w:color w:val="000000"/>
          <w:sz w:val="24"/>
          <w:szCs w:val="24"/>
        </w:rPr>
        <w:t>, CBK/PG/12.</w:t>
      </w:r>
    </w:p>
    <w:p w14:paraId="1D80128A" w14:textId="77777777" w:rsidR="007B3ADB" w:rsidRPr="00CF3CC4" w:rsidRDefault="007B3ADB" w:rsidP="00CF3CC4">
      <w:pPr>
        <w:pStyle w:val="FootnoteText"/>
        <w:numPr>
          <w:ilvl w:val="0"/>
          <w:numId w:val="17"/>
        </w:numPr>
        <w:spacing w:line="360" w:lineRule="auto"/>
        <w:rPr>
          <w:rFonts w:cs="Times New Roman"/>
          <w:b w:val="0"/>
          <w:sz w:val="24"/>
          <w:szCs w:val="24"/>
        </w:rPr>
      </w:pPr>
      <w:r w:rsidRPr="00CF3CC4">
        <w:rPr>
          <w:rFonts w:cs="Times New Roman"/>
          <w:b w:val="0"/>
          <w:i/>
          <w:sz w:val="24"/>
          <w:szCs w:val="24"/>
        </w:rPr>
        <w:t>COMESA Competition Rules</w:t>
      </w:r>
      <w:r w:rsidRPr="00CF3CC4">
        <w:rPr>
          <w:rFonts w:cs="Times New Roman"/>
          <w:b w:val="0"/>
          <w:sz w:val="24"/>
          <w:szCs w:val="24"/>
        </w:rPr>
        <w:t xml:space="preserve"> (2004).</w:t>
      </w:r>
    </w:p>
    <w:p w14:paraId="5553F6FF" w14:textId="77777777" w:rsidR="007B3ADB" w:rsidRPr="00CF3CC4" w:rsidRDefault="007B3ADB" w:rsidP="00CF3CC4">
      <w:pPr>
        <w:pStyle w:val="FootnoteText"/>
        <w:numPr>
          <w:ilvl w:val="0"/>
          <w:numId w:val="17"/>
        </w:numPr>
        <w:spacing w:line="360" w:lineRule="auto"/>
        <w:rPr>
          <w:rFonts w:cs="Times New Roman"/>
          <w:b w:val="0"/>
          <w:sz w:val="24"/>
          <w:szCs w:val="24"/>
        </w:rPr>
      </w:pPr>
      <w:r w:rsidRPr="00CF3CC4">
        <w:rPr>
          <w:rFonts w:cs="Times New Roman"/>
          <w:b w:val="0"/>
          <w:i/>
          <w:sz w:val="24"/>
          <w:szCs w:val="24"/>
        </w:rPr>
        <w:t>Competition Act</w:t>
      </w:r>
      <w:r w:rsidRPr="00CF3CC4">
        <w:rPr>
          <w:rFonts w:cs="Times New Roman"/>
          <w:b w:val="0"/>
          <w:sz w:val="24"/>
          <w:szCs w:val="24"/>
        </w:rPr>
        <w:t xml:space="preserve"> (Act No. 12 of 2010)</w:t>
      </w:r>
      <w:r w:rsidRPr="00CF3CC4">
        <w:rPr>
          <w:rStyle w:val="FootnoteReference"/>
          <w:rFonts w:cs="Times New Roman"/>
          <w:b w:val="0"/>
          <w:sz w:val="24"/>
          <w:szCs w:val="24"/>
        </w:rPr>
        <w:t xml:space="preserve"> </w:t>
      </w:r>
      <w:r w:rsidRPr="00CF3CC4">
        <w:rPr>
          <w:rFonts w:cs="Times New Roman"/>
          <w:b w:val="0"/>
          <w:sz w:val="24"/>
          <w:szCs w:val="24"/>
        </w:rPr>
        <w:t>.</w:t>
      </w:r>
    </w:p>
    <w:p w14:paraId="11377DB0" w14:textId="77777777" w:rsidR="007B3ADB" w:rsidRPr="00CF3CC4" w:rsidRDefault="007B3ADB" w:rsidP="00CF3CC4">
      <w:pPr>
        <w:pStyle w:val="NormalWeb"/>
        <w:numPr>
          <w:ilvl w:val="0"/>
          <w:numId w:val="17"/>
        </w:numPr>
        <w:spacing w:line="360" w:lineRule="auto"/>
        <w:rPr>
          <w:b w:val="0"/>
        </w:rPr>
      </w:pPr>
      <w:r w:rsidRPr="00CF3CC4">
        <w:rPr>
          <w:b w:val="0"/>
          <w:i/>
          <w:color w:val="000000"/>
        </w:rPr>
        <w:t>The Banking Act</w:t>
      </w:r>
      <w:r w:rsidRPr="00CF3CC4">
        <w:rPr>
          <w:b w:val="0"/>
          <w:color w:val="000000"/>
        </w:rPr>
        <w:t xml:space="preserve"> (CAP 488).</w:t>
      </w:r>
    </w:p>
    <w:p w14:paraId="18DD95BE" w14:textId="77777777" w:rsidR="007B3ADB" w:rsidRPr="00CF3CC4" w:rsidRDefault="007B3ADB" w:rsidP="00CF3CC4">
      <w:pPr>
        <w:pStyle w:val="NormalWeb"/>
        <w:numPr>
          <w:ilvl w:val="0"/>
          <w:numId w:val="17"/>
        </w:numPr>
        <w:spacing w:line="360" w:lineRule="auto"/>
        <w:rPr>
          <w:b w:val="0"/>
        </w:rPr>
      </w:pPr>
      <w:r w:rsidRPr="00CF3CC4">
        <w:rPr>
          <w:b w:val="0"/>
          <w:i/>
          <w:color w:val="000000"/>
        </w:rPr>
        <w:t xml:space="preserve">The Companies Act </w:t>
      </w:r>
      <w:r w:rsidRPr="00CF3CC4">
        <w:rPr>
          <w:b w:val="0"/>
          <w:color w:val="000000"/>
        </w:rPr>
        <w:t>(Act No.17 of 2015)</w:t>
      </w:r>
    </w:p>
    <w:p w14:paraId="07C65479" w14:textId="77777777" w:rsidR="007B3ADB" w:rsidRPr="00CF3CC4" w:rsidRDefault="007B3ADB" w:rsidP="00CF3CC4">
      <w:pPr>
        <w:pStyle w:val="FootnoteText"/>
        <w:numPr>
          <w:ilvl w:val="0"/>
          <w:numId w:val="17"/>
        </w:numPr>
        <w:spacing w:line="360" w:lineRule="auto"/>
        <w:rPr>
          <w:rFonts w:cs="Times New Roman"/>
          <w:b w:val="0"/>
          <w:sz w:val="24"/>
          <w:szCs w:val="24"/>
        </w:rPr>
      </w:pPr>
      <w:r w:rsidRPr="00CF3CC4">
        <w:rPr>
          <w:rFonts w:cs="Times New Roman"/>
          <w:b w:val="0"/>
          <w:i/>
          <w:color w:val="000000"/>
          <w:sz w:val="24"/>
          <w:szCs w:val="24"/>
        </w:rPr>
        <w:t>The East African Community Competition Act</w:t>
      </w:r>
      <w:r w:rsidRPr="00CF3CC4">
        <w:rPr>
          <w:rFonts w:cs="Times New Roman"/>
          <w:b w:val="0"/>
          <w:color w:val="000000"/>
          <w:sz w:val="24"/>
          <w:szCs w:val="24"/>
        </w:rPr>
        <w:t>, (2006).</w:t>
      </w:r>
    </w:p>
    <w:p w14:paraId="721853EA" w14:textId="77777777" w:rsidR="006A35E3" w:rsidRPr="00CF3CC4" w:rsidRDefault="006A35E3" w:rsidP="00CF3CC4">
      <w:pPr>
        <w:pStyle w:val="FootnoteText"/>
        <w:spacing w:line="360" w:lineRule="auto"/>
        <w:ind w:left="720"/>
        <w:rPr>
          <w:rFonts w:cs="Times New Roman"/>
          <w:b w:val="0"/>
          <w:sz w:val="24"/>
          <w:szCs w:val="24"/>
        </w:rPr>
      </w:pPr>
    </w:p>
    <w:p w14:paraId="72005E52" w14:textId="340899BB" w:rsidR="00305B25" w:rsidRPr="00CF3CC4" w:rsidRDefault="00286E38" w:rsidP="00CF3CC4">
      <w:pPr>
        <w:pStyle w:val="Heading2"/>
        <w:numPr>
          <w:ilvl w:val="1"/>
          <w:numId w:val="18"/>
        </w:numPr>
        <w:jc w:val="both"/>
        <w:rPr>
          <w:rFonts w:cs="Times New Roman"/>
          <w:szCs w:val="24"/>
        </w:rPr>
      </w:pPr>
      <w:r w:rsidRPr="00CF3CC4">
        <w:rPr>
          <w:rFonts w:cs="Times New Roman"/>
          <w:szCs w:val="24"/>
        </w:rPr>
        <w:t xml:space="preserve">      </w:t>
      </w:r>
      <w:bookmarkStart w:id="58" w:name="_Toc62552915"/>
      <w:r w:rsidR="00305B25" w:rsidRPr="00CF3CC4">
        <w:rPr>
          <w:rFonts w:cs="Times New Roman"/>
          <w:szCs w:val="24"/>
        </w:rPr>
        <w:t>CASE LAW</w:t>
      </w:r>
      <w:bookmarkEnd w:id="58"/>
    </w:p>
    <w:p w14:paraId="6F38CEBE" w14:textId="77777777" w:rsidR="007B3ADB" w:rsidRDefault="007B3ADB" w:rsidP="00CF3CC4">
      <w:pPr>
        <w:pStyle w:val="FootnoteText"/>
        <w:numPr>
          <w:ilvl w:val="0"/>
          <w:numId w:val="35"/>
        </w:numPr>
        <w:spacing w:line="360" w:lineRule="auto"/>
        <w:rPr>
          <w:rFonts w:cs="Times New Roman"/>
          <w:b w:val="0"/>
          <w:sz w:val="24"/>
          <w:szCs w:val="24"/>
        </w:rPr>
      </w:pPr>
      <w:r w:rsidRPr="00CF3CC4">
        <w:rPr>
          <w:rFonts w:cs="Times New Roman"/>
          <w:b w:val="0"/>
          <w:i/>
          <w:iCs/>
          <w:color w:val="000000"/>
          <w:sz w:val="24"/>
          <w:szCs w:val="24"/>
        </w:rPr>
        <w:t xml:space="preserve">Evans </w:t>
      </w:r>
      <w:proofErr w:type="spellStart"/>
      <w:r w:rsidRPr="00CF3CC4">
        <w:rPr>
          <w:rFonts w:cs="Times New Roman"/>
          <w:b w:val="0"/>
          <w:i/>
          <w:iCs/>
          <w:color w:val="000000"/>
          <w:sz w:val="24"/>
          <w:szCs w:val="24"/>
        </w:rPr>
        <w:t>Aseto</w:t>
      </w:r>
      <w:proofErr w:type="spellEnd"/>
      <w:r w:rsidRPr="00CF3CC4">
        <w:rPr>
          <w:rFonts w:cs="Times New Roman"/>
          <w:b w:val="0"/>
          <w:i/>
          <w:iCs/>
          <w:color w:val="000000"/>
          <w:sz w:val="24"/>
          <w:szCs w:val="24"/>
        </w:rPr>
        <w:t xml:space="preserve"> &amp; another v National Bank of Kenya &amp; another; Central Bank of Kenya &amp; another (interested parties) </w:t>
      </w:r>
      <w:r w:rsidRPr="00CF3CC4">
        <w:rPr>
          <w:rFonts w:cs="Times New Roman"/>
          <w:b w:val="0"/>
          <w:color w:val="000000"/>
          <w:sz w:val="24"/>
          <w:szCs w:val="24"/>
        </w:rPr>
        <w:t xml:space="preserve">[2019] </w:t>
      </w:r>
      <w:proofErr w:type="spellStart"/>
      <w:r w:rsidRPr="00CF3CC4">
        <w:rPr>
          <w:rFonts w:cs="Times New Roman"/>
          <w:b w:val="0"/>
          <w:color w:val="000000"/>
          <w:sz w:val="24"/>
          <w:szCs w:val="24"/>
        </w:rPr>
        <w:t>eKLR</w:t>
      </w:r>
      <w:proofErr w:type="spellEnd"/>
      <w:r w:rsidRPr="00CF3CC4">
        <w:rPr>
          <w:rFonts w:cs="Times New Roman"/>
          <w:b w:val="0"/>
          <w:color w:val="000000"/>
          <w:sz w:val="24"/>
          <w:szCs w:val="24"/>
        </w:rPr>
        <w:t>.</w:t>
      </w:r>
    </w:p>
    <w:p w14:paraId="7160524C" w14:textId="77777777" w:rsidR="007B3ADB" w:rsidRPr="00CF3CC4" w:rsidRDefault="007B3ADB" w:rsidP="00CF3CC4">
      <w:pPr>
        <w:pStyle w:val="FootnoteText"/>
        <w:numPr>
          <w:ilvl w:val="0"/>
          <w:numId w:val="35"/>
        </w:numPr>
        <w:spacing w:line="360" w:lineRule="auto"/>
        <w:rPr>
          <w:rFonts w:cs="Times New Roman"/>
          <w:b w:val="0"/>
          <w:sz w:val="24"/>
          <w:szCs w:val="24"/>
        </w:rPr>
      </w:pPr>
      <w:r w:rsidRPr="00CF3CC4">
        <w:rPr>
          <w:rFonts w:cs="Times New Roman"/>
          <w:b w:val="0"/>
          <w:i/>
          <w:iCs/>
          <w:color w:val="000000"/>
          <w:sz w:val="24"/>
          <w:szCs w:val="24"/>
        </w:rPr>
        <w:t xml:space="preserve">Rose Florence </w:t>
      </w:r>
      <w:proofErr w:type="spellStart"/>
      <w:r w:rsidRPr="00CF3CC4">
        <w:rPr>
          <w:rFonts w:cs="Times New Roman"/>
          <w:b w:val="0"/>
          <w:i/>
          <w:iCs/>
          <w:color w:val="000000"/>
          <w:sz w:val="24"/>
          <w:szCs w:val="24"/>
        </w:rPr>
        <w:t>Wanjiru</w:t>
      </w:r>
      <w:proofErr w:type="spellEnd"/>
      <w:r w:rsidRPr="00CF3CC4">
        <w:rPr>
          <w:rFonts w:cs="Times New Roman"/>
          <w:b w:val="0"/>
          <w:i/>
          <w:iCs/>
          <w:color w:val="000000"/>
          <w:sz w:val="24"/>
          <w:szCs w:val="24"/>
        </w:rPr>
        <w:t xml:space="preserve"> v the Standard Chartered Bank Kenya Limited &amp; another </w:t>
      </w:r>
      <w:r w:rsidRPr="00CF3CC4">
        <w:rPr>
          <w:rFonts w:cs="Times New Roman"/>
          <w:b w:val="0"/>
          <w:color w:val="000000"/>
          <w:sz w:val="24"/>
          <w:szCs w:val="24"/>
        </w:rPr>
        <w:t xml:space="preserve">[2015] </w:t>
      </w:r>
      <w:proofErr w:type="spellStart"/>
      <w:r w:rsidRPr="00CF3CC4">
        <w:rPr>
          <w:rFonts w:cs="Times New Roman"/>
          <w:b w:val="0"/>
          <w:color w:val="000000"/>
          <w:sz w:val="24"/>
          <w:szCs w:val="24"/>
        </w:rPr>
        <w:t>eKLR</w:t>
      </w:r>
      <w:proofErr w:type="spellEnd"/>
      <w:r w:rsidRPr="00CF3CC4">
        <w:rPr>
          <w:rFonts w:cs="Times New Roman"/>
          <w:b w:val="0"/>
          <w:color w:val="000000"/>
          <w:sz w:val="24"/>
          <w:szCs w:val="24"/>
        </w:rPr>
        <w:t>.</w:t>
      </w:r>
    </w:p>
    <w:p w14:paraId="17421071" w14:textId="77777777" w:rsidR="007B3ADB" w:rsidRDefault="007B3ADB" w:rsidP="00CF3CC4">
      <w:pPr>
        <w:pStyle w:val="FootnoteText"/>
        <w:numPr>
          <w:ilvl w:val="0"/>
          <w:numId w:val="35"/>
        </w:numPr>
        <w:spacing w:line="360" w:lineRule="auto"/>
        <w:rPr>
          <w:rFonts w:cs="Times New Roman"/>
          <w:b w:val="0"/>
          <w:sz w:val="24"/>
          <w:szCs w:val="24"/>
        </w:rPr>
      </w:pPr>
      <w:r w:rsidRPr="00CF3CC4">
        <w:rPr>
          <w:rFonts w:cs="Times New Roman"/>
          <w:b w:val="0"/>
          <w:i/>
          <w:sz w:val="24"/>
          <w:szCs w:val="24"/>
        </w:rPr>
        <w:t>United States of America v Standard Chartered</w:t>
      </w:r>
      <w:r w:rsidRPr="00CF3CC4">
        <w:rPr>
          <w:rFonts w:cs="Times New Roman"/>
          <w:b w:val="0"/>
          <w:sz w:val="24"/>
          <w:szCs w:val="24"/>
        </w:rPr>
        <w:t xml:space="preserve"> </w:t>
      </w:r>
      <w:r w:rsidRPr="00CF3CC4">
        <w:rPr>
          <w:rFonts w:cs="Times New Roman"/>
          <w:b w:val="0"/>
          <w:i/>
          <w:sz w:val="24"/>
          <w:szCs w:val="24"/>
        </w:rPr>
        <w:t xml:space="preserve">Bank </w:t>
      </w:r>
      <w:r w:rsidRPr="00CF3CC4">
        <w:rPr>
          <w:rFonts w:cs="Times New Roman"/>
          <w:b w:val="0"/>
          <w:sz w:val="24"/>
          <w:szCs w:val="24"/>
        </w:rPr>
        <w:t>(2012), United States District court of Colombia.</w:t>
      </w:r>
    </w:p>
    <w:p w14:paraId="5C7D8901" w14:textId="77777777" w:rsidR="007B3ADB" w:rsidRPr="00CF3CC4" w:rsidRDefault="007B3ADB" w:rsidP="00CF3CC4">
      <w:pPr>
        <w:pStyle w:val="FootnoteText"/>
        <w:numPr>
          <w:ilvl w:val="0"/>
          <w:numId w:val="35"/>
        </w:numPr>
        <w:spacing w:line="360" w:lineRule="auto"/>
        <w:rPr>
          <w:rFonts w:cs="Times New Roman"/>
          <w:b w:val="0"/>
          <w:sz w:val="24"/>
          <w:szCs w:val="24"/>
        </w:rPr>
      </w:pPr>
      <w:r w:rsidRPr="00CF3CC4">
        <w:rPr>
          <w:rFonts w:cs="Times New Roman"/>
          <w:b w:val="0"/>
          <w:i/>
          <w:sz w:val="24"/>
          <w:szCs w:val="24"/>
        </w:rPr>
        <w:t xml:space="preserve">United States V HSBC USA </w:t>
      </w:r>
      <w:r w:rsidRPr="00CF3CC4">
        <w:rPr>
          <w:rFonts w:cs="Times New Roman"/>
          <w:b w:val="0"/>
          <w:sz w:val="24"/>
          <w:szCs w:val="24"/>
        </w:rPr>
        <w:t>(2013), United States Court of Appeals.</w:t>
      </w:r>
    </w:p>
    <w:p w14:paraId="03C83E3F" w14:textId="77777777" w:rsidR="00305B25" w:rsidRPr="00CF3CC4" w:rsidRDefault="00305B25" w:rsidP="00CF3CC4">
      <w:pPr>
        <w:spacing w:line="360" w:lineRule="auto"/>
        <w:rPr>
          <w:rFonts w:cs="Times New Roman"/>
          <w:szCs w:val="24"/>
        </w:rPr>
      </w:pPr>
    </w:p>
    <w:p w14:paraId="358974B1" w14:textId="1F07A817" w:rsidR="00286E38" w:rsidRPr="00CF3CC4" w:rsidRDefault="00305B25" w:rsidP="00CF3CC4">
      <w:pPr>
        <w:pStyle w:val="Heading2"/>
        <w:numPr>
          <w:ilvl w:val="1"/>
          <w:numId w:val="18"/>
        </w:numPr>
        <w:jc w:val="both"/>
        <w:rPr>
          <w:rFonts w:cs="Times New Roman"/>
          <w:szCs w:val="24"/>
        </w:rPr>
      </w:pPr>
      <w:r w:rsidRPr="00CF3CC4">
        <w:rPr>
          <w:rFonts w:cs="Times New Roman"/>
          <w:szCs w:val="24"/>
        </w:rPr>
        <w:t xml:space="preserve">      </w:t>
      </w:r>
      <w:bookmarkStart w:id="59" w:name="_Toc62552916"/>
      <w:r w:rsidR="00FF0CD4" w:rsidRPr="00CF3CC4">
        <w:rPr>
          <w:rFonts w:cs="Times New Roman"/>
          <w:szCs w:val="24"/>
        </w:rPr>
        <w:t>BOOKS</w:t>
      </w:r>
      <w:bookmarkEnd w:id="59"/>
    </w:p>
    <w:p w14:paraId="2AE2794B" w14:textId="77777777" w:rsidR="007B3ADB" w:rsidRPr="00CF3CC4" w:rsidRDefault="007B3ADB" w:rsidP="00CF3CC4">
      <w:pPr>
        <w:pStyle w:val="FootnoteText"/>
        <w:numPr>
          <w:ilvl w:val="2"/>
          <w:numId w:val="9"/>
        </w:numPr>
        <w:spacing w:line="360" w:lineRule="auto"/>
        <w:rPr>
          <w:rFonts w:cs="Times New Roman"/>
          <w:b w:val="0"/>
          <w:sz w:val="24"/>
          <w:szCs w:val="24"/>
        </w:rPr>
      </w:pPr>
      <w:proofErr w:type="spellStart"/>
      <w:r w:rsidRPr="00CF3CC4">
        <w:rPr>
          <w:rFonts w:cs="Times New Roman"/>
          <w:b w:val="0"/>
          <w:sz w:val="24"/>
          <w:szCs w:val="24"/>
        </w:rPr>
        <w:t>Armour</w:t>
      </w:r>
      <w:proofErr w:type="spellEnd"/>
      <w:r w:rsidRPr="00CF3CC4">
        <w:rPr>
          <w:rFonts w:cs="Times New Roman"/>
          <w:b w:val="0"/>
          <w:sz w:val="24"/>
          <w:szCs w:val="24"/>
        </w:rPr>
        <w:t xml:space="preserve"> J, </w:t>
      </w:r>
      <w:proofErr w:type="spellStart"/>
      <w:r w:rsidRPr="00CF3CC4">
        <w:rPr>
          <w:rFonts w:cs="Times New Roman"/>
          <w:b w:val="0"/>
          <w:sz w:val="24"/>
          <w:szCs w:val="24"/>
        </w:rPr>
        <w:t>Awrey</w:t>
      </w:r>
      <w:proofErr w:type="spellEnd"/>
      <w:r w:rsidRPr="00CF3CC4">
        <w:rPr>
          <w:rFonts w:cs="Times New Roman"/>
          <w:b w:val="0"/>
          <w:sz w:val="24"/>
          <w:szCs w:val="24"/>
        </w:rPr>
        <w:t xml:space="preserve"> D, Davies, </w:t>
      </w:r>
      <w:proofErr w:type="spellStart"/>
      <w:r w:rsidRPr="00CF3CC4">
        <w:rPr>
          <w:rFonts w:cs="Times New Roman"/>
          <w:b w:val="0"/>
          <w:sz w:val="24"/>
          <w:szCs w:val="24"/>
        </w:rPr>
        <w:t>Enriques</w:t>
      </w:r>
      <w:proofErr w:type="spellEnd"/>
      <w:r w:rsidRPr="00CF3CC4">
        <w:rPr>
          <w:rFonts w:cs="Times New Roman"/>
          <w:b w:val="0"/>
          <w:sz w:val="24"/>
          <w:szCs w:val="24"/>
        </w:rPr>
        <w:t xml:space="preserve"> L, Gordon J, Mayer C, &amp; Payne J, </w:t>
      </w:r>
      <w:r w:rsidRPr="00CF3CC4">
        <w:rPr>
          <w:rFonts w:cs="Times New Roman"/>
          <w:b w:val="0"/>
          <w:i/>
          <w:sz w:val="24"/>
          <w:szCs w:val="24"/>
        </w:rPr>
        <w:t>Principles of financial regulation,</w:t>
      </w:r>
      <w:r w:rsidRPr="00CF3CC4">
        <w:rPr>
          <w:rFonts w:cs="Times New Roman"/>
          <w:b w:val="0"/>
          <w:sz w:val="24"/>
          <w:szCs w:val="24"/>
        </w:rPr>
        <w:t xml:space="preserve"> 3</w:t>
      </w:r>
      <w:r w:rsidRPr="00CF3CC4">
        <w:rPr>
          <w:rFonts w:cs="Times New Roman"/>
          <w:b w:val="0"/>
          <w:sz w:val="24"/>
          <w:szCs w:val="24"/>
          <w:vertAlign w:val="superscript"/>
        </w:rPr>
        <w:t>rd</w:t>
      </w:r>
      <w:r w:rsidRPr="00CF3CC4">
        <w:rPr>
          <w:rFonts w:cs="Times New Roman"/>
          <w:b w:val="0"/>
          <w:sz w:val="24"/>
          <w:szCs w:val="24"/>
        </w:rPr>
        <w:t xml:space="preserve"> </w:t>
      </w:r>
      <w:proofErr w:type="spellStart"/>
      <w:r w:rsidRPr="00CF3CC4">
        <w:rPr>
          <w:rFonts w:cs="Times New Roman"/>
          <w:b w:val="0"/>
          <w:sz w:val="24"/>
          <w:szCs w:val="24"/>
        </w:rPr>
        <w:t>ed</w:t>
      </w:r>
      <w:proofErr w:type="spellEnd"/>
      <w:r w:rsidRPr="00CF3CC4">
        <w:rPr>
          <w:rFonts w:cs="Times New Roman"/>
          <w:b w:val="0"/>
          <w:sz w:val="24"/>
          <w:szCs w:val="24"/>
        </w:rPr>
        <w:t>, Oxford University Press, London, 2016.</w:t>
      </w:r>
    </w:p>
    <w:p w14:paraId="4D540C4F" w14:textId="77777777" w:rsidR="007B3ADB" w:rsidRPr="00CF3CC4" w:rsidRDefault="007B3ADB" w:rsidP="00CF3CC4">
      <w:pPr>
        <w:pStyle w:val="FootnoteText"/>
        <w:numPr>
          <w:ilvl w:val="2"/>
          <w:numId w:val="9"/>
        </w:numPr>
        <w:spacing w:line="360" w:lineRule="auto"/>
        <w:rPr>
          <w:rStyle w:val="HTMLCite"/>
          <w:rFonts w:cs="Times New Roman"/>
          <w:b w:val="0"/>
          <w:i w:val="0"/>
          <w:iCs w:val="0"/>
          <w:sz w:val="24"/>
          <w:szCs w:val="24"/>
        </w:rPr>
      </w:pPr>
      <w:r w:rsidRPr="00CF3CC4">
        <w:rPr>
          <w:rStyle w:val="HTMLCite"/>
          <w:rFonts w:cs="Times New Roman"/>
          <w:b w:val="0"/>
          <w:i w:val="0"/>
          <w:sz w:val="24"/>
          <w:szCs w:val="24"/>
        </w:rPr>
        <w:t xml:space="preserve">Austin J, </w:t>
      </w:r>
      <w:proofErr w:type="gramStart"/>
      <w:r w:rsidRPr="00CF3CC4">
        <w:rPr>
          <w:rStyle w:val="HTMLCite"/>
          <w:rFonts w:cs="Times New Roman"/>
          <w:b w:val="0"/>
          <w:sz w:val="24"/>
          <w:szCs w:val="24"/>
        </w:rPr>
        <w:t>The</w:t>
      </w:r>
      <w:proofErr w:type="gramEnd"/>
      <w:r w:rsidRPr="00CF3CC4">
        <w:rPr>
          <w:rStyle w:val="HTMLCite"/>
          <w:rFonts w:cs="Times New Roman"/>
          <w:b w:val="0"/>
          <w:sz w:val="24"/>
          <w:szCs w:val="24"/>
        </w:rPr>
        <w:t xml:space="preserve"> province of jurisprudence determined</w:t>
      </w:r>
      <w:r w:rsidRPr="00CF3CC4">
        <w:rPr>
          <w:rStyle w:val="HTMLCite"/>
          <w:rFonts w:cs="Times New Roman"/>
          <w:b w:val="0"/>
          <w:i w:val="0"/>
          <w:sz w:val="24"/>
          <w:szCs w:val="24"/>
        </w:rPr>
        <w:t>, Cambridge University Press, New York, 1995.</w:t>
      </w:r>
    </w:p>
    <w:p w14:paraId="2C691947" w14:textId="77777777" w:rsidR="007B3ADB" w:rsidRPr="00CF3CC4" w:rsidRDefault="007B3ADB" w:rsidP="00CF3CC4">
      <w:pPr>
        <w:pStyle w:val="FootnoteText"/>
        <w:numPr>
          <w:ilvl w:val="2"/>
          <w:numId w:val="9"/>
        </w:numPr>
        <w:spacing w:line="360" w:lineRule="auto"/>
        <w:rPr>
          <w:rFonts w:cs="Times New Roman"/>
          <w:b w:val="0"/>
          <w:sz w:val="24"/>
          <w:szCs w:val="24"/>
        </w:rPr>
      </w:pPr>
      <w:proofErr w:type="spellStart"/>
      <w:r w:rsidRPr="00CF3CC4">
        <w:rPr>
          <w:rFonts w:cs="Times New Roman"/>
          <w:b w:val="0"/>
          <w:sz w:val="24"/>
          <w:szCs w:val="24"/>
        </w:rPr>
        <w:t>Bouchaud</w:t>
      </w:r>
      <w:proofErr w:type="spellEnd"/>
      <w:r w:rsidRPr="00CF3CC4">
        <w:rPr>
          <w:rFonts w:cs="Times New Roman"/>
          <w:b w:val="0"/>
          <w:sz w:val="24"/>
          <w:szCs w:val="24"/>
        </w:rPr>
        <w:t xml:space="preserve"> J. P and Potters M, </w:t>
      </w:r>
      <w:r w:rsidRPr="00CF3CC4">
        <w:rPr>
          <w:rFonts w:cs="Times New Roman"/>
          <w:b w:val="0"/>
          <w:i/>
          <w:sz w:val="24"/>
          <w:szCs w:val="24"/>
        </w:rPr>
        <w:t>Theory of Financial Risks and Derivatives Pricing, From Statistical Physics to Risk Management</w:t>
      </w:r>
      <w:r w:rsidRPr="00CF3CC4">
        <w:rPr>
          <w:rFonts w:cs="Times New Roman"/>
          <w:b w:val="0"/>
          <w:sz w:val="24"/>
          <w:szCs w:val="24"/>
        </w:rPr>
        <w:t xml:space="preserve">, 2nd Ed., Cambridge University Press, 2003. </w:t>
      </w:r>
    </w:p>
    <w:p w14:paraId="56FB85D1" w14:textId="77777777" w:rsidR="007B3ADB" w:rsidRPr="00CF3CC4" w:rsidRDefault="007B3ADB" w:rsidP="00CF3CC4">
      <w:pPr>
        <w:pStyle w:val="FootnoteText"/>
        <w:numPr>
          <w:ilvl w:val="2"/>
          <w:numId w:val="9"/>
        </w:numPr>
        <w:spacing w:line="360" w:lineRule="auto"/>
        <w:rPr>
          <w:rFonts w:cs="Times New Roman"/>
          <w:b w:val="0"/>
          <w:sz w:val="24"/>
          <w:szCs w:val="24"/>
        </w:rPr>
      </w:pPr>
      <w:proofErr w:type="spellStart"/>
      <w:r w:rsidRPr="00CF3CC4">
        <w:rPr>
          <w:rFonts w:cs="Times New Roman"/>
          <w:b w:val="0"/>
          <w:sz w:val="24"/>
          <w:szCs w:val="24"/>
        </w:rPr>
        <w:t>Dabos</w:t>
      </w:r>
      <w:proofErr w:type="spellEnd"/>
      <w:r w:rsidRPr="00CF3CC4">
        <w:rPr>
          <w:rFonts w:cs="Times New Roman"/>
          <w:b w:val="0"/>
          <w:sz w:val="24"/>
          <w:szCs w:val="24"/>
        </w:rPr>
        <w:t xml:space="preserve"> M., </w:t>
      </w:r>
      <w:r w:rsidRPr="00CF3CC4">
        <w:rPr>
          <w:rFonts w:cs="Times New Roman"/>
          <w:b w:val="0"/>
          <w:i/>
          <w:sz w:val="24"/>
          <w:szCs w:val="24"/>
        </w:rPr>
        <w:t xml:space="preserve">Too big to fail: Policies and practices in government bailouts, </w:t>
      </w:r>
      <w:r w:rsidRPr="00CF3CC4">
        <w:rPr>
          <w:rFonts w:cs="Times New Roman"/>
          <w:b w:val="0"/>
          <w:sz w:val="24"/>
          <w:szCs w:val="24"/>
        </w:rPr>
        <w:t>Greenwood Publishing Group, Westport, 2004.</w:t>
      </w:r>
    </w:p>
    <w:p w14:paraId="0A4998A4" w14:textId="77777777" w:rsidR="007B3ADB" w:rsidRPr="00CF3CC4" w:rsidRDefault="007B3ADB" w:rsidP="00CF3CC4">
      <w:pPr>
        <w:pStyle w:val="FootnoteText"/>
        <w:numPr>
          <w:ilvl w:val="2"/>
          <w:numId w:val="9"/>
        </w:numPr>
        <w:spacing w:line="360" w:lineRule="auto"/>
        <w:rPr>
          <w:rStyle w:val="HTMLCite"/>
          <w:rFonts w:cs="Times New Roman"/>
          <w:b w:val="0"/>
          <w:i w:val="0"/>
          <w:iCs w:val="0"/>
          <w:sz w:val="24"/>
          <w:szCs w:val="24"/>
        </w:rPr>
      </w:pPr>
      <w:r w:rsidRPr="00CF3CC4">
        <w:rPr>
          <w:rStyle w:val="HTMLCite"/>
          <w:rFonts w:cs="Times New Roman"/>
          <w:b w:val="0"/>
          <w:i w:val="0"/>
          <w:sz w:val="24"/>
          <w:szCs w:val="24"/>
        </w:rPr>
        <w:t xml:space="preserve">Hart H.L.A., </w:t>
      </w:r>
      <w:r w:rsidRPr="00CF3CC4">
        <w:rPr>
          <w:rStyle w:val="HTMLCite"/>
          <w:rFonts w:cs="Times New Roman"/>
          <w:b w:val="0"/>
          <w:sz w:val="24"/>
          <w:szCs w:val="24"/>
        </w:rPr>
        <w:t>The Concept of Law</w:t>
      </w:r>
      <w:r w:rsidRPr="00CF3CC4">
        <w:rPr>
          <w:rStyle w:val="HTMLCite"/>
          <w:rFonts w:cs="Times New Roman"/>
          <w:b w:val="0"/>
          <w:i w:val="0"/>
          <w:sz w:val="24"/>
          <w:szCs w:val="24"/>
        </w:rPr>
        <w:t xml:space="preserve">, </w:t>
      </w:r>
      <w:proofErr w:type="spellStart"/>
      <w:r w:rsidRPr="00CF3CC4">
        <w:rPr>
          <w:rStyle w:val="HTMLCite"/>
          <w:rFonts w:cs="Times New Roman"/>
          <w:b w:val="0"/>
          <w:i w:val="0"/>
          <w:sz w:val="24"/>
          <w:szCs w:val="24"/>
        </w:rPr>
        <w:t>Claredon</w:t>
      </w:r>
      <w:proofErr w:type="spellEnd"/>
      <w:r w:rsidRPr="00CF3CC4">
        <w:rPr>
          <w:rStyle w:val="HTMLCite"/>
          <w:rFonts w:cs="Times New Roman"/>
          <w:b w:val="0"/>
          <w:i w:val="0"/>
          <w:sz w:val="24"/>
          <w:szCs w:val="24"/>
        </w:rPr>
        <w:t xml:space="preserve"> Press, Oxford, 1961.</w:t>
      </w:r>
    </w:p>
    <w:p w14:paraId="44718CC4" w14:textId="77777777" w:rsidR="007B3ADB" w:rsidRPr="00CF3CC4" w:rsidRDefault="007B3ADB" w:rsidP="00CF3CC4">
      <w:pPr>
        <w:pStyle w:val="FootnoteText"/>
        <w:numPr>
          <w:ilvl w:val="2"/>
          <w:numId w:val="9"/>
        </w:numPr>
        <w:spacing w:line="360" w:lineRule="auto"/>
        <w:rPr>
          <w:rStyle w:val="HTMLCite"/>
          <w:rFonts w:cs="Times New Roman"/>
          <w:b w:val="0"/>
          <w:i w:val="0"/>
          <w:iCs w:val="0"/>
          <w:sz w:val="24"/>
          <w:szCs w:val="24"/>
        </w:rPr>
      </w:pPr>
      <w:r w:rsidRPr="00CF3CC4">
        <w:rPr>
          <w:rStyle w:val="HTMLCite"/>
          <w:rFonts w:cs="Times New Roman"/>
          <w:b w:val="0"/>
          <w:i w:val="0"/>
          <w:sz w:val="24"/>
          <w:szCs w:val="24"/>
        </w:rPr>
        <w:t xml:space="preserve">Hobbes T, </w:t>
      </w:r>
      <w:r w:rsidRPr="00CF3CC4">
        <w:rPr>
          <w:rStyle w:val="HTMLCite"/>
          <w:rFonts w:cs="Times New Roman"/>
          <w:b w:val="0"/>
          <w:sz w:val="24"/>
          <w:szCs w:val="24"/>
        </w:rPr>
        <w:t>The Leviathan</w:t>
      </w:r>
      <w:r w:rsidRPr="00CF3CC4">
        <w:rPr>
          <w:rStyle w:val="HTMLCite"/>
          <w:rFonts w:cs="Times New Roman"/>
          <w:b w:val="0"/>
          <w:i w:val="0"/>
          <w:sz w:val="24"/>
          <w:szCs w:val="24"/>
        </w:rPr>
        <w:t>, Penguin Books, Baltimore,1968.</w:t>
      </w:r>
    </w:p>
    <w:p w14:paraId="53321617" w14:textId="77777777" w:rsidR="007B3ADB" w:rsidRPr="00CF3CC4" w:rsidRDefault="007B3ADB" w:rsidP="00CF3CC4">
      <w:pPr>
        <w:pStyle w:val="FootnoteText"/>
        <w:numPr>
          <w:ilvl w:val="2"/>
          <w:numId w:val="9"/>
        </w:numPr>
        <w:spacing w:line="360" w:lineRule="auto"/>
        <w:rPr>
          <w:rFonts w:cs="Times New Roman"/>
          <w:b w:val="0"/>
          <w:sz w:val="24"/>
          <w:szCs w:val="24"/>
        </w:rPr>
      </w:pPr>
      <w:proofErr w:type="spellStart"/>
      <w:r w:rsidRPr="00CF3CC4">
        <w:rPr>
          <w:rFonts w:cs="Times New Roman"/>
          <w:b w:val="0"/>
          <w:sz w:val="24"/>
          <w:szCs w:val="24"/>
        </w:rPr>
        <w:t>Ijiri</w:t>
      </w:r>
      <w:proofErr w:type="spellEnd"/>
      <w:r w:rsidRPr="00CF3CC4">
        <w:rPr>
          <w:rFonts w:cs="Times New Roman"/>
          <w:b w:val="0"/>
          <w:sz w:val="24"/>
          <w:szCs w:val="24"/>
        </w:rPr>
        <w:t xml:space="preserve"> Y and Simon H,</w:t>
      </w:r>
      <w:r w:rsidRPr="00CF3CC4">
        <w:rPr>
          <w:rFonts w:cs="Times New Roman"/>
          <w:b w:val="0"/>
          <w:i/>
          <w:sz w:val="24"/>
          <w:szCs w:val="24"/>
        </w:rPr>
        <w:t xml:space="preserve"> Skew distributions and the size of business firms,</w:t>
      </w:r>
      <w:r w:rsidRPr="00CF3CC4">
        <w:rPr>
          <w:rFonts w:cs="Times New Roman"/>
          <w:b w:val="0"/>
          <w:sz w:val="24"/>
          <w:szCs w:val="24"/>
        </w:rPr>
        <w:t xml:space="preserve"> North Holland </w:t>
      </w:r>
      <w:r w:rsidRPr="00CF3CC4">
        <w:rPr>
          <w:rFonts w:cs="Times New Roman"/>
          <w:b w:val="0"/>
          <w:sz w:val="24"/>
          <w:szCs w:val="24"/>
        </w:rPr>
        <w:lastRenderedPageBreak/>
        <w:t>Publishing Company, New York, 1977.</w:t>
      </w:r>
    </w:p>
    <w:p w14:paraId="438656DC" w14:textId="5C207B05" w:rsidR="007B3ADB" w:rsidRPr="00CF3CC4" w:rsidRDefault="007B3ADB" w:rsidP="00CF3CC4">
      <w:pPr>
        <w:pStyle w:val="FootnoteText"/>
        <w:numPr>
          <w:ilvl w:val="2"/>
          <w:numId w:val="9"/>
        </w:numPr>
        <w:spacing w:line="360" w:lineRule="auto"/>
        <w:rPr>
          <w:rStyle w:val="HTMLCite"/>
          <w:rFonts w:cs="Times New Roman"/>
          <w:b w:val="0"/>
          <w:i w:val="0"/>
          <w:iCs w:val="0"/>
          <w:sz w:val="24"/>
          <w:szCs w:val="24"/>
        </w:rPr>
      </w:pPr>
      <w:r w:rsidRPr="00CF3CC4">
        <w:rPr>
          <w:rFonts w:cs="Times New Roman"/>
          <w:b w:val="0"/>
          <w:sz w:val="24"/>
          <w:szCs w:val="24"/>
        </w:rPr>
        <w:t xml:space="preserve">Stern G, </w:t>
      </w:r>
      <w:proofErr w:type="gramStart"/>
      <w:r w:rsidRPr="00CF3CC4">
        <w:rPr>
          <w:rFonts w:cs="Times New Roman"/>
          <w:b w:val="0"/>
          <w:i/>
          <w:sz w:val="24"/>
          <w:szCs w:val="24"/>
        </w:rPr>
        <w:t>Too</w:t>
      </w:r>
      <w:proofErr w:type="gramEnd"/>
      <w:r w:rsidRPr="00CF3CC4">
        <w:rPr>
          <w:rFonts w:cs="Times New Roman"/>
          <w:b w:val="0"/>
          <w:i/>
          <w:sz w:val="24"/>
          <w:szCs w:val="24"/>
        </w:rPr>
        <w:t xml:space="preserve"> big to fail: the hazards of bank bailouts</w:t>
      </w:r>
      <w:r w:rsidRPr="00CF3CC4">
        <w:rPr>
          <w:rFonts w:cs="Times New Roman"/>
          <w:b w:val="0"/>
          <w:sz w:val="24"/>
          <w:szCs w:val="24"/>
        </w:rPr>
        <w:t>, Brookings Institution Press, 2009.</w:t>
      </w:r>
    </w:p>
    <w:p w14:paraId="13BEFBFC" w14:textId="77777777" w:rsidR="007B3ADB" w:rsidRPr="00CF3CC4" w:rsidRDefault="007B3ADB" w:rsidP="00CF3CC4">
      <w:pPr>
        <w:pStyle w:val="FootnoteText"/>
        <w:numPr>
          <w:ilvl w:val="2"/>
          <w:numId w:val="9"/>
        </w:numPr>
        <w:spacing w:line="360" w:lineRule="auto"/>
        <w:rPr>
          <w:rFonts w:cs="Times New Roman"/>
          <w:b w:val="0"/>
          <w:sz w:val="24"/>
          <w:szCs w:val="24"/>
        </w:rPr>
      </w:pPr>
      <w:proofErr w:type="spellStart"/>
      <w:r w:rsidRPr="00CF3CC4">
        <w:rPr>
          <w:rFonts w:cs="Times New Roman"/>
          <w:b w:val="0"/>
          <w:sz w:val="24"/>
          <w:szCs w:val="24"/>
        </w:rPr>
        <w:t>Taleb</w:t>
      </w:r>
      <w:proofErr w:type="spellEnd"/>
      <w:r w:rsidRPr="00CF3CC4">
        <w:rPr>
          <w:rFonts w:cs="Times New Roman"/>
          <w:b w:val="0"/>
          <w:sz w:val="24"/>
          <w:szCs w:val="24"/>
        </w:rPr>
        <w:t xml:space="preserve"> N, </w:t>
      </w:r>
      <w:r w:rsidRPr="00CF3CC4">
        <w:rPr>
          <w:rFonts w:cs="Times New Roman"/>
          <w:b w:val="0"/>
          <w:i/>
          <w:sz w:val="24"/>
          <w:szCs w:val="24"/>
        </w:rPr>
        <w:t xml:space="preserve">The Black Swan: The Impact of the Highly Improbable, </w:t>
      </w:r>
      <w:r w:rsidRPr="00CF3CC4">
        <w:rPr>
          <w:rFonts w:cs="Times New Roman"/>
          <w:b w:val="0"/>
          <w:sz w:val="24"/>
          <w:szCs w:val="24"/>
        </w:rPr>
        <w:t>Penguin Books Publishing Company, London, 2008.</w:t>
      </w:r>
    </w:p>
    <w:p w14:paraId="77CB2FEA" w14:textId="77777777" w:rsidR="00FF0CD4" w:rsidRPr="00CF3CC4" w:rsidRDefault="00FF0CD4" w:rsidP="00CF3CC4">
      <w:pPr>
        <w:pStyle w:val="ListParagraph"/>
        <w:spacing w:line="360" w:lineRule="auto"/>
        <w:rPr>
          <w:rFonts w:cs="Times New Roman"/>
          <w:szCs w:val="24"/>
        </w:rPr>
      </w:pPr>
    </w:p>
    <w:p w14:paraId="5F6EF235" w14:textId="55658FA2" w:rsidR="0032188B" w:rsidRPr="00CF3CC4" w:rsidRDefault="002E5F4B" w:rsidP="00CF3CC4">
      <w:pPr>
        <w:pStyle w:val="Heading2"/>
        <w:numPr>
          <w:ilvl w:val="1"/>
          <w:numId w:val="18"/>
        </w:numPr>
        <w:jc w:val="both"/>
        <w:rPr>
          <w:rFonts w:cs="Times New Roman"/>
          <w:szCs w:val="24"/>
        </w:rPr>
      </w:pPr>
      <w:r w:rsidRPr="00CF3CC4">
        <w:rPr>
          <w:rFonts w:cs="Times New Roman"/>
          <w:szCs w:val="24"/>
        </w:rPr>
        <w:t xml:space="preserve">      </w:t>
      </w:r>
      <w:bookmarkStart w:id="60" w:name="_Toc62552917"/>
      <w:r w:rsidR="00FF0CD4" w:rsidRPr="00CF3CC4">
        <w:rPr>
          <w:rFonts w:cs="Times New Roman"/>
          <w:szCs w:val="24"/>
        </w:rPr>
        <w:t>JOURNAL ARTICLES</w:t>
      </w:r>
      <w:bookmarkEnd w:id="60"/>
    </w:p>
    <w:p w14:paraId="34C46CE2" w14:textId="77777777" w:rsidR="007B3ADB" w:rsidRPr="008546A0" w:rsidRDefault="007B3ADB" w:rsidP="00CF3CC4">
      <w:pPr>
        <w:pStyle w:val="FootnoteText"/>
        <w:numPr>
          <w:ilvl w:val="0"/>
          <w:numId w:val="8"/>
        </w:numPr>
        <w:spacing w:line="360" w:lineRule="auto"/>
        <w:rPr>
          <w:rFonts w:cs="Times New Roman"/>
          <w:b w:val="0"/>
          <w:sz w:val="24"/>
          <w:szCs w:val="24"/>
        </w:rPr>
      </w:pPr>
      <w:r w:rsidRPr="008546A0">
        <w:rPr>
          <w:rFonts w:cs="Times New Roman"/>
          <w:b w:val="0"/>
          <w:sz w:val="24"/>
          <w:szCs w:val="24"/>
        </w:rPr>
        <w:t xml:space="preserve">Alfonso G. Santos J and </w:t>
      </w:r>
      <w:proofErr w:type="spellStart"/>
      <w:r w:rsidRPr="008546A0">
        <w:rPr>
          <w:rFonts w:cs="Times New Roman"/>
          <w:b w:val="0"/>
          <w:sz w:val="24"/>
          <w:szCs w:val="24"/>
        </w:rPr>
        <w:t>Traina</w:t>
      </w:r>
      <w:proofErr w:type="spellEnd"/>
      <w:r w:rsidRPr="008546A0">
        <w:rPr>
          <w:rFonts w:cs="Times New Roman"/>
          <w:b w:val="0"/>
          <w:sz w:val="24"/>
          <w:szCs w:val="24"/>
        </w:rPr>
        <w:t xml:space="preserve"> J, ‘Do ‘Too-Big-To-Fail’ Banks Take on more risk’ </w:t>
      </w:r>
      <w:r w:rsidRPr="008546A0">
        <w:rPr>
          <w:rFonts w:cs="Times New Roman"/>
          <w:b w:val="0"/>
          <w:i/>
          <w:sz w:val="24"/>
          <w:szCs w:val="24"/>
        </w:rPr>
        <w:t xml:space="preserve">Economic Policy Review, </w:t>
      </w:r>
      <w:r w:rsidRPr="008546A0">
        <w:rPr>
          <w:rFonts w:cs="Times New Roman"/>
          <w:b w:val="0"/>
          <w:sz w:val="24"/>
          <w:szCs w:val="24"/>
        </w:rPr>
        <w:t>2014.</w:t>
      </w:r>
    </w:p>
    <w:p w14:paraId="6E91EACC" w14:textId="77777777" w:rsidR="007B3ADB" w:rsidRPr="008546A0" w:rsidRDefault="007B3ADB" w:rsidP="00CF3CC4">
      <w:pPr>
        <w:pStyle w:val="ListParagraph"/>
        <w:numPr>
          <w:ilvl w:val="0"/>
          <w:numId w:val="8"/>
        </w:numPr>
        <w:spacing w:line="360" w:lineRule="auto"/>
        <w:rPr>
          <w:rFonts w:cs="Times New Roman"/>
          <w:szCs w:val="24"/>
        </w:rPr>
      </w:pPr>
      <w:proofErr w:type="spellStart"/>
      <w:r w:rsidRPr="008546A0">
        <w:rPr>
          <w:rFonts w:cs="Times New Roman"/>
          <w:szCs w:val="24"/>
        </w:rPr>
        <w:t>Arestis</w:t>
      </w:r>
      <w:proofErr w:type="spellEnd"/>
      <w:r w:rsidRPr="008546A0">
        <w:rPr>
          <w:rFonts w:cs="Times New Roman"/>
          <w:szCs w:val="24"/>
        </w:rPr>
        <w:t xml:space="preserve"> P, </w:t>
      </w:r>
      <w:proofErr w:type="spellStart"/>
      <w:r w:rsidRPr="008546A0">
        <w:rPr>
          <w:rFonts w:cs="Times New Roman"/>
          <w:szCs w:val="24"/>
        </w:rPr>
        <w:t>Chotareas</w:t>
      </w:r>
      <w:proofErr w:type="spellEnd"/>
      <w:r w:rsidRPr="008546A0">
        <w:rPr>
          <w:rFonts w:cs="Times New Roman"/>
          <w:szCs w:val="24"/>
        </w:rPr>
        <w:t xml:space="preserve"> E and </w:t>
      </w:r>
      <w:proofErr w:type="spellStart"/>
      <w:r w:rsidRPr="008546A0">
        <w:rPr>
          <w:rFonts w:cs="Times New Roman"/>
          <w:szCs w:val="24"/>
        </w:rPr>
        <w:t>Pelagidis</w:t>
      </w:r>
      <w:proofErr w:type="spellEnd"/>
      <w:r w:rsidRPr="008546A0">
        <w:rPr>
          <w:rFonts w:cs="Times New Roman"/>
          <w:szCs w:val="24"/>
        </w:rPr>
        <w:t xml:space="preserve"> T ‘Trade flows revisited: further evidence on globalization’ 36(2) </w:t>
      </w:r>
      <w:r w:rsidRPr="008546A0">
        <w:rPr>
          <w:rFonts w:cs="Times New Roman"/>
          <w:i/>
          <w:szCs w:val="24"/>
        </w:rPr>
        <w:t>Cambridge Journal of Economics</w:t>
      </w:r>
      <w:r w:rsidRPr="008546A0">
        <w:rPr>
          <w:rFonts w:cs="Times New Roman"/>
          <w:szCs w:val="24"/>
        </w:rPr>
        <w:t>, 2012.</w:t>
      </w:r>
    </w:p>
    <w:p w14:paraId="6EE985FF" w14:textId="77777777" w:rsidR="007B3ADB" w:rsidRPr="008546A0" w:rsidRDefault="007B3ADB" w:rsidP="00CF3CC4">
      <w:pPr>
        <w:pStyle w:val="FootnoteText"/>
        <w:numPr>
          <w:ilvl w:val="0"/>
          <w:numId w:val="8"/>
        </w:numPr>
        <w:spacing w:line="360" w:lineRule="auto"/>
        <w:rPr>
          <w:rFonts w:cs="Times New Roman"/>
          <w:b w:val="0"/>
          <w:i/>
          <w:sz w:val="24"/>
          <w:szCs w:val="24"/>
        </w:rPr>
      </w:pPr>
      <w:r w:rsidRPr="008546A0">
        <w:rPr>
          <w:rFonts w:cs="Times New Roman"/>
          <w:b w:val="0"/>
          <w:sz w:val="24"/>
          <w:szCs w:val="24"/>
        </w:rPr>
        <w:t>Arthur E, ’Turning a blind eye:</w:t>
      </w:r>
      <w:r w:rsidRPr="008546A0">
        <w:rPr>
          <w:rFonts w:cs="Times New Roman"/>
          <w:b w:val="0"/>
          <w:i/>
          <w:sz w:val="24"/>
          <w:szCs w:val="24"/>
        </w:rPr>
        <w:t xml:space="preserve"> </w:t>
      </w:r>
      <w:r w:rsidRPr="008546A0">
        <w:rPr>
          <w:rFonts w:cs="Times New Roman"/>
          <w:b w:val="0"/>
          <w:sz w:val="24"/>
          <w:szCs w:val="24"/>
        </w:rPr>
        <w:t>Why Washington keeps giving into Wall street</w:t>
      </w:r>
      <w:r w:rsidRPr="008546A0">
        <w:rPr>
          <w:rFonts w:cs="Times New Roman"/>
          <w:b w:val="0"/>
          <w:i/>
          <w:sz w:val="24"/>
          <w:szCs w:val="24"/>
        </w:rPr>
        <w:t xml:space="preserve">,’ </w:t>
      </w:r>
      <w:r w:rsidRPr="008546A0">
        <w:rPr>
          <w:rFonts w:cs="Times New Roman"/>
          <w:b w:val="0"/>
          <w:sz w:val="24"/>
          <w:szCs w:val="24"/>
        </w:rPr>
        <w:t>81(4)</w:t>
      </w:r>
      <w:r w:rsidRPr="008546A0">
        <w:rPr>
          <w:rFonts w:cs="Times New Roman"/>
          <w:b w:val="0"/>
          <w:i/>
          <w:sz w:val="24"/>
          <w:szCs w:val="24"/>
        </w:rPr>
        <w:t xml:space="preserve"> University of Cincinnati Law Review</w:t>
      </w:r>
      <w:r w:rsidRPr="008546A0">
        <w:rPr>
          <w:rFonts w:cs="Times New Roman"/>
          <w:b w:val="0"/>
          <w:sz w:val="24"/>
          <w:szCs w:val="24"/>
        </w:rPr>
        <w:t>, 2013.</w:t>
      </w:r>
    </w:p>
    <w:p w14:paraId="0FC68B70"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Barako</w:t>
      </w:r>
      <w:proofErr w:type="spellEnd"/>
      <w:r w:rsidRPr="00CF3CC4">
        <w:rPr>
          <w:rFonts w:cs="Times New Roman"/>
          <w:szCs w:val="24"/>
        </w:rPr>
        <w:t xml:space="preserve"> D and Tower G, ‘Corporate Governance and bank performance: Does ownership matter? Evidence from the Kenyan banking sector’ 4(2) </w:t>
      </w:r>
      <w:proofErr w:type="spellStart"/>
      <w:r w:rsidRPr="00CF3CC4">
        <w:rPr>
          <w:rFonts w:cs="Times New Roman"/>
          <w:i/>
          <w:szCs w:val="24"/>
        </w:rPr>
        <w:t>Virtus</w:t>
      </w:r>
      <w:proofErr w:type="spellEnd"/>
      <w:r w:rsidRPr="00CF3CC4">
        <w:rPr>
          <w:rFonts w:cs="Times New Roman"/>
          <w:i/>
          <w:szCs w:val="24"/>
        </w:rPr>
        <w:t xml:space="preserve"> </w:t>
      </w:r>
      <w:proofErr w:type="spellStart"/>
      <w:r w:rsidRPr="00CF3CC4">
        <w:rPr>
          <w:rFonts w:cs="Times New Roman"/>
          <w:i/>
          <w:szCs w:val="24"/>
        </w:rPr>
        <w:t>Interpres</w:t>
      </w:r>
      <w:r w:rsidRPr="00CF3CC4">
        <w:rPr>
          <w:rFonts w:cs="Times New Roman"/>
          <w:b/>
          <w:i/>
          <w:szCs w:val="24"/>
        </w:rPr>
        <w:t>s</w:t>
      </w:r>
      <w:proofErr w:type="spellEnd"/>
      <w:r w:rsidRPr="00CF3CC4">
        <w:rPr>
          <w:rFonts w:cs="Times New Roman"/>
          <w:szCs w:val="24"/>
        </w:rPr>
        <w:t>, 2007.</w:t>
      </w:r>
    </w:p>
    <w:p w14:paraId="4EE00EA5" w14:textId="77777777" w:rsidR="007B3ADB" w:rsidRPr="00CF3CC4" w:rsidRDefault="007B3ADB" w:rsidP="00CF3CC4">
      <w:pPr>
        <w:pStyle w:val="ListParagraph"/>
        <w:numPr>
          <w:ilvl w:val="0"/>
          <w:numId w:val="8"/>
        </w:numPr>
        <w:spacing w:line="360" w:lineRule="auto"/>
        <w:rPr>
          <w:rFonts w:cs="Times New Roman"/>
          <w:szCs w:val="24"/>
        </w:rPr>
      </w:pPr>
      <w:r w:rsidRPr="00CF3CC4">
        <w:rPr>
          <w:rFonts w:cs="Times New Roman"/>
          <w:szCs w:val="24"/>
        </w:rPr>
        <w:t xml:space="preserve">Barth A and Schnabel I ‘Why banks are not too big to fail – evidence from the CDS market’ 28 (4) </w:t>
      </w:r>
      <w:r w:rsidRPr="00CF3CC4">
        <w:rPr>
          <w:rFonts w:cs="Times New Roman"/>
          <w:i/>
          <w:szCs w:val="24"/>
        </w:rPr>
        <w:t xml:space="preserve">Oxford University Press, </w:t>
      </w:r>
      <w:r w:rsidRPr="00CF3CC4">
        <w:rPr>
          <w:rFonts w:cs="Times New Roman"/>
          <w:szCs w:val="24"/>
        </w:rPr>
        <w:t>2013</w:t>
      </w:r>
      <w:r>
        <w:rPr>
          <w:rFonts w:cs="Times New Roman"/>
          <w:szCs w:val="24"/>
        </w:rPr>
        <w:t>.</w:t>
      </w:r>
    </w:p>
    <w:p w14:paraId="049EAA4F" w14:textId="77777777" w:rsidR="007B3ADB" w:rsidRPr="008546A0" w:rsidRDefault="007B3ADB" w:rsidP="00CF3CC4">
      <w:pPr>
        <w:pStyle w:val="ListParagraph"/>
        <w:numPr>
          <w:ilvl w:val="0"/>
          <w:numId w:val="8"/>
        </w:numPr>
        <w:spacing w:line="360" w:lineRule="auto"/>
        <w:rPr>
          <w:rFonts w:cs="Times New Roman"/>
          <w:szCs w:val="24"/>
        </w:rPr>
      </w:pPr>
      <w:r w:rsidRPr="008546A0">
        <w:rPr>
          <w:rFonts w:cs="Times New Roman"/>
          <w:szCs w:val="24"/>
        </w:rPr>
        <w:t>Barth J and Wihlborg C, ‘Too big to fail and too big to save:</w:t>
      </w:r>
      <w:r w:rsidRPr="008546A0">
        <w:rPr>
          <w:rFonts w:cs="Times New Roman"/>
          <w:i/>
          <w:szCs w:val="24"/>
        </w:rPr>
        <w:t xml:space="preserve"> </w:t>
      </w:r>
      <w:r w:rsidRPr="008546A0">
        <w:rPr>
          <w:rFonts w:cs="Times New Roman"/>
          <w:szCs w:val="24"/>
        </w:rPr>
        <w:t xml:space="preserve">Dilemmas for banking reform’ </w:t>
      </w:r>
      <w:r w:rsidRPr="008546A0">
        <w:rPr>
          <w:rFonts w:cs="Times New Roman"/>
          <w:i/>
          <w:szCs w:val="24"/>
        </w:rPr>
        <w:t>National Institute of economic review</w:t>
      </w:r>
      <w:r w:rsidRPr="008546A0">
        <w:rPr>
          <w:rFonts w:cs="Times New Roman"/>
          <w:szCs w:val="24"/>
        </w:rPr>
        <w:t>, 2016.</w:t>
      </w:r>
    </w:p>
    <w:p w14:paraId="55F84E6C" w14:textId="77777777" w:rsidR="007B3ADB" w:rsidRPr="008546A0" w:rsidRDefault="007B3ADB" w:rsidP="00CF3CC4">
      <w:pPr>
        <w:pStyle w:val="ListParagraph"/>
        <w:numPr>
          <w:ilvl w:val="0"/>
          <w:numId w:val="8"/>
        </w:numPr>
        <w:spacing w:line="360" w:lineRule="auto"/>
        <w:rPr>
          <w:rFonts w:cs="Times New Roman"/>
          <w:szCs w:val="24"/>
        </w:rPr>
      </w:pPr>
      <w:r w:rsidRPr="008546A0">
        <w:rPr>
          <w:rFonts w:cs="Times New Roman"/>
          <w:szCs w:val="24"/>
        </w:rPr>
        <w:t xml:space="preserve">Beck T, </w:t>
      </w:r>
      <w:proofErr w:type="spellStart"/>
      <w:r w:rsidRPr="008546A0">
        <w:rPr>
          <w:rFonts w:cs="Times New Roman"/>
          <w:szCs w:val="24"/>
        </w:rPr>
        <w:t>Demirgüç-Kunt</w:t>
      </w:r>
      <w:proofErr w:type="spellEnd"/>
      <w:r w:rsidRPr="008546A0">
        <w:rPr>
          <w:rFonts w:cs="Times New Roman"/>
          <w:szCs w:val="24"/>
        </w:rPr>
        <w:t xml:space="preserve"> and Levine R, ‘Legal Theories of Financial Development’ 17(4) Oxford Review of Economic Policy, 2001.</w:t>
      </w:r>
    </w:p>
    <w:p w14:paraId="31E56824" w14:textId="77777777" w:rsidR="007B3ADB" w:rsidRPr="00CF3CC4" w:rsidRDefault="007B3ADB" w:rsidP="00CF3CC4">
      <w:pPr>
        <w:pStyle w:val="ListParagraph"/>
        <w:numPr>
          <w:ilvl w:val="0"/>
          <w:numId w:val="8"/>
        </w:numPr>
        <w:spacing w:line="360" w:lineRule="auto"/>
        <w:rPr>
          <w:rFonts w:cs="Times New Roman"/>
          <w:i/>
          <w:szCs w:val="24"/>
        </w:rPr>
      </w:pPr>
      <w:r w:rsidRPr="00CF3CC4">
        <w:rPr>
          <w:rFonts w:cs="Times New Roman"/>
          <w:szCs w:val="24"/>
        </w:rPr>
        <w:t xml:space="preserve">Benston G, ‘Economies of Scale of Financial Institutions’ 4(2) </w:t>
      </w:r>
      <w:r w:rsidRPr="00CF3CC4">
        <w:rPr>
          <w:rFonts w:cs="Times New Roman"/>
          <w:i/>
          <w:szCs w:val="24"/>
        </w:rPr>
        <w:t xml:space="preserve">Journal of Money, credit and Banking, </w:t>
      </w:r>
      <w:r w:rsidRPr="00CF3CC4">
        <w:rPr>
          <w:rFonts w:cs="Times New Roman"/>
          <w:szCs w:val="24"/>
        </w:rPr>
        <w:t>1972.</w:t>
      </w:r>
    </w:p>
    <w:p w14:paraId="48D8FDED"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Bishnoi</w:t>
      </w:r>
      <w:proofErr w:type="spellEnd"/>
      <w:r w:rsidRPr="00CF3CC4">
        <w:rPr>
          <w:rFonts w:cs="Times New Roman"/>
          <w:szCs w:val="24"/>
        </w:rPr>
        <w:t xml:space="preserve"> T and Devi S, ‘Mergers and Acquisitions of Banks in Post-Reform India’ 50 (37) </w:t>
      </w:r>
      <w:r w:rsidRPr="00CF3CC4">
        <w:rPr>
          <w:rFonts w:cs="Times New Roman"/>
          <w:i/>
          <w:szCs w:val="24"/>
        </w:rPr>
        <w:t xml:space="preserve">Economic and Political Weekly, </w:t>
      </w:r>
      <w:r w:rsidRPr="00CF3CC4">
        <w:rPr>
          <w:rFonts w:cs="Times New Roman"/>
          <w:szCs w:val="24"/>
        </w:rPr>
        <w:t>2015.</w:t>
      </w:r>
    </w:p>
    <w:p w14:paraId="47924690"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Boley</w:t>
      </w:r>
      <w:proofErr w:type="spellEnd"/>
      <w:r w:rsidRPr="00CF3CC4">
        <w:rPr>
          <w:rFonts w:cs="Times New Roman"/>
          <w:szCs w:val="24"/>
        </w:rPr>
        <w:t xml:space="preserve"> B and </w:t>
      </w:r>
      <w:proofErr w:type="spellStart"/>
      <w:r w:rsidRPr="00CF3CC4">
        <w:rPr>
          <w:rFonts w:cs="Times New Roman"/>
          <w:szCs w:val="24"/>
        </w:rPr>
        <w:t>Uysal</w:t>
      </w:r>
      <w:proofErr w:type="spellEnd"/>
      <w:r w:rsidRPr="00CF3CC4">
        <w:rPr>
          <w:rFonts w:cs="Times New Roman"/>
          <w:szCs w:val="24"/>
        </w:rPr>
        <w:t xml:space="preserve"> M, ‘Competitive synergy through practicing triples bottom line sustainability: Evidence from various case study’ 13(4) </w:t>
      </w:r>
      <w:r w:rsidRPr="00CF3CC4">
        <w:rPr>
          <w:rFonts w:cs="Times New Roman"/>
          <w:i/>
          <w:szCs w:val="24"/>
        </w:rPr>
        <w:t xml:space="preserve">Tourism and Hospitality Research, </w:t>
      </w:r>
      <w:r w:rsidRPr="00CF3CC4">
        <w:rPr>
          <w:rFonts w:cs="Times New Roman"/>
          <w:szCs w:val="24"/>
        </w:rPr>
        <w:t>2013</w:t>
      </w:r>
      <w:r>
        <w:rPr>
          <w:rFonts w:cs="Times New Roman"/>
          <w:szCs w:val="24"/>
        </w:rPr>
        <w:t>.</w:t>
      </w:r>
    </w:p>
    <w:p w14:paraId="51A9D781"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Chepngenoh</w:t>
      </w:r>
      <w:proofErr w:type="spellEnd"/>
      <w:r w:rsidRPr="00CF3CC4">
        <w:rPr>
          <w:rFonts w:cs="Times New Roman"/>
          <w:szCs w:val="24"/>
        </w:rPr>
        <w:t xml:space="preserve"> F and </w:t>
      </w:r>
      <w:proofErr w:type="spellStart"/>
      <w:r w:rsidRPr="00CF3CC4">
        <w:rPr>
          <w:rFonts w:cs="Times New Roman"/>
          <w:szCs w:val="24"/>
        </w:rPr>
        <w:t>Muriu</w:t>
      </w:r>
      <w:proofErr w:type="spellEnd"/>
      <w:r w:rsidRPr="00CF3CC4">
        <w:rPr>
          <w:rFonts w:cs="Times New Roman"/>
          <w:szCs w:val="24"/>
        </w:rPr>
        <w:t xml:space="preserve"> P ‘Does Risk-Taking Behavior Matter for Bank Efficiency’ 3(4) </w:t>
      </w:r>
      <w:r w:rsidRPr="00CF3CC4">
        <w:rPr>
          <w:rFonts w:cs="Times New Roman"/>
          <w:i/>
          <w:szCs w:val="24"/>
        </w:rPr>
        <w:t>Journal of Economics and Business</w:t>
      </w:r>
      <w:r w:rsidRPr="00CF3CC4">
        <w:rPr>
          <w:rFonts w:cs="Times New Roman"/>
          <w:szCs w:val="24"/>
        </w:rPr>
        <w:t>, 2020.</w:t>
      </w:r>
    </w:p>
    <w:p w14:paraId="7BBD5DDB" w14:textId="77777777" w:rsidR="007B3ADB" w:rsidRPr="008546A0" w:rsidRDefault="007B3ADB" w:rsidP="00CF3CC4">
      <w:pPr>
        <w:pStyle w:val="FootnoteText"/>
        <w:numPr>
          <w:ilvl w:val="0"/>
          <w:numId w:val="8"/>
        </w:numPr>
        <w:spacing w:line="360" w:lineRule="auto"/>
        <w:rPr>
          <w:rFonts w:cs="Times New Roman"/>
          <w:b w:val="0"/>
          <w:i/>
          <w:sz w:val="24"/>
          <w:szCs w:val="24"/>
        </w:rPr>
      </w:pPr>
      <w:proofErr w:type="spellStart"/>
      <w:r w:rsidRPr="008546A0">
        <w:rPr>
          <w:rFonts w:cs="Times New Roman"/>
          <w:b w:val="0"/>
          <w:sz w:val="24"/>
          <w:szCs w:val="24"/>
        </w:rPr>
        <w:t>Corton</w:t>
      </w:r>
      <w:proofErr w:type="spellEnd"/>
      <w:r w:rsidRPr="008546A0">
        <w:rPr>
          <w:rFonts w:cs="Times New Roman"/>
          <w:b w:val="0"/>
          <w:sz w:val="24"/>
          <w:szCs w:val="24"/>
        </w:rPr>
        <w:t xml:space="preserve"> G, and </w:t>
      </w:r>
      <w:proofErr w:type="spellStart"/>
      <w:r w:rsidRPr="008546A0">
        <w:rPr>
          <w:rFonts w:cs="Times New Roman"/>
          <w:b w:val="0"/>
          <w:sz w:val="24"/>
          <w:szCs w:val="24"/>
        </w:rPr>
        <w:t>Santommero</w:t>
      </w:r>
      <w:proofErr w:type="spellEnd"/>
      <w:r w:rsidRPr="008546A0">
        <w:rPr>
          <w:rFonts w:cs="Times New Roman"/>
          <w:b w:val="0"/>
          <w:sz w:val="24"/>
          <w:szCs w:val="24"/>
        </w:rPr>
        <w:t xml:space="preserve"> A, ‘Market discipline and bank subordinated debt.’ 22(1) </w:t>
      </w:r>
      <w:r w:rsidRPr="008546A0">
        <w:rPr>
          <w:rFonts w:cs="Times New Roman"/>
          <w:b w:val="0"/>
          <w:i/>
          <w:sz w:val="24"/>
          <w:szCs w:val="24"/>
        </w:rPr>
        <w:t>Journal of money, credit and banking</w:t>
      </w:r>
      <w:r w:rsidRPr="008546A0">
        <w:rPr>
          <w:rFonts w:cs="Times New Roman"/>
          <w:b w:val="0"/>
          <w:sz w:val="24"/>
          <w:szCs w:val="24"/>
        </w:rPr>
        <w:t>, 2013.</w:t>
      </w:r>
    </w:p>
    <w:p w14:paraId="2AC68D47" w14:textId="77777777" w:rsidR="007B3ADB" w:rsidRDefault="007B3ADB" w:rsidP="007202E1">
      <w:pPr>
        <w:pStyle w:val="FootnoteText"/>
        <w:numPr>
          <w:ilvl w:val="0"/>
          <w:numId w:val="8"/>
        </w:numPr>
        <w:spacing w:line="360" w:lineRule="auto"/>
        <w:rPr>
          <w:rFonts w:cs="Times New Roman"/>
          <w:b w:val="0"/>
          <w:sz w:val="24"/>
          <w:szCs w:val="24"/>
        </w:rPr>
      </w:pPr>
      <w:proofErr w:type="spellStart"/>
      <w:r w:rsidRPr="008546A0">
        <w:rPr>
          <w:rFonts w:cs="Times New Roman"/>
          <w:b w:val="0"/>
          <w:sz w:val="24"/>
          <w:szCs w:val="24"/>
        </w:rPr>
        <w:lastRenderedPageBreak/>
        <w:t>Freixas</w:t>
      </w:r>
      <w:proofErr w:type="spellEnd"/>
      <w:r w:rsidRPr="008546A0">
        <w:rPr>
          <w:rFonts w:cs="Times New Roman"/>
          <w:b w:val="0"/>
          <w:sz w:val="24"/>
          <w:szCs w:val="24"/>
        </w:rPr>
        <w:t xml:space="preserve"> X and Rochet, ‘Taming Systemically Important Financial Institutions’ 45 (1) Journal of </w:t>
      </w:r>
      <w:r>
        <w:rPr>
          <w:rFonts w:cs="Times New Roman"/>
          <w:b w:val="0"/>
          <w:sz w:val="24"/>
          <w:szCs w:val="24"/>
        </w:rPr>
        <w:t>Money, Credit and Banking, 2011.</w:t>
      </w:r>
    </w:p>
    <w:p w14:paraId="1E2693DE"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Gathaiya</w:t>
      </w:r>
      <w:proofErr w:type="spellEnd"/>
      <w:r w:rsidRPr="00CF3CC4">
        <w:rPr>
          <w:rFonts w:cs="Times New Roman"/>
          <w:szCs w:val="24"/>
        </w:rPr>
        <w:t xml:space="preserve"> R, ‘</w:t>
      </w:r>
      <w:proofErr w:type="spellStart"/>
      <w:r w:rsidRPr="00CF3CC4">
        <w:rPr>
          <w:rFonts w:cs="Times New Roman"/>
          <w:szCs w:val="24"/>
        </w:rPr>
        <w:t>Analyisis</w:t>
      </w:r>
      <w:proofErr w:type="spellEnd"/>
      <w:r w:rsidRPr="00CF3CC4">
        <w:rPr>
          <w:rFonts w:cs="Times New Roman"/>
          <w:szCs w:val="24"/>
        </w:rPr>
        <w:t xml:space="preserve"> of </w:t>
      </w:r>
      <w:proofErr w:type="spellStart"/>
      <w:r w:rsidRPr="00CF3CC4">
        <w:rPr>
          <w:rFonts w:cs="Times New Roman"/>
          <w:szCs w:val="24"/>
        </w:rPr>
        <w:t>isses</w:t>
      </w:r>
      <w:proofErr w:type="spellEnd"/>
      <w:r w:rsidRPr="00CF3CC4">
        <w:rPr>
          <w:rFonts w:cs="Times New Roman"/>
          <w:szCs w:val="24"/>
        </w:rPr>
        <w:t xml:space="preserve"> affecting collapsed banks in Kenya from year 2015 to 2016’ 7(3) </w:t>
      </w:r>
      <w:r w:rsidRPr="00CF3CC4">
        <w:rPr>
          <w:rFonts w:cs="Times New Roman"/>
          <w:i/>
          <w:szCs w:val="24"/>
        </w:rPr>
        <w:t>International Journal of Management and Business Studies</w:t>
      </w:r>
      <w:r w:rsidRPr="00CF3CC4">
        <w:rPr>
          <w:rFonts w:cs="Times New Roman"/>
          <w:szCs w:val="24"/>
        </w:rPr>
        <w:t>, 2017.</w:t>
      </w:r>
    </w:p>
    <w:p w14:paraId="49037288"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Gichuki</w:t>
      </w:r>
      <w:proofErr w:type="spellEnd"/>
      <w:r w:rsidRPr="00CF3CC4">
        <w:rPr>
          <w:rFonts w:cs="Times New Roman"/>
          <w:szCs w:val="24"/>
        </w:rPr>
        <w:t xml:space="preserve"> J, </w:t>
      </w:r>
      <w:proofErr w:type="spellStart"/>
      <w:r w:rsidRPr="00CF3CC4">
        <w:rPr>
          <w:rFonts w:cs="Times New Roman"/>
          <w:szCs w:val="24"/>
        </w:rPr>
        <w:t>Oduor</w:t>
      </w:r>
      <w:proofErr w:type="spellEnd"/>
      <w:r w:rsidRPr="00CF3CC4">
        <w:rPr>
          <w:rFonts w:cs="Times New Roman"/>
          <w:szCs w:val="24"/>
        </w:rPr>
        <w:t xml:space="preserve"> J and </w:t>
      </w:r>
      <w:proofErr w:type="spellStart"/>
      <w:r w:rsidRPr="00CF3CC4">
        <w:rPr>
          <w:rFonts w:cs="Times New Roman"/>
          <w:szCs w:val="24"/>
        </w:rPr>
        <w:t>Kosimbei</w:t>
      </w:r>
      <w:proofErr w:type="spellEnd"/>
      <w:r w:rsidRPr="00CF3CC4">
        <w:rPr>
          <w:rFonts w:cs="Times New Roman"/>
          <w:szCs w:val="24"/>
        </w:rPr>
        <w:t xml:space="preserve"> G, ‘The choice of optimal monetary policy instrument for Kenya’ 1(9) </w:t>
      </w:r>
      <w:r w:rsidRPr="00CF3CC4">
        <w:rPr>
          <w:rFonts w:cs="Times New Roman"/>
          <w:i/>
          <w:szCs w:val="24"/>
        </w:rPr>
        <w:t xml:space="preserve">International Journal of Economics and Management Science, </w:t>
      </w:r>
      <w:r w:rsidRPr="00CF3CC4">
        <w:rPr>
          <w:rFonts w:cs="Times New Roman"/>
          <w:szCs w:val="24"/>
        </w:rPr>
        <w:t>2012.</w:t>
      </w:r>
    </w:p>
    <w:p w14:paraId="244D9ECE" w14:textId="77777777" w:rsidR="007B3ADB" w:rsidRPr="002F5637" w:rsidRDefault="007B3ADB" w:rsidP="001D0EBB">
      <w:pPr>
        <w:pStyle w:val="FootnoteText"/>
        <w:numPr>
          <w:ilvl w:val="0"/>
          <w:numId w:val="8"/>
        </w:numPr>
        <w:spacing w:line="360" w:lineRule="auto"/>
        <w:rPr>
          <w:rFonts w:cs="Times New Roman"/>
          <w:b w:val="0"/>
          <w:sz w:val="24"/>
          <w:szCs w:val="24"/>
        </w:rPr>
      </w:pPr>
      <w:proofErr w:type="spellStart"/>
      <w:r w:rsidRPr="002F5637">
        <w:rPr>
          <w:b w:val="0"/>
          <w:sz w:val="24"/>
          <w:szCs w:val="24"/>
        </w:rPr>
        <w:t>Goodlet</w:t>
      </w:r>
      <w:proofErr w:type="spellEnd"/>
      <w:r w:rsidRPr="002F5637">
        <w:rPr>
          <w:b w:val="0"/>
          <w:sz w:val="24"/>
          <w:szCs w:val="24"/>
        </w:rPr>
        <w:t xml:space="preserve"> C, ‘Too Big to Fail: A Misguided Policy in Times of Financial Turmoil’ 1(311), </w:t>
      </w:r>
      <w:r w:rsidRPr="002F5637">
        <w:rPr>
          <w:b w:val="0"/>
          <w:i/>
          <w:sz w:val="24"/>
          <w:szCs w:val="24"/>
        </w:rPr>
        <w:t xml:space="preserve">C.D Howe Institute, </w:t>
      </w:r>
      <w:r w:rsidRPr="002F5637">
        <w:rPr>
          <w:b w:val="0"/>
          <w:sz w:val="24"/>
          <w:szCs w:val="24"/>
        </w:rPr>
        <w:t>2010.</w:t>
      </w:r>
    </w:p>
    <w:p w14:paraId="50D1FEAE" w14:textId="77777777" w:rsidR="007B3ADB" w:rsidRPr="008546A0" w:rsidRDefault="007B3ADB" w:rsidP="00CF3CC4">
      <w:pPr>
        <w:pStyle w:val="ListParagraph"/>
        <w:numPr>
          <w:ilvl w:val="0"/>
          <w:numId w:val="8"/>
        </w:numPr>
        <w:spacing w:line="360" w:lineRule="auto"/>
        <w:rPr>
          <w:rFonts w:cs="Times New Roman"/>
          <w:color w:val="000000"/>
          <w:szCs w:val="24"/>
        </w:rPr>
      </w:pPr>
      <w:r w:rsidRPr="00CF3CC4">
        <w:rPr>
          <w:rFonts w:cs="Times New Roman"/>
          <w:color w:val="000000"/>
          <w:szCs w:val="24"/>
        </w:rPr>
        <w:t xml:space="preserve">Halima R and </w:t>
      </w:r>
      <w:proofErr w:type="spellStart"/>
      <w:r w:rsidRPr="00CF3CC4">
        <w:rPr>
          <w:rFonts w:cs="Times New Roman"/>
          <w:color w:val="000000"/>
          <w:szCs w:val="24"/>
        </w:rPr>
        <w:t>Wepukhulu</w:t>
      </w:r>
      <w:proofErr w:type="spellEnd"/>
      <w:r w:rsidRPr="00CF3CC4">
        <w:rPr>
          <w:rFonts w:cs="Times New Roman"/>
          <w:color w:val="000000"/>
          <w:szCs w:val="24"/>
        </w:rPr>
        <w:t xml:space="preserve"> J ‘Effect of Financial Innovation on Financial </w:t>
      </w:r>
      <w:proofErr w:type="spellStart"/>
      <w:r w:rsidRPr="00CF3CC4">
        <w:rPr>
          <w:rFonts w:cs="Times New Roman"/>
          <w:color w:val="000000"/>
          <w:szCs w:val="24"/>
        </w:rPr>
        <w:t>Perfomanece</w:t>
      </w:r>
      <w:proofErr w:type="spellEnd"/>
      <w:r w:rsidRPr="00CF3CC4">
        <w:rPr>
          <w:rFonts w:cs="Times New Roman"/>
          <w:color w:val="000000"/>
          <w:szCs w:val="24"/>
        </w:rPr>
        <w:t xml:space="preserve"> of </w:t>
      </w:r>
      <w:r w:rsidRPr="008546A0">
        <w:rPr>
          <w:rFonts w:cs="Times New Roman"/>
          <w:color w:val="000000"/>
          <w:szCs w:val="24"/>
        </w:rPr>
        <w:t xml:space="preserve">Tier One Commercial Banks in Kenya’ 3(6) </w:t>
      </w:r>
      <w:r w:rsidRPr="008546A0">
        <w:rPr>
          <w:rFonts w:cs="Times New Roman"/>
          <w:i/>
          <w:color w:val="000000"/>
          <w:szCs w:val="24"/>
        </w:rPr>
        <w:t>International Academic Journal of Economics and Finance</w:t>
      </w:r>
      <w:r w:rsidRPr="008546A0">
        <w:rPr>
          <w:rFonts w:cs="Times New Roman"/>
          <w:color w:val="000000"/>
          <w:szCs w:val="24"/>
        </w:rPr>
        <w:t>, 2020.</w:t>
      </w:r>
    </w:p>
    <w:p w14:paraId="23243BBE" w14:textId="77777777" w:rsidR="007B3ADB" w:rsidRPr="008546A0" w:rsidRDefault="007B3ADB" w:rsidP="00CF3CC4">
      <w:pPr>
        <w:pStyle w:val="ListParagraph"/>
        <w:numPr>
          <w:ilvl w:val="0"/>
          <w:numId w:val="8"/>
        </w:numPr>
        <w:spacing w:line="360" w:lineRule="auto"/>
        <w:rPr>
          <w:rFonts w:cs="Times New Roman"/>
          <w:szCs w:val="24"/>
        </w:rPr>
      </w:pPr>
      <w:proofErr w:type="spellStart"/>
      <w:r w:rsidRPr="008546A0">
        <w:rPr>
          <w:rFonts w:cs="Times New Roman"/>
          <w:szCs w:val="24"/>
        </w:rPr>
        <w:t>Halme</w:t>
      </w:r>
      <w:proofErr w:type="spellEnd"/>
      <w:r w:rsidRPr="008546A0">
        <w:rPr>
          <w:rFonts w:cs="Times New Roman"/>
          <w:szCs w:val="24"/>
        </w:rPr>
        <w:t xml:space="preserve"> L, </w:t>
      </w:r>
      <w:proofErr w:type="spellStart"/>
      <w:r w:rsidRPr="008546A0">
        <w:rPr>
          <w:rFonts w:cs="Times New Roman"/>
          <w:szCs w:val="24"/>
        </w:rPr>
        <w:t>Hawkesby</w:t>
      </w:r>
      <w:proofErr w:type="spellEnd"/>
      <w:r w:rsidRPr="008546A0">
        <w:rPr>
          <w:rFonts w:cs="Times New Roman"/>
          <w:szCs w:val="24"/>
        </w:rPr>
        <w:t xml:space="preserve"> C, Healey J, </w:t>
      </w:r>
      <w:proofErr w:type="spellStart"/>
      <w:r w:rsidRPr="008546A0">
        <w:rPr>
          <w:rFonts w:cs="Times New Roman"/>
          <w:szCs w:val="24"/>
        </w:rPr>
        <w:t>Saapar</w:t>
      </w:r>
      <w:proofErr w:type="spellEnd"/>
      <w:r w:rsidRPr="008546A0">
        <w:rPr>
          <w:rFonts w:cs="Times New Roman"/>
          <w:szCs w:val="24"/>
        </w:rPr>
        <w:t xml:space="preserve"> and </w:t>
      </w:r>
      <w:proofErr w:type="spellStart"/>
      <w:r w:rsidRPr="008546A0">
        <w:rPr>
          <w:rFonts w:cs="Times New Roman"/>
          <w:szCs w:val="24"/>
        </w:rPr>
        <w:t>Soussa</w:t>
      </w:r>
      <w:proofErr w:type="spellEnd"/>
      <w:r w:rsidRPr="008546A0">
        <w:rPr>
          <w:rFonts w:cs="Times New Roman"/>
          <w:szCs w:val="24"/>
        </w:rPr>
        <w:t xml:space="preserve"> F, </w:t>
      </w:r>
      <w:r w:rsidRPr="008546A0">
        <w:rPr>
          <w:rFonts w:cs="Times New Roman"/>
          <w:i/>
          <w:szCs w:val="24"/>
        </w:rPr>
        <w:t xml:space="preserve">Financial Stability and Central Banks: Selected Issues for Financial Safety Nets and Market Discipline, </w:t>
      </w:r>
      <w:r w:rsidRPr="008546A0">
        <w:rPr>
          <w:rFonts w:cs="Times New Roman"/>
          <w:szCs w:val="24"/>
        </w:rPr>
        <w:t>Center for Central Banking Studies, London 2000.</w:t>
      </w:r>
    </w:p>
    <w:p w14:paraId="4014BC65" w14:textId="77777777" w:rsidR="007B3ADB" w:rsidRPr="008546A0" w:rsidRDefault="007B3ADB" w:rsidP="00CF3CC4">
      <w:pPr>
        <w:pStyle w:val="ListParagraph"/>
        <w:numPr>
          <w:ilvl w:val="0"/>
          <w:numId w:val="8"/>
        </w:numPr>
        <w:spacing w:line="360" w:lineRule="auto"/>
        <w:rPr>
          <w:rFonts w:cs="Times New Roman"/>
          <w:szCs w:val="24"/>
        </w:rPr>
      </w:pPr>
      <w:proofErr w:type="spellStart"/>
      <w:r w:rsidRPr="008546A0">
        <w:rPr>
          <w:rFonts w:cs="Times New Roman"/>
          <w:szCs w:val="24"/>
        </w:rPr>
        <w:t>Krecke</w:t>
      </w:r>
      <w:proofErr w:type="spellEnd"/>
      <w:r w:rsidRPr="008546A0">
        <w:rPr>
          <w:rFonts w:cs="Times New Roman"/>
          <w:szCs w:val="24"/>
        </w:rPr>
        <w:t xml:space="preserve"> E, ‘</w:t>
      </w:r>
      <w:proofErr w:type="spellStart"/>
      <w:r w:rsidRPr="008546A0">
        <w:rPr>
          <w:rFonts w:cs="Times New Roman"/>
          <w:szCs w:val="24"/>
        </w:rPr>
        <w:t>Posnerian</w:t>
      </w:r>
      <w:proofErr w:type="spellEnd"/>
      <w:r w:rsidRPr="008546A0">
        <w:rPr>
          <w:rFonts w:cs="Times New Roman"/>
          <w:szCs w:val="24"/>
        </w:rPr>
        <w:t xml:space="preserve"> Economic Analysis of Law and </w:t>
      </w:r>
      <w:proofErr w:type="spellStart"/>
      <w:r w:rsidRPr="008546A0">
        <w:rPr>
          <w:rFonts w:cs="Times New Roman"/>
          <w:szCs w:val="24"/>
        </w:rPr>
        <w:t>Kelsenian</w:t>
      </w:r>
      <w:proofErr w:type="spellEnd"/>
      <w:r w:rsidRPr="008546A0">
        <w:rPr>
          <w:rFonts w:cs="Times New Roman"/>
          <w:szCs w:val="24"/>
        </w:rPr>
        <w:t xml:space="preserve"> legal positivism: How similar are they?’ 23(3) </w:t>
      </w:r>
      <w:r w:rsidRPr="008546A0">
        <w:rPr>
          <w:rFonts w:cs="Times New Roman"/>
          <w:i/>
          <w:szCs w:val="24"/>
        </w:rPr>
        <w:t>History of Economic Ideas</w:t>
      </w:r>
      <w:r w:rsidRPr="008546A0">
        <w:rPr>
          <w:rFonts w:cs="Times New Roman"/>
          <w:szCs w:val="24"/>
        </w:rPr>
        <w:t>, 2015.</w:t>
      </w:r>
    </w:p>
    <w:p w14:paraId="768C3665" w14:textId="77777777" w:rsidR="007B3ADB" w:rsidRPr="002F5637" w:rsidRDefault="007B3ADB" w:rsidP="001D0EBB">
      <w:pPr>
        <w:pStyle w:val="FootnoteText"/>
        <w:numPr>
          <w:ilvl w:val="0"/>
          <w:numId w:val="8"/>
        </w:numPr>
        <w:spacing w:line="360" w:lineRule="auto"/>
        <w:rPr>
          <w:rFonts w:cs="Times New Roman"/>
          <w:b w:val="0"/>
          <w:sz w:val="24"/>
          <w:szCs w:val="24"/>
        </w:rPr>
      </w:pPr>
      <w:proofErr w:type="spellStart"/>
      <w:r w:rsidRPr="002F5637">
        <w:rPr>
          <w:b w:val="0"/>
          <w:sz w:val="24"/>
          <w:szCs w:val="24"/>
        </w:rPr>
        <w:t>Labonte</w:t>
      </w:r>
      <w:proofErr w:type="spellEnd"/>
      <w:r w:rsidRPr="002F5637">
        <w:rPr>
          <w:b w:val="0"/>
          <w:sz w:val="24"/>
          <w:szCs w:val="24"/>
        </w:rPr>
        <w:t xml:space="preserve"> M ‘Systematically important or “Too Big </w:t>
      </w:r>
      <w:proofErr w:type="gramStart"/>
      <w:r w:rsidRPr="002F5637">
        <w:rPr>
          <w:b w:val="0"/>
          <w:sz w:val="24"/>
          <w:szCs w:val="24"/>
        </w:rPr>
        <w:t>To</w:t>
      </w:r>
      <w:proofErr w:type="gramEnd"/>
      <w:r w:rsidRPr="002F5637">
        <w:rPr>
          <w:b w:val="0"/>
          <w:sz w:val="24"/>
          <w:szCs w:val="24"/>
        </w:rPr>
        <w:t xml:space="preserve"> Fail” Financial Institutions’, 2(56) </w:t>
      </w:r>
      <w:r w:rsidRPr="002F5637">
        <w:rPr>
          <w:b w:val="0"/>
          <w:i/>
          <w:sz w:val="24"/>
          <w:szCs w:val="24"/>
        </w:rPr>
        <w:t>Congressional Research Service</w:t>
      </w:r>
      <w:r w:rsidRPr="002F5637">
        <w:rPr>
          <w:b w:val="0"/>
          <w:sz w:val="24"/>
          <w:szCs w:val="24"/>
        </w:rPr>
        <w:t>, 2014.</w:t>
      </w:r>
    </w:p>
    <w:p w14:paraId="7C0FBA5F" w14:textId="77777777" w:rsidR="007B3ADB" w:rsidRPr="00CF3CC4" w:rsidRDefault="007B3ADB" w:rsidP="00CF3CC4">
      <w:pPr>
        <w:pStyle w:val="ListParagraph"/>
        <w:numPr>
          <w:ilvl w:val="0"/>
          <w:numId w:val="8"/>
        </w:numPr>
        <w:spacing w:line="360" w:lineRule="auto"/>
        <w:rPr>
          <w:rFonts w:cs="Times New Roman"/>
          <w:szCs w:val="24"/>
        </w:rPr>
      </w:pPr>
      <w:r w:rsidRPr="00CF3CC4">
        <w:rPr>
          <w:rFonts w:cs="Times New Roman"/>
          <w:szCs w:val="24"/>
        </w:rPr>
        <w:t xml:space="preserve">Martin D., ‘The Transition in Smallholder Banking in Kenya: Evidence from Rural Branch Bank Loans’ 16(1) </w:t>
      </w:r>
      <w:r w:rsidRPr="00CF3CC4">
        <w:rPr>
          <w:rFonts w:cs="Times New Roman"/>
          <w:i/>
          <w:szCs w:val="24"/>
        </w:rPr>
        <w:t>The Journal of Developing Areas</w:t>
      </w:r>
      <w:r w:rsidRPr="00CF3CC4">
        <w:rPr>
          <w:rFonts w:cs="Times New Roman"/>
          <w:szCs w:val="24"/>
        </w:rPr>
        <w:t>, 1981.</w:t>
      </w:r>
    </w:p>
    <w:p w14:paraId="026DCE1E" w14:textId="77777777" w:rsidR="007B3ADB" w:rsidRPr="00CF3CC4" w:rsidRDefault="007B3ADB" w:rsidP="00CF3CC4">
      <w:pPr>
        <w:pStyle w:val="ListParagraph"/>
        <w:numPr>
          <w:ilvl w:val="0"/>
          <w:numId w:val="8"/>
        </w:numPr>
        <w:spacing w:line="360" w:lineRule="auto"/>
        <w:rPr>
          <w:rFonts w:cs="Times New Roman"/>
          <w:i/>
          <w:szCs w:val="24"/>
        </w:rPr>
      </w:pPr>
      <w:r w:rsidRPr="00CF3CC4">
        <w:rPr>
          <w:rFonts w:cs="Times New Roman"/>
          <w:szCs w:val="24"/>
        </w:rPr>
        <w:t xml:space="preserve">Merton R, ‘Financial innovation and the management and regulation of financial institutions’ 19(3-4) </w:t>
      </w:r>
      <w:r w:rsidRPr="00CF3CC4">
        <w:rPr>
          <w:rFonts w:cs="Times New Roman"/>
          <w:i/>
          <w:szCs w:val="24"/>
        </w:rPr>
        <w:t>Journal of Banking and Finance</w:t>
      </w:r>
      <w:r w:rsidRPr="00CF3CC4">
        <w:rPr>
          <w:rFonts w:cs="Times New Roman"/>
          <w:szCs w:val="24"/>
        </w:rPr>
        <w:t>, 1995.</w:t>
      </w:r>
    </w:p>
    <w:p w14:paraId="49891543" w14:textId="77777777" w:rsidR="007B3ADB" w:rsidRPr="008546A0" w:rsidRDefault="007B3ADB" w:rsidP="00CF3CC4">
      <w:pPr>
        <w:pStyle w:val="ListParagraph"/>
        <w:numPr>
          <w:ilvl w:val="0"/>
          <w:numId w:val="8"/>
        </w:numPr>
        <w:spacing w:line="360" w:lineRule="auto"/>
        <w:rPr>
          <w:rFonts w:cs="Times New Roman"/>
          <w:szCs w:val="24"/>
        </w:rPr>
      </w:pPr>
      <w:r w:rsidRPr="008546A0">
        <w:rPr>
          <w:rFonts w:cs="Times New Roman"/>
          <w:szCs w:val="24"/>
        </w:rPr>
        <w:t xml:space="preserve">Miller S, ‘The Global Banking Sector: Corruption, Institutional Purpose and Economic Justice’ 37(1) </w:t>
      </w:r>
      <w:r w:rsidRPr="008546A0">
        <w:rPr>
          <w:rFonts w:cs="Times New Roman"/>
          <w:i/>
          <w:szCs w:val="24"/>
        </w:rPr>
        <w:t xml:space="preserve">Business and Professional Ethics Journal, </w:t>
      </w:r>
      <w:r w:rsidRPr="008546A0">
        <w:rPr>
          <w:rFonts w:cs="Times New Roman"/>
          <w:szCs w:val="24"/>
        </w:rPr>
        <w:t>2018.</w:t>
      </w:r>
    </w:p>
    <w:p w14:paraId="2B01864F" w14:textId="77777777" w:rsidR="007B3ADB" w:rsidRPr="008546A0" w:rsidRDefault="007B3ADB" w:rsidP="00CF3CC4">
      <w:pPr>
        <w:pStyle w:val="FootnoteText"/>
        <w:numPr>
          <w:ilvl w:val="0"/>
          <w:numId w:val="8"/>
        </w:numPr>
        <w:spacing w:line="360" w:lineRule="auto"/>
        <w:rPr>
          <w:rFonts w:cs="Times New Roman"/>
          <w:b w:val="0"/>
          <w:i/>
          <w:sz w:val="24"/>
          <w:szCs w:val="24"/>
        </w:rPr>
      </w:pPr>
      <w:r w:rsidRPr="008546A0">
        <w:rPr>
          <w:rFonts w:cs="Times New Roman"/>
          <w:b w:val="0"/>
          <w:sz w:val="24"/>
          <w:szCs w:val="24"/>
        </w:rPr>
        <w:t xml:space="preserve">Miller S, ‘Trust Me…I’m a (systematically Important) bank! Institutional corruption, market based- industries and financial benchmarks’ 8(4) </w:t>
      </w:r>
      <w:r w:rsidRPr="008546A0">
        <w:rPr>
          <w:rFonts w:cs="Times New Roman"/>
          <w:b w:val="0"/>
          <w:i/>
          <w:sz w:val="24"/>
          <w:szCs w:val="24"/>
        </w:rPr>
        <w:t xml:space="preserve">Law and Financial Markets Review, </w:t>
      </w:r>
      <w:r w:rsidRPr="008546A0">
        <w:rPr>
          <w:rFonts w:cs="Times New Roman"/>
          <w:b w:val="0"/>
          <w:sz w:val="24"/>
          <w:szCs w:val="24"/>
        </w:rPr>
        <w:t>2014.</w:t>
      </w:r>
    </w:p>
    <w:p w14:paraId="748A3C71" w14:textId="27D34B9A" w:rsidR="007B3ADB" w:rsidRPr="002F5637" w:rsidRDefault="007B3ADB" w:rsidP="001D0EBB">
      <w:pPr>
        <w:pStyle w:val="FootnoteText"/>
        <w:numPr>
          <w:ilvl w:val="0"/>
          <w:numId w:val="8"/>
        </w:numPr>
        <w:spacing w:line="360" w:lineRule="auto"/>
        <w:rPr>
          <w:rFonts w:cs="Times New Roman"/>
          <w:b w:val="0"/>
          <w:sz w:val="24"/>
          <w:szCs w:val="24"/>
        </w:rPr>
      </w:pPr>
      <w:proofErr w:type="spellStart"/>
      <w:r w:rsidRPr="002F5637">
        <w:rPr>
          <w:b w:val="0"/>
          <w:sz w:val="24"/>
          <w:szCs w:val="24"/>
        </w:rPr>
        <w:t>Moenninghoff</w:t>
      </w:r>
      <w:proofErr w:type="spellEnd"/>
      <w:r w:rsidRPr="002F5637">
        <w:rPr>
          <w:b w:val="0"/>
          <w:sz w:val="24"/>
          <w:szCs w:val="24"/>
        </w:rPr>
        <w:t xml:space="preserve"> S, ‘Consequences of Government Guarantees </w:t>
      </w:r>
      <w:r w:rsidR="0022690E">
        <w:rPr>
          <w:b w:val="0"/>
          <w:sz w:val="24"/>
          <w:szCs w:val="24"/>
        </w:rPr>
        <w:t xml:space="preserve">for Banks – A survey of the </w:t>
      </w:r>
      <w:r w:rsidRPr="002F5637">
        <w:rPr>
          <w:b w:val="0"/>
          <w:sz w:val="24"/>
          <w:szCs w:val="24"/>
        </w:rPr>
        <w:t xml:space="preserve">TBTF doctrine’ 6 (23) </w:t>
      </w:r>
      <w:r w:rsidRPr="002F5637">
        <w:rPr>
          <w:b w:val="0"/>
          <w:i/>
          <w:sz w:val="24"/>
          <w:szCs w:val="24"/>
        </w:rPr>
        <w:t>Journal of Governance and Financial Regulation</w:t>
      </w:r>
      <w:r w:rsidRPr="002F5637">
        <w:rPr>
          <w:b w:val="0"/>
          <w:sz w:val="24"/>
          <w:szCs w:val="24"/>
        </w:rPr>
        <w:t>, 2018.</w:t>
      </w:r>
    </w:p>
    <w:p w14:paraId="763DC0A5" w14:textId="77777777" w:rsidR="007B3ADB" w:rsidRPr="00CF3CC4" w:rsidRDefault="007B3ADB" w:rsidP="00CF3CC4">
      <w:pPr>
        <w:pStyle w:val="ListParagraph"/>
        <w:numPr>
          <w:ilvl w:val="0"/>
          <w:numId w:val="8"/>
        </w:numPr>
        <w:spacing w:line="360" w:lineRule="auto"/>
        <w:rPr>
          <w:rFonts w:cs="Times New Roman"/>
          <w:szCs w:val="24"/>
        </w:rPr>
      </w:pPr>
      <w:proofErr w:type="spellStart"/>
      <w:r w:rsidRPr="00CF3CC4">
        <w:rPr>
          <w:rFonts w:cs="Times New Roman"/>
          <w:szCs w:val="24"/>
        </w:rPr>
        <w:t>Moosa</w:t>
      </w:r>
      <w:proofErr w:type="spellEnd"/>
      <w:r w:rsidRPr="00CF3CC4">
        <w:rPr>
          <w:rFonts w:cs="Times New Roman"/>
          <w:szCs w:val="24"/>
        </w:rPr>
        <w:t xml:space="preserve"> </w:t>
      </w:r>
      <w:proofErr w:type="spellStart"/>
      <w:r w:rsidRPr="00CF3CC4">
        <w:rPr>
          <w:rFonts w:cs="Times New Roman"/>
          <w:szCs w:val="24"/>
        </w:rPr>
        <w:t>Imad</w:t>
      </w:r>
      <w:proofErr w:type="spellEnd"/>
      <w:r w:rsidRPr="00CF3CC4">
        <w:rPr>
          <w:rFonts w:cs="Times New Roman"/>
          <w:szCs w:val="24"/>
        </w:rPr>
        <w:t xml:space="preserve"> ‘The Myth of too big to fail’ 11(4) </w:t>
      </w:r>
      <w:r w:rsidRPr="00CF3CC4">
        <w:rPr>
          <w:rFonts w:cs="Times New Roman"/>
          <w:i/>
          <w:szCs w:val="24"/>
        </w:rPr>
        <w:t>Journal of Banking Regulation, 2010.</w:t>
      </w:r>
    </w:p>
    <w:p w14:paraId="3A14750D" w14:textId="77777777" w:rsidR="007B3ADB" w:rsidRPr="008546A0" w:rsidRDefault="007B3ADB" w:rsidP="00CF3CC4">
      <w:pPr>
        <w:pStyle w:val="ListParagraph"/>
        <w:numPr>
          <w:ilvl w:val="0"/>
          <w:numId w:val="8"/>
        </w:numPr>
        <w:spacing w:line="360" w:lineRule="auto"/>
        <w:rPr>
          <w:rFonts w:cs="Times New Roman"/>
          <w:szCs w:val="24"/>
        </w:rPr>
      </w:pPr>
      <w:r w:rsidRPr="008546A0">
        <w:rPr>
          <w:rFonts w:cs="Times New Roman"/>
          <w:szCs w:val="24"/>
        </w:rPr>
        <w:lastRenderedPageBreak/>
        <w:t xml:space="preserve">Morrison A, ‘Systemic Risks and the too-big-to-fail’ problem’ 27(3) </w:t>
      </w:r>
      <w:r w:rsidRPr="008546A0">
        <w:rPr>
          <w:rFonts w:cs="Times New Roman"/>
          <w:i/>
          <w:szCs w:val="24"/>
        </w:rPr>
        <w:t xml:space="preserve">Oxford Review of Economic Policy, </w:t>
      </w:r>
      <w:r w:rsidRPr="008546A0">
        <w:rPr>
          <w:rFonts w:cs="Times New Roman"/>
          <w:szCs w:val="24"/>
        </w:rPr>
        <w:t>2011.</w:t>
      </w:r>
    </w:p>
    <w:p w14:paraId="3DDB37FC" w14:textId="77777777" w:rsidR="007B3ADB" w:rsidRPr="002F5637" w:rsidRDefault="007B3ADB" w:rsidP="001D0EBB">
      <w:pPr>
        <w:pStyle w:val="FootnoteText"/>
        <w:numPr>
          <w:ilvl w:val="0"/>
          <w:numId w:val="8"/>
        </w:numPr>
        <w:spacing w:line="360" w:lineRule="auto"/>
        <w:rPr>
          <w:rFonts w:cs="Times New Roman"/>
          <w:b w:val="0"/>
          <w:sz w:val="24"/>
          <w:szCs w:val="24"/>
        </w:rPr>
      </w:pPr>
      <w:proofErr w:type="spellStart"/>
      <w:r w:rsidRPr="002F5637">
        <w:rPr>
          <w:b w:val="0"/>
          <w:sz w:val="24"/>
          <w:szCs w:val="24"/>
        </w:rPr>
        <w:t>Omondi</w:t>
      </w:r>
      <w:proofErr w:type="spellEnd"/>
      <w:r w:rsidRPr="002F5637">
        <w:rPr>
          <w:b w:val="0"/>
          <w:sz w:val="24"/>
          <w:szCs w:val="24"/>
        </w:rPr>
        <w:t xml:space="preserve"> G and </w:t>
      </w:r>
      <w:proofErr w:type="spellStart"/>
      <w:r w:rsidRPr="002F5637">
        <w:rPr>
          <w:b w:val="0"/>
          <w:sz w:val="24"/>
          <w:szCs w:val="24"/>
        </w:rPr>
        <w:t>Orwaru</w:t>
      </w:r>
      <w:proofErr w:type="spellEnd"/>
      <w:r w:rsidRPr="002F5637">
        <w:rPr>
          <w:b w:val="0"/>
          <w:sz w:val="24"/>
          <w:szCs w:val="24"/>
        </w:rPr>
        <w:t xml:space="preserve"> J, ‘Bank Size and Financial Stability of Commercial Banks in Kenya: Empirical Evidence’ 7(1) </w:t>
      </w:r>
      <w:r w:rsidRPr="002F5637">
        <w:rPr>
          <w:b w:val="0"/>
          <w:i/>
          <w:sz w:val="24"/>
          <w:szCs w:val="24"/>
        </w:rPr>
        <w:t>Journal of Emerging Issues in Economies, Finance and Banking, 2018.</w:t>
      </w:r>
    </w:p>
    <w:p w14:paraId="1DFF843C" w14:textId="77777777" w:rsidR="007B3ADB" w:rsidRPr="008546A0" w:rsidRDefault="007B3ADB" w:rsidP="00CF3CC4">
      <w:pPr>
        <w:pStyle w:val="ListParagraph"/>
        <w:numPr>
          <w:ilvl w:val="0"/>
          <w:numId w:val="8"/>
        </w:numPr>
        <w:spacing w:line="360" w:lineRule="auto"/>
        <w:rPr>
          <w:rFonts w:cs="Times New Roman"/>
          <w:szCs w:val="24"/>
        </w:rPr>
      </w:pPr>
      <w:proofErr w:type="spellStart"/>
      <w:r w:rsidRPr="008546A0">
        <w:rPr>
          <w:rFonts w:cs="Times New Roman"/>
          <w:szCs w:val="24"/>
        </w:rPr>
        <w:t>Pojanowski</w:t>
      </w:r>
      <w:proofErr w:type="spellEnd"/>
      <w:r w:rsidRPr="008546A0">
        <w:rPr>
          <w:rFonts w:cs="Times New Roman"/>
          <w:szCs w:val="24"/>
        </w:rPr>
        <w:t xml:space="preserve"> J, ‘Redrawing the dividing lines between natural law and positivism(s)’ 101(4)</w:t>
      </w:r>
      <w:r w:rsidRPr="008546A0">
        <w:rPr>
          <w:rFonts w:cs="Times New Roman"/>
          <w:i/>
          <w:szCs w:val="24"/>
        </w:rPr>
        <w:t xml:space="preserve">, Virginia Law Review, </w:t>
      </w:r>
      <w:r w:rsidRPr="008546A0">
        <w:rPr>
          <w:rFonts w:cs="Times New Roman"/>
          <w:szCs w:val="24"/>
        </w:rPr>
        <w:t>2015.</w:t>
      </w:r>
    </w:p>
    <w:p w14:paraId="6E80A26C" w14:textId="77777777" w:rsidR="007B3ADB" w:rsidRPr="002F5637" w:rsidRDefault="007B3ADB" w:rsidP="001D0EBB">
      <w:pPr>
        <w:pStyle w:val="FootnoteText"/>
        <w:numPr>
          <w:ilvl w:val="0"/>
          <w:numId w:val="8"/>
        </w:numPr>
        <w:spacing w:line="360" w:lineRule="auto"/>
        <w:rPr>
          <w:rFonts w:cs="Times New Roman"/>
          <w:b w:val="0"/>
          <w:sz w:val="24"/>
          <w:szCs w:val="24"/>
        </w:rPr>
      </w:pPr>
      <w:proofErr w:type="spellStart"/>
      <w:r w:rsidRPr="002F5637">
        <w:rPr>
          <w:b w:val="0"/>
          <w:sz w:val="24"/>
          <w:szCs w:val="24"/>
        </w:rPr>
        <w:t>Umlauft</w:t>
      </w:r>
      <w:proofErr w:type="spellEnd"/>
      <w:r w:rsidRPr="002F5637">
        <w:rPr>
          <w:b w:val="0"/>
          <w:sz w:val="24"/>
          <w:szCs w:val="24"/>
        </w:rPr>
        <w:t xml:space="preserve"> T ‘The paradoxical genesis of Too-Big-To-Fail: How Distrust Towards Banks led to TBTF’ Explorations in Financial History Working Paper 1, 2013.</w:t>
      </w:r>
    </w:p>
    <w:p w14:paraId="57E40504" w14:textId="77777777" w:rsidR="007B3ADB" w:rsidRPr="008546A0" w:rsidRDefault="007B3ADB" w:rsidP="00CF3CC4">
      <w:pPr>
        <w:pStyle w:val="FootnoteText"/>
        <w:numPr>
          <w:ilvl w:val="0"/>
          <w:numId w:val="8"/>
        </w:numPr>
        <w:spacing w:line="360" w:lineRule="auto"/>
        <w:rPr>
          <w:rFonts w:cs="Times New Roman"/>
          <w:b w:val="0"/>
          <w:sz w:val="24"/>
          <w:szCs w:val="24"/>
        </w:rPr>
      </w:pPr>
      <w:r w:rsidRPr="008546A0">
        <w:rPr>
          <w:rFonts w:cs="Times New Roman"/>
          <w:b w:val="0"/>
          <w:sz w:val="24"/>
          <w:szCs w:val="24"/>
        </w:rPr>
        <w:t xml:space="preserve">Wallison P, </w:t>
      </w:r>
      <w:proofErr w:type="spellStart"/>
      <w:r w:rsidRPr="008546A0">
        <w:rPr>
          <w:rFonts w:cs="Times New Roman"/>
          <w:b w:val="0"/>
          <w:sz w:val="24"/>
          <w:szCs w:val="24"/>
        </w:rPr>
        <w:t>‘Cause</w:t>
      </w:r>
      <w:proofErr w:type="spellEnd"/>
      <w:r w:rsidRPr="008546A0">
        <w:rPr>
          <w:rFonts w:cs="Times New Roman"/>
          <w:b w:val="0"/>
          <w:sz w:val="24"/>
          <w:szCs w:val="24"/>
        </w:rPr>
        <w:t xml:space="preserve"> and effect: government policies and the financial crisis’ 21(2-3) </w:t>
      </w:r>
      <w:r w:rsidRPr="008546A0">
        <w:rPr>
          <w:rFonts w:cs="Times New Roman"/>
          <w:b w:val="0"/>
          <w:i/>
          <w:sz w:val="24"/>
          <w:szCs w:val="24"/>
        </w:rPr>
        <w:t xml:space="preserve">Critical Review, </w:t>
      </w:r>
      <w:r w:rsidRPr="008546A0">
        <w:rPr>
          <w:rFonts w:cs="Times New Roman"/>
          <w:b w:val="0"/>
          <w:sz w:val="24"/>
          <w:szCs w:val="24"/>
        </w:rPr>
        <w:t>2009</w:t>
      </w:r>
      <w:r w:rsidRPr="008546A0">
        <w:rPr>
          <w:rFonts w:cs="Times New Roman"/>
          <w:b w:val="0"/>
          <w:i/>
          <w:sz w:val="24"/>
          <w:szCs w:val="24"/>
        </w:rPr>
        <w:t>.</w:t>
      </w:r>
    </w:p>
    <w:p w14:paraId="61A146FD" w14:textId="77777777" w:rsidR="007B3ADB" w:rsidRPr="00CF3CC4" w:rsidRDefault="007B3ADB" w:rsidP="00CF3CC4">
      <w:pPr>
        <w:pStyle w:val="ListParagraph"/>
        <w:numPr>
          <w:ilvl w:val="0"/>
          <w:numId w:val="8"/>
        </w:numPr>
        <w:spacing w:line="360" w:lineRule="auto"/>
        <w:rPr>
          <w:rFonts w:cs="Times New Roman"/>
          <w:i/>
          <w:szCs w:val="24"/>
        </w:rPr>
      </w:pPr>
      <w:r w:rsidRPr="00CF3CC4">
        <w:rPr>
          <w:rFonts w:cs="Times New Roman"/>
          <w:szCs w:val="24"/>
        </w:rPr>
        <w:t xml:space="preserve">Zeb S and </w:t>
      </w:r>
      <w:proofErr w:type="spellStart"/>
      <w:r w:rsidRPr="00CF3CC4">
        <w:rPr>
          <w:rFonts w:cs="Times New Roman"/>
          <w:szCs w:val="24"/>
        </w:rPr>
        <w:t>Sattar</w:t>
      </w:r>
      <w:proofErr w:type="spellEnd"/>
      <w:r w:rsidRPr="00CF3CC4">
        <w:rPr>
          <w:rFonts w:cs="Times New Roman"/>
          <w:szCs w:val="24"/>
        </w:rPr>
        <w:t xml:space="preserve"> A, ‘Financial Regulations, Profit </w:t>
      </w:r>
      <w:proofErr w:type="spellStart"/>
      <w:r w:rsidRPr="00CF3CC4">
        <w:rPr>
          <w:rFonts w:cs="Times New Roman"/>
          <w:szCs w:val="24"/>
        </w:rPr>
        <w:t>Effeciency</w:t>
      </w:r>
      <w:proofErr w:type="spellEnd"/>
      <w:r w:rsidRPr="00CF3CC4">
        <w:rPr>
          <w:rFonts w:cs="Times New Roman"/>
          <w:szCs w:val="24"/>
        </w:rPr>
        <w:t xml:space="preserve"> and Financial Soundness: Empirical Evidence from Commercial Banks of Pakistan’ 56(2) </w:t>
      </w:r>
      <w:r w:rsidRPr="00CF3CC4">
        <w:rPr>
          <w:rFonts w:cs="Times New Roman"/>
          <w:i/>
          <w:szCs w:val="24"/>
        </w:rPr>
        <w:t xml:space="preserve">The Pakistan Development Review, </w:t>
      </w:r>
      <w:r w:rsidRPr="00CF3CC4">
        <w:rPr>
          <w:rFonts w:cs="Times New Roman"/>
          <w:szCs w:val="24"/>
        </w:rPr>
        <w:t>2017</w:t>
      </w:r>
      <w:r w:rsidRPr="00CF3CC4">
        <w:rPr>
          <w:rFonts w:cs="Times New Roman"/>
          <w:i/>
          <w:szCs w:val="24"/>
        </w:rPr>
        <w:t>.</w:t>
      </w:r>
    </w:p>
    <w:p w14:paraId="0B9C5B8E" w14:textId="77777777" w:rsidR="003D3E8A" w:rsidRPr="00CF3CC4" w:rsidRDefault="003D3E8A" w:rsidP="00CF3CC4">
      <w:pPr>
        <w:pStyle w:val="FootnoteText"/>
        <w:spacing w:line="360" w:lineRule="auto"/>
        <w:rPr>
          <w:rFonts w:cs="Times New Roman"/>
          <w:sz w:val="24"/>
          <w:szCs w:val="24"/>
        </w:rPr>
      </w:pPr>
    </w:p>
    <w:p w14:paraId="57EC9CC9" w14:textId="7F16E8BB" w:rsidR="0032188B" w:rsidRPr="00CF3CC4" w:rsidRDefault="00286E38" w:rsidP="00CF3CC4">
      <w:pPr>
        <w:pStyle w:val="Heading2"/>
        <w:numPr>
          <w:ilvl w:val="1"/>
          <w:numId w:val="18"/>
        </w:numPr>
        <w:jc w:val="both"/>
        <w:rPr>
          <w:rFonts w:cs="Times New Roman"/>
          <w:szCs w:val="24"/>
        </w:rPr>
      </w:pPr>
      <w:r w:rsidRPr="00CF3CC4">
        <w:rPr>
          <w:rFonts w:cs="Times New Roman"/>
          <w:szCs w:val="24"/>
        </w:rPr>
        <w:t xml:space="preserve">       </w:t>
      </w:r>
      <w:bookmarkStart w:id="61" w:name="_Toc62552918"/>
      <w:r w:rsidR="00FF0CD4" w:rsidRPr="00CF3CC4">
        <w:rPr>
          <w:rFonts w:cs="Times New Roman"/>
          <w:szCs w:val="24"/>
        </w:rPr>
        <w:t>WORKING PAPERS, WORKSHOP PAPERS, CONFERENCE PAPERS &amp; DISCUSSION PAPERS</w:t>
      </w:r>
      <w:bookmarkEnd w:id="61"/>
      <w:r w:rsidR="00FF0CD4" w:rsidRPr="00CF3CC4">
        <w:rPr>
          <w:rFonts w:cs="Times New Roman"/>
          <w:szCs w:val="24"/>
        </w:rPr>
        <w:t xml:space="preserve"> </w:t>
      </w:r>
    </w:p>
    <w:p w14:paraId="4C0EC0B6" w14:textId="77777777" w:rsidR="007B3ADB" w:rsidRPr="00CF3CC4" w:rsidRDefault="007B3ADB" w:rsidP="00CF3CC4">
      <w:pPr>
        <w:pStyle w:val="FootnoteText"/>
        <w:numPr>
          <w:ilvl w:val="0"/>
          <w:numId w:val="15"/>
        </w:numPr>
        <w:spacing w:line="360" w:lineRule="auto"/>
        <w:rPr>
          <w:rFonts w:cs="Times New Roman"/>
          <w:b w:val="0"/>
          <w:sz w:val="24"/>
          <w:szCs w:val="24"/>
        </w:rPr>
      </w:pPr>
      <w:r w:rsidRPr="00CF3CC4">
        <w:rPr>
          <w:rFonts w:cs="Times New Roman"/>
          <w:b w:val="0"/>
          <w:sz w:val="24"/>
          <w:szCs w:val="24"/>
        </w:rPr>
        <w:t xml:space="preserve">Hartmann P, </w:t>
      </w:r>
      <w:proofErr w:type="spellStart"/>
      <w:proofErr w:type="gramStart"/>
      <w:r w:rsidRPr="00CF3CC4">
        <w:rPr>
          <w:rFonts w:cs="Times New Roman"/>
          <w:b w:val="0"/>
          <w:sz w:val="24"/>
          <w:szCs w:val="24"/>
        </w:rPr>
        <w:t>Straetmans</w:t>
      </w:r>
      <w:proofErr w:type="spellEnd"/>
      <w:r w:rsidRPr="00CF3CC4">
        <w:rPr>
          <w:rFonts w:cs="Times New Roman"/>
          <w:b w:val="0"/>
          <w:sz w:val="24"/>
          <w:szCs w:val="24"/>
        </w:rPr>
        <w:t xml:space="preserve">  S</w:t>
      </w:r>
      <w:proofErr w:type="gramEnd"/>
      <w:r w:rsidRPr="00CF3CC4">
        <w:rPr>
          <w:rFonts w:cs="Times New Roman"/>
          <w:b w:val="0"/>
          <w:sz w:val="24"/>
          <w:szCs w:val="24"/>
        </w:rPr>
        <w:t xml:space="preserve"> and De </w:t>
      </w:r>
      <w:proofErr w:type="spellStart"/>
      <w:r w:rsidRPr="00CF3CC4">
        <w:rPr>
          <w:rFonts w:cs="Times New Roman"/>
          <w:b w:val="0"/>
          <w:sz w:val="24"/>
          <w:szCs w:val="24"/>
        </w:rPr>
        <w:t>Vries</w:t>
      </w:r>
      <w:proofErr w:type="spellEnd"/>
      <w:r w:rsidRPr="00CF3CC4">
        <w:rPr>
          <w:rFonts w:cs="Times New Roman"/>
          <w:b w:val="0"/>
          <w:sz w:val="24"/>
          <w:szCs w:val="24"/>
        </w:rPr>
        <w:t xml:space="preserve"> C, ‘ Banking System Stability: A Cross-Atlantic perspective’ National Bureau of Economic Research, Working Paper 11698, 2005.</w:t>
      </w:r>
      <w:r w:rsidRPr="00CF3CC4">
        <w:rPr>
          <w:rFonts w:cs="Times New Roman"/>
          <w:sz w:val="24"/>
          <w:szCs w:val="24"/>
        </w:rPr>
        <w:t xml:space="preserve"> </w:t>
      </w:r>
    </w:p>
    <w:p w14:paraId="6D03E666" w14:textId="77777777" w:rsidR="007B3ADB" w:rsidRPr="00CF3CC4" w:rsidRDefault="007B3ADB" w:rsidP="00CF3CC4">
      <w:pPr>
        <w:pStyle w:val="FootnoteText"/>
        <w:numPr>
          <w:ilvl w:val="0"/>
          <w:numId w:val="15"/>
        </w:numPr>
        <w:spacing w:line="360" w:lineRule="auto"/>
        <w:rPr>
          <w:rFonts w:cs="Times New Roman"/>
          <w:b w:val="0"/>
          <w:sz w:val="24"/>
          <w:szCs w:val="24"/>
        </w:rPr>
      </w:pPr>
      <w:proofErr w:type="spellStart"/>
      <w:r w:rsidRPr="00CF3CC4">
        <w:rPr>
          <w:rFonts w:cs="Times New Roman"/>
          <w:b w:val="0"/>
          <w:color w:val="000000"/>
          <w:sz w:val="24"/>
          <w:szCs w:val="24"/>
        </w:rPr>
        <w:t>Mutuku</w:t>
      </w:r>
      <w:proofErr w:type="spellEnd"/>
      <w:r w:rsidRPr="00CF3CC4">
        <w:rPr>
          <w:rFonts w:cs="Times New Roman"/>
          <w:b w:val="0"/>
          <w:color w:val="000000"/>
          <w:sz w:val="24"/>
          <w:szCs w:val="24"/>
        </w:rPr>
        <w:t xml:space="preserve"> N, Case for Consolidated Financial Sector Regulation in Kenya, RBA Research Papers, 2011.</w:t>
      </w:r>
    </w:p>
    <w:p w14:paraId="49AAC08E" w14:textId="77777777" w:rsidR="007B3ADB" w:rsidRPr="00CF3CC4" w:rsidRDefault="007B3ADB" w:rsidP="00CF3CC4">
      <w:pPr>
        <w:pStyle w:val="FootnoteText"/>
        <w:numPr>
          <w:ilvl w:val="0"/>
          <w:numId w:val="15"/>
        </w:numPr>
        <w:spacing w:line="360" w:lineRule="auto"/>
        <w:rPr>
          <w:rFonts w:cs="Times New Roman"/>
          <w:b w:val="0"/>
          <w:sz w:val="24"/>
          <w:szCs w:val="24"/>
        </w:rPr>
      </w:pPr>
      <w:proofErr w:type="spellStart"/>
      <w:r w:rsidRPr="00CF3CC4">
        <w:rPr>
          <w:rFonts w:cs="Times New Roman"/>
          <w:b w:val="0"/>
          <w:sz w:val="24"/>
          <w:szCs w:val="24"/>
        </w:rPr>
        <w:t>Mwega</w:t>
      </w:r>
      <w:proofErr w:type="spellEnd"/>
      <w:r w:rsidRPr="00CF3CC4">
        <w:rPr>
          <w:rFonts w:cs="Times New Roman"/>
          <w:b w:val="0"/>
          <w:sz w:val="24"/>
          <w:szCs w:val="24"/>
        </w:rPr>
        <w:t xml:space="preserve"> F, ‘Financial regulation in Kenya: Balancing inclusive growth with financial stability’ Overseas Development Institution, </w:t>
      </w:r>
      <w:proofErr w:type="gramStart"/>
      <w:r w:rsidRPr="00CF3CC4">
        <w:rPr>
          <w:rFonts w:cs="Times New Roman"/>
          <w:b w:val="0"/>
          <w:sz w:val="24"/>
          <w:szCs w:val="24"/>
        </w:rPr>
        <w:t>Shaping</w:t>
      </w:r>
      <w:proofErr w:type="gramEnd"/>
      <w:r w:rsidRPr="00CF3CC4">
        <w:rPr>
          <w:rFonts w:cs="Times New Roman"/>
          <w:b w:val="0"/>
          <w:sz w:val="24"/>
          <w:szCs w:val="24"/>
        </w:rPr>
        <w:t xml:space="preserve"> policy for development, Working paper 407, 2014.</w:t>
      </w:r>
    </w:p>
    <w:p w14:paraId="36A9D7D6" w14:textId="77777777" w:rsidR="007B3ADB" w:rsidRPr="00CF3CC4" w:rsidRDefault="007B3ADB" w:rsidP="00CF3CC4">
      <w:pPr>
        <w:pStyle w:val="FootnoteText"/>
        <w:numPr>
          <w:ilvl w:val="0"/>
          <w:numId w:val="15"/>
        </w:numPr>
        <w:spacing w:line="360" w:lineRule="auto"/>
        <w:rPr>
          <w:rFonts w:cs="Times New Roman"/>
          <w:b w:val="0"/>
          <w:sz w:val="24"/>
          <w:szCs w:val="24"/>
        </w:rPr>
      </w:pPr>
      <w:r w:rsidRPr="00CF3CC4">
        <w:rPr>
          <w:rFonts w:cs="Times New Roman"/>
          <w:b w:val="0"/>
          <w:sz w:val="24"/>
          <w:szCs w:val="24"/>
        </w:rPr>
        <w:t>Shull B, ‘Too big to fail in financial crisis: motives, countermeasures and prospects’ Levy Economics Institute, Working paper Number 601, 2010.</w:t>
      </w:r>
    </w:p>
    <w:p w14:paraId="2CC9F4D3" w14:textId="77777777" w:rsidR="007B3ADB" w:rsidRPr="00CF3CC4" w:rsidRDefault="007B3ADB" w:rsidP="00CF3CC4">
      <w:pPr>
        <w:pStyle w:val="FootnoteText"/>
        <w:numPr>
          <w:ilvl w:val="0"/>
          <w:numId w:val="15"/>
        </w:numPr>
        <w:spacing w:line="360" w:lineRule="auto"/>
        <w:rPr>
          <w:rFonts w:cs="Times New Roman"/>
          <w:b w:val="0"/>
          <w:sz w:val="24"/>
          <w:szCs w:val="24"/>
        </w:rPr>
      </w:pPr>
      <w:proofErr w:type="spellStart"/>
      <w:r w:rsidRPr="00CF3CC4">
        <w:rPr>
          <w:rFonts w:cs="Times New Roman"/>
          <w:b w:val="0"/>
          <w:sz w:val="24"/>
          <w:szCs w:val="24"/>
        </w:rPr>
        <w:t>Spagnolo</w:t>
      </w:r>
      <w:proofErr w:type="spellEnd"/>
      <w:r w:rsidRPr="00CF3CC4">
        <w:rPr>
          <w:rFonts w:cs="Times New Roman"/>
          <w:b w:val="0"/>
          <w:sz w:val="24"/>
          <w:szCs w:val="24"/>
        </w:rPr>
        <w:t xml:space="preserve"> G, </w:t>
      </w:r>
      <w:proofErr w:type="spellStart"/>
      <w:r w:rsidRPr="00CF3CC4">
        <w:rPr>
          <w:rFonts w:cs="Times New Roman"/>
          <w:b w:val="0"/>
          <w:sz w:val="24"/>
          <w:szCs w:val="24"/>
        </w:rPr>
        <w:t>Carletti</w:t>
      </w:r>
      <w:proofErr w:type="spellEnd"/>
      <w:r w:rsidRPr="00CF3CC4">
        <w:rPr>
          <w:rFonts w:cs="Times New Roman"/>
          <w:b w:val="0"/>
          <w:sz w:val="24"/>
          <w:szCs w:val="24"/>
        </w:rPr>
        <w:t xml:space="preserve"> E, </w:t>
      </w:r>
      <w:proofErr w:type="spellStart"/>
      <w:r w:rsidRPr="00CF3CC4">
        <w:rPr>
          <w:rFonts w:cs="Times New Roman"/>
          <w:b w:val="0"/>
          <w:sz w:val="24"/>
          <w:szCs w:val="24"/>
        </w:rPr>
        <w:t>Ongena</w:t>
      </w:r>
      <w:proofErr w:type="spellEnd"/>
      <w:r w:rsidRPr="00CF3CC4">
        <w:rPr>
          <w:rFonts w:cs="Times New Roman"/>
          <w:b w:val="0"/>
          <w:sz w:val="24"/>
          <w:szCs w:val="24"/>
        </w:rPr>
        <w:t xml:space="preserve"> S and </w:t>
      </w:r>
      <w:proofErr w:type="spellStart"/>
      <w:r w:rsidRPr="00CF3CC4">
        <w:rPr>
          <w:rFonts w:cs="Times New Roman"/>
          <w:b w:val="0"/>
          <w:sz w:val="24"/>
          <w:szCs w:val="24"/>
        </w:rPr>
        <w:t>Siedlarek</w:t>
      </w:r>
      <w:proofErr w:type="spellEnd"/>
      <w:r w:rsidRPr="00CF3CC4">
        <w:rPr>
          <w:rFonts w:cs="Times New Roman"/>
          <w:b w:val="0"/>
          <w:sz w:val="24"/>
          <w:szCs w:val="24"/>
        </w:rPr>
        <w:t xml:space="preserve"> J, ‘The impacts of stricter merger legislation on bank mergers and acquisitions: Too-Big-To-Fail and competition’ Centre for Economic Policy Research, Financial Economics and Industrial </w:t>
      </w:r>
      <w:proofErr w:type="spellStart"/>
      <w:r w:rsidRPr="00CF3CC4">
        <w:rPr>
          <w:rFonts w:cs="Times New Roman"/>
          <w:b w:val="0"/>
          <w:sz w:val="24"/>
          <w:szCs w:val="24"/>
        </w:rPr>
        <w:t>Organisation</w:t>
      </w:r>
      <w:proofErr w:type="spellEnd"/>
      <w:r w:rsidRPr="00CF3CC4">
        <w:rPr>
          <w:rFonts w:cs="Times New Roman"/>
          <w:b w:val="0"/>
          <w:sz w:val="24"/>
          <w:szCs w:val="24"/>
        </w:rPr>
        <w:t xml:space="preserve"> Discussion Paper DP 14449, 2020.</w:t>
      </w:r>
    </w:p>
    <w:p w14:paraId="5AC21273" w14:textId="77777777" w:rsidR="007B3ADB" w:rsidRPr="00CF3CC4" w:rsidRDefault="007B3ADB" w:rsidP="00CF3CC4">
      <w:pPr>
        <w:pStyle w:val="FootnoteText"/>
        <w:numPr>
          <w:ilvl w:val="0"/>
          <w:numId w:val="15"/>
        </w:numPr>
        <w:spacing w:line="360" w:lineRule="auto"/>
        <w:rPr>
          <w:rFonts w:cs="Times New Roman"/>
          <w:b w:val="0"/>
          <w:sz w:val="24"/>
          <w:szCs w:val="24"/>
        </w:rPr>
      </w:pPr>
      <w:proofErr w:type="spellStart"/>
      <w:r w:rsidRPr="00CF3CC4">
        <w:rPr>
          <w:rFonts w:cs="Times New Roman"/>
          <w:b w:val="0"/>
          <w:sz w:val="24"/>
          <w:szCs w:val="24"/>
        </w:rPr>
        <w:t>Tyce</w:t>
      </w:r>
      <w:proofErr w:type="spellEnd"/>
      <w:r w:rsidRPr="00CF3CC4">
        <w:rPr>
          <w:rFonts w:cs="Times New Roman"/>
          <w:b w:val="0"/>
          <w:sz w:val="24"/>
          <w:szCs w:val="24"/>
        </w:rPr>
        <w:t xml:space="preserve"> M ‘The Politics of Central Banking in Kenya: Balancing Political and Development </w:t>
      </w:r>
      <w:r w:rsidRPr="00CF3CC4">
        <w:rPr>
          <w:rFonts w:cs="Times New Roman"/>
          <w:b w:val="0"/>
          <w:sz w:val="24"/>
          <w:szCs w:val="24"/>
        </w:rPr>
        <w:lastRenderedPageBreak/>
        <w:t>Interest’ Manchester: Effective States and Inclusive Development Research Center, ESID Working Paper 130, 2020.</w:t>
      </w:r>
    </w:p>
    <w:p w14:paraId="24FA4C80" w14:textId="77777777" w:rsidR="002E5F4B" w:rsidRPr="00CF3CC4" w:rsidRDefault="002E5F4B" w:rsidP="00CF3CC4">
      <w:pPr>
        <w:pStyle w:val="FootnoteText"/>
        <w:spacing w:line="360" w:lineRule="auto"/>
        <w:rPr>
          <w:rFonts w:cs="Times New Roman"/>
          <w:b w:val="0"/>
          <w:sz w:val="24"/>
          <w:szCs w:val="24"/>
        </w:rPr>
      </w:pPr>
    </w:p>
    <w:p w14:paraId="06F1A1E3" w14:textId="77777777" w:rsidR="00FF0CD4" w:rsidRPr="00CF3CC4" w:rsidRDefault="006354DD" w:rsidP="00CF3CC4">
      <w:pPr>
        <w:pStyle w:val="Heading2"/>
        <w:numPr>
          <w:ilvl w:val="1"/>
          <w:numId w:val="18"/>
        </w:numPr>
        <w:jc w:val="both"/>
        <w:rPr>
          <w:rFonts w:cs="Times New Roman"/>
          <w:szCs w:val="24"/>
        </w:rPr>
      </w:pPr>
      <w:r w:rsidRPr="00CF3CC4">
        <w:rPr>
          <w:rFonts w:cs="Times New Roman"/>
          <w:szCs w:val="24"/>
        </w:rPr>
        <w:t xml:space="preserve">     </w:t>
      </w:r>
      <w:bookmarkStart w:id="62" w:name="_Toc62552919"/>
      <w:r w:rsidR="00FF0CD4" w:rsidRPr="00CF3CC4">
        <w:rPr>
          <w:rFonts w:cs="Times New Roman"/>
          <w:szCs w:val="24"/>
        </w:rPr>
        <w:t>REPORTS AND DISSERTATIONS</w:t>
      </w:r>
      <w:bookmarkEnd w:id="62"/>
      <w:r w:rsidR="00FF0CD4" w:rsidRPr="00CF3CC4">
        <w:rPr>
          <w:rFonts w:cs="Times New Roman"/>
          <w:szCs w:val="24"/>
        </w:rPr>
        <w:t xml:space="preserve"> </w:t>
      </w:r>
    </w:p>
    <w:p w14:paraId="46999B4A" w14:textId="0F652649" w:rsidR="006A35E3" w:rsidRPr="00CF3CC4" w:rsidRDefault="006A35E3" w:rsidP="00B80328">
      <w:pPr>
        <w:pStyle w:val="ListParagraph"/>
        <w:numPr>
          <w:ilvl w:val="0"/>
          <w:numId w:val="42"/>
        </w:numPr>
        <w:spacing w:line="360" w:lineRule="auto"/>
      </w:pPr>
      <w:proofErr w:type="spellStart"/>
      <w:r w:rsidRPr="00CF3CC4">
        <w:t>Nanyama</w:t>
      </w:r>
      <w:proofErr w:type="spellEnd"/>
      <w:r w:rsidRPr="00CF3CC4">
        <w:t xml:space="preserve"> M.M, ‘Evaluating the Legal Framework Governing Mergers and Acquisitions of Commercial Banks in Kenya,’ Unpublished LLM Thesis, Universi</w:t>
      </w:r>
      <w:r w:rsidR="00305B25" w:rsidRPr="00CF3CC4">
        <w:t>ty of Nairobi, Nairobi, 2017</w:t>
      </w:r>
      <w:r w:rsidRPr="00CF3CC4">
        <w:t>.</w:t>
      </w:r>
    </w:p>
    <w:p w14:paraId="26844834" w14:textId="20BA36F8" w:rsidR="006A35E3" w:rsidRPr="00CF3CC4" w:rsidRDefault="006A35E3" w:rsidP="00CF3CC4">
      <w:pPr>
        <w:spacing w:line="360" w:lineRule="auto"/>
        <w:ind w:left="360"/>
        <w:rPr>
          <w:rFonts w:cs="Times New Roman"/>
          <w:szCs w:val="24"/>
        </w:rPr>
      </w:pPr>
    </w:p>
    <w:p w14:paraId="082636ED" w14:textId="0926F50A" w:rsidR="00040DAD" w:rsidRPr="00CF3CC4" w:rsidRDefault="00FF0CD4" w:rsidP="00CF3CC4">
      <w:pPr>
        <w:pStyle w:val="Heading2"/>
        <w:numPr>
          <w:ilvl w:val="1"/>
          <w:numId w:val="18"/>
        </w:numPr>
        <w:jc w:val="both"/>
        <w:rPr>
          <w:rFonts w:cs="Times New Roman"/>
          <w:szCs w:val="24"/>
        </w:rPr>
      </w:pPr>
      <w:r w:rsidRPr="00CF3CC4">
        <w:rPr>
          <w:rFonts w:cs="Times New Roman"/>
          <w:szCs w:val="24"/>
        </w:rPr>
        <w:t xml:space="preserve">      </w:t>
      </w:r>
      <w:bookmarkStart w:id="63" w:name="_Toc62552920"/>
      <w:r w:rsidRPr="00CF3CC4">
        <w:rPr>
          <w:rFonts w:cs="Times New Roman"/>
          <w:szCs w:val="24"/>
        </w:rPr>
        <w:t>INSTITUTIONAL AUTHORS</w:t>
      </w:r>
      <w:bookmarkEnd w:id="63"/>
    </w:p>
    <w:p w14:paraId="26467C4E" w14:textId="77777777" w:rsidR="007B3ADB" w:rsidRPr="00CF3CC4" w:rsidRDefault="007B3ADB" w:rsidP="00CF3CC4">
      <w:pPr>
        <w:pStyle w:val="ListParagraph"/>
        <w:numPr>
          <w:ilvl w:val="0"/>
          <w:numId w:val="11"/>
        </w:numPr>
        <w:spacing w:line="360" w:lineRule="auto"/>
        <w:rPr>
          <w:rFonts w:cs="Times New Roman"/>
          <w:szCs w:val="24"/>
        </w:rPr>
      </w:pPr>
      <w:r w:rsidRPr="00CF3CC4">
        <w:rPr>
          <w:rFonts w:cs="Times New Roman"/>
          <w:color w:val="000000"/>
          <w:szCs w:val="24"/>
        </w:rPr>
        <w:t>Central Bank of Kenya, ‘</w:t>
      </w:r>
      <w:r w:rsidRPr="00CF3CC4">
        <w:rPr>
          <w:rFonts w:cs="Times New Roman"/>
          <w:iCs/>
          <w:color w:val="000000"/>
          <w:szCs w:val="24"/>
        </w:rPr>
        <w:t>Press Release- Merger of Commercial Bank of Africa Limited and NIC Group PLC’</w:t>
      </w:r>
      <w:r w:rsidRPr="00CF3CC4">
        <w:rPr>
          <w:rFonts w:cs="Times New Roman"/>
          <w:color w:val="000000"/>
          <w:szCs w:val="24"/>
        </w:rPr>
        <w:t xml:space="preserve"> 2019.</w:t>
      </w:r>
    </w:p>
    <w:p w14:paraId="791B86BD" w14:textId="77777777" w:rsidR="007B3ADB" w:rsidRPr="00CF3CC4" w:rsidRDefault="007B3ADB" w:rsidP="00CF3CC4">
      <w:pPr>
        <w:pStyle w:val="NormalWeb"/>
        <w:numPr>
          <w:ilvl w:val="0"/>
          <w:numId w:val="11"/>
        </w:numPr>
        <w:spacing w:line="360" w:lineRule="auto"/>
        <w:rPr>
          <w:b w:val="0"/>
        </w:rPr>
      </w:pPr>
      <w:r w:rsidRPr="00CF3CC4">
        <w:rPr>
          <w:b w:val="0"/>
          <w:color w:val="000000"/>
        </w:rPr>
        <w:t xml:space="preserve">Competition Authority of Kenya, </w:t>
      </w:r>
      <w:r w:rsidRPr="00CF3CC4">
        <w:rPr>
          <w:b w:val="0"/>
          <w:i/>
          <w:iCs/>
          <w:color w:val="000000"/>
        </w:rPr>
        <w:t>‘</w:t>
      </w:r>
      <w:r w:rsidRPr="00CF3CC4">
        <w:rPr>
          <w:b w:val="0"/>
          <w:iCs/>
          <w:color w:val="000000"/>
        </w:rPr>
        <w:t>The Proposed Merger Between Commercial Bank of Africa Limited and NIC Group PLC’</w:t>
      </w:r>
      <w:r w:rsidRPr="00CF3CC4">
        <w:rPr>
          <w:b w:val="0"/>
          <w:color w:val="000000"/>
        </w:rPr>
        <w:t xml:space="preserve"> 2019.</w:t>
      </w:r>
    </w:p>
    <w:p w14:paraId="300CE8A9" w14:textId="77777777" w:rsidR="007B3ADB" w:rsidRPr="00CF3CC4" w:rsidRDefault="007B3ADB" w:rsidP="00CF3CC4">
      <w:pPr>
        <w:pStyle w:val="ListParagraph"/>
        <w:numPr>
          <w:ilvl w:val="0"/>
          <w:numId w:val="11"/>
        </w:numPr>
        <w:spacing w:line="360" w:lineRule="auto"/>
        <w:rPr>
          <w:rFonts w:cs="Times New Roman"/>
          <w:szCs w:val="24"/>
        </w:rPr>
      </w:pPr>
      <w:r w:rsidRPr="00CF3CC4">
        <w:rPr>
          <w:rFonts w:cs="Times New Roman"/>
          <w:szCs w:val="24"/>
        </w:rPr>
        <w:t>FSD Kenya, Kenya’s Financial Transformation, 2015.</w:t>
      </w:r>
    </w:p>
    <w:p w14:paraId="0722AF2F" w14:textId="77777777" w:rsidR="00E02CE3" w:rsidRPr="00CF3CC4" w:rsidRDefault="00E02CE3" w:rsidP="00CF3CC4">
      <w:pPr>
        <w:pStyle w:val="ListParagraph"/>
        <w:spacing w:line="360" w:lineRule="auto"/>
        <w:rPr>
          <w:rFonts w:cs="Times New Roman"/>
          <w:szCs w:val="24"/>
        </w:rPr>
      </w:pPr>
    </w:p>
    <w:p w14:paraId="2EAD6AD7" w14:textId="2558CBB5" w:rsidR="00E02CE3" w:rsidRPr="00CF3CC4" w:rsidRDefault="00D40D93" w:rsidP="00CF3CC4">
      <w:pPr>
        <w:pStyle w:val="Heading2"/>
        <w:numPr>
          <w:ilvl w:val="1"/>
          <w:numId w:val="18"/>
        </w:numPr>
        <w:jc w:val="both"/>
        <w:rPr>
          <w:rFonts w:cs="Times New Roman"/>
          <w:szCs w:val="24"/>
        </w:rPr>
      </w:pPr>
      <w:r w:rsidRPr="00CF3CC4">
        <w:rPr>
          <w:rFonts w:cs="Times New Roman"/>
          <w:szCs w:val="24"/>
        </w:rPr>
        <w:t xml:space="preserve">      </w:t>
      </w:r>
      <w:bookmarkStart w:id="64" w:name="_Toc62552921"/>
      <w:r w:rsidR="00FF0CD4" w:rsidRPr="00CF3CC4">
        <w:rPr>
          <w:rFonts w:cs="Times New Roman"/>
          <w:szCs w:val="24"/>
        </w:rPr>
        <w:t>NEWSPAPERS</w:t>
      </w:r>
      <w:bookmarkEnd w:id="64"/>
    </w:p>
    <w:p w14:paraId="456A8288" w14:textId="77777777" w:rsidR="007B3ADB" w:rsidRPr="00CF3CC4" w:rsidRDefault="007B3ADB" w:rsidP="00CF3CC4">
      <w:pPr>
        <w:pStyle w:val="FootnoteText"/>
        <w:numPr>
          <w:ilvl w:val="0"/>
          <w:numId w:val="27"/>
        </w:numPr>
        <w:spacing w:line="360" w:lineRule="auto"/>
        <w:rPr>
          <w:rFonts w:cs="Times New Roman"/>
          <w:b w:val="0"/>
          <w:sz w:val="24"/>
          <w:szCs w:val="24"/>
        </w:rPr>
      </w:pPr>
      <w:proofErr w:type="spellStart"/>
      <w:r w:rsidRPr="00CF3CC4">
        <w:rPr>
          <w:rFonts w:cs="Times New Roman"/>
          <w:b w:val="0"/>
          <w:sz w:val="24"/>
          <w:szCs w:val="24"/>
        </w:rPr>
        <w:t>Buiter</w:t>
      </w:r>
      <w:proofErr w:type="spellEnd"/>
      <w:r w:rsidRPr="00CF3CC4">
        <w:rPr>
          <w:rFonts w:cs="Times New Roman"/>
          <w:b w:val="0"/>
          <w:sz w:val="24"/>
          <w:szCs w:val="24"/>
        </w:rPr>
        <w:t xml:space="preserve"> W, ‘Too big to fail is too big,’ The Financial Times</w:t>
      </w:r>
      <w:r w:rsidRPr="00CF3CC4">
        <w:rPr>
          <w:rFonts w:cs="Times New Roman"/>
          <w:b w:val="0"/>
          <w:i/>
          <w:sz w:val="24"/>
          <w:szCs w:val="24"/>
        </w:rPr>
        <w:t xml:space="preserve">, </w:t>
      </w:r>
      <w:r w:rsidRPr="00CF3CC4">
        <w:rPr>
          <w:rFonts w:cs="Times New Roman"/>
          <w:b w:val="0"/>
          <w:sz w:val="24"/>
          <w:szCs w:val="24"/>
        </w:rPr>
        <w:t>24 June 2009</w:t>
      </w:r>
      <w:r>
        <w:rPr>
          <w:rFonts w:cs="Times New Roman"/>
          <w:b w:val="0"/>
          <w:sz w:val="24"/>
          <w:szCs w:val="24"/>
        </w:rPr>
        <w:t>.</w:t>
      </w:r>
    </w:p>
    <w:p w14:paraId="221E6955" w14:textId="77777777" w:rsidR="007B3ADB" w:rsidRPr="00CF3CC4" w:rsidRDefault="007B3ADB" w:rsidP="00CF3CC4">
      <w:pPr>
        <w:pStyle w:val="ListParagraph"/>
        <w:numPr>
          <w:ilvl w:val="0"/>
          <w:numId w:val="27"/>
        </w:numPr>
        <w:spacing w:line="360" w:lineRule="auto"/>
        <w:rPr>
          <w:rFonts w:cs="Times New Roman"/>
          <w:szCs w:val="24"/>
        </w:rPr>
      </w:pPr>
      <w:r w:rsidRPr="00CF3CC4">
        <w:rPr>
          <w:rFonts w:cs="Times New Roman"/>
          <w:szCs w:val="24"/>
        </w:rPr>
        <w:t>Friedman M, ‘A Friedman doctrine: The Social Responsibility of Business is to increase its profits’ The New York Times, 13 September 1970.</w:t>
      </w:r>
    </w:p>
    <w:p w14:paraId="03BBB820" w14:textId="77777777" w:rsidR="007B3ADB" w:rsidRPr="00CF3CC4" w:rsidRDefault="007B3ADB" w:rsidP="00CF3CC4">
      <w:pPr>
        <w:pStyle w:val="ListParagraph"/>
        <w:numPr>
          <w:ilvl w:val="0"/>
          <w:numId w:val="27"/>
        </w:numPr>
        <w:spacing w:line="360" w:lineRule="auto"/>
        <w:rPr>
          <w:rFonts w:cs="Times New Roman"/>
          <w:color w:val="000000"/>
          <w:szCs w:val="24"/>
        </w:rPr>
      </w:pPr>
      <w:proofErr w:type="spellStart"/>
      <w:r w:rsidRPr="00CF3CC4">
        <w:rPr>
          <w:rFonts w:cs="Times New Roman"/>
          <w:szCs w:val="24"/>
        </w:rPr>
        <w:t>Gakii</w:t>
      </w:r>
      <w:proofErr w:type="spellEnd"/>
      <w:r w:rsidRPr="00CF3CC4">
        <w:rPr>
          <w:rFonts w:cs="Times New Roman"/>
          <w:szCs w:val="24"/>
        </w:rPr>
        <w:t xml:space="preserve"> M ‘Staff cushioned for one year in CBA-NIC merger’ The Star, 14</w:t>
      </w:r>
      <w:r w:rsidRPr="00CF3CC4">
        <w:rPr>
          <w:rFonts w:cs="Times New Roman"/>
          <w:szCs w:val="24"/>
          <w:vertAlign w:val="superscript"/>
        </w:rPr>
        <w:t>th</w:t>
      </w:r>
      <w:r w:rsidRPr="00CF3CC4">
        <w:rPr>
          <w:rFonts w:cs="Times New Roman"/>
          <w:szCs w:val="24"/>
        </w:rPr>
        <w:t xml:space="preserve"> May 2019.</w:t>
      </w:r>
    </w:p>
    <w:p w14:paraId="539359B9" w14:textId="77777777" w:rsidR="007B3ADB" w:rsidRPr="00CF3CC4" w:rsidRDefault="007B3ADB" w:rsidP="00CF3CC4">
      <w:pPr>
        <w:pStyle w:val="ListParagraph"/>
        <w:numPr>
          <w:ilvl w:val="0"/>
          <w:numId w:val="27"/>
        </w:numPr>
        <w:spacing w:line="360" w:lineRule="auto"/>
        <w:rPr>
          <w:rFonts w:cs="Times New Roman"/>
          <w:szCs w:val="24"/>
        </w:rPr>
      </w:pPr>
      <w:proofErr w:type="spellStart"/>
      <w:r w:rsidRPr="00CF3CC4">
        <w:rPr>
          <w:rFonts w:cs="Times New Roman"/>
          <w:szCs w:val="24"/>
        </w:rPr>
        <w:t>Juma</w:t>
      </w:r>
      <w:proofErr w:type="spellEnd"/>
      <w:r w:rsidRPr="00CF3CC4">
        <w:rPr>
          <w:rFonts w:cs="Times New Roman"/>
          <w:szCs w:val="24"/>
        </w:rPr>
        <w:t xml:space="preserve"> V, ‘The top shareholders in CBA-NIC bank merger’ Business Daily, 12</w:t>
      </w:r>
      <w:r w:rsidRPr="00CF3CC4">
        <w:rPr>
          <w:rFonts w:cs="Times New Roman"/>
          <w:szCs w:val="24"/>
          <w:vertAlign w:val="superscript"/>
        </w:rPr>
        <w:t>th</w:t>
      </w:r>
      <w:r w:rsidRPr="00CF3CC4">
        <w:rPr>
          <w:rFonts w:cs="Times New Roman"/>
          <w:szCs w:val="24"/>
        </w:rPr>
        <w:t xml:space="preserve"> February 2019.</w:t>
      </w:r>
    </w:p>
    <w:p w14:paraId="56E5ED97" w14:textId="77777777" w:rsidR="007B3ADB" w:rsidRPr="00CF3CC4" w:rsidRDefault="007B3ADB" w:rsidP="00CF3CC4">
      <w:pPr>
        <w:pStyle w:val="ListParagraph"/>
        <w:numPr>
          <w:ilvl w:val="0"/>
          <w:numId w:val="27"/>
        </w:numPr>
        <w:spacing w:line="360" w:lineRule="auto"/>
        <w:rPr>
          <w:rFonts w:cs="Times New Roman"/>
          <w:color w:val="000000"/>
          <w:szCs w:val="24"/>
        </w:rPr>
      </w:pPr>
      <w:proofErr w:type="spellStart"/>
      <w:r w:rsidRPr="00CF3CC4">
        <w:rPr>
          <w:rFonts w:cs="Times New Roman"/>
          <w:szCs w:val="24"/>
        </w:rPr>
        <w:t>Juma</w:t>
      </w:r>
      <w:proofErr w:type="spellEnd"/>
      <w:r w:rsidRPr="00CF3CC4">
        <w:rPr>
          <w:rFonts w:cs="Times New Roman"/>
          <w:szCs w:val="24"/>
        </w:rPr>
        <w:t xml:space="preserve"> V, ‘The top shareholders in CBA-NIC bank merger’ Business Daily, 12</w:t>
      </w:r>
      <w:r w:rsidRPr="00CF3CC4">
        <w:rPr>
          <w:rFonts w:cs="Times New Roman"/>
          <w:szCs w:val="24"/>
          <w:vertAlign w:val="superscript"/>
        </w:rPr>
        <w:t>th</w:t>
      </w:r>
      <w:r w:rsidRPr="00CF3CC4">
        <w:rPr>
          <w:rFonts w:cs="Times New Roman"/>
          <w:szCs w:val="24"/>
        </w:rPr>
        <w:t xml:space="preserve"> February 2019</w:t>
      </w:r>
      <w:r>
        <w:rPr>
          <w:rFonts w:cs="Times New Roman"/>
          <w:szCs w:val="24"/>
        </w:rPr>
        <w:t>.</w:t>
      </w:r>
    </w:p>
    <w:p w14:paraId="4DD89C76" w14:textId="77777777" w:rsidR="007B3ADB" w:rsidRPr="00CF3CC4" w:rsidRDefault="007B3ADB" w:rsidP="00CF3CC4">
      <w:pPr>
        <w:pStyle w:val="ListParagraph"/>
        <w:numPr>
          <w:ilvl w:val="0"/>
          <w:numId w:val="27"/>
        </w:numPr>
        <w:spacing w:line="360" w:lineRule="auto"/>
        <w:rPr>
          <w:rFonts w:cs="Times New Roman"/>
          <w:color w:val="000000"/>
          <w:szCs w:val="24"/>
        </w:rPr>
      </w:pPr>
      <w:proofErr w:type="spellStart"/>
      <w:r w:rsidRPr="00CF3CC4">
        <w:rPr>
          <w:rFonts w:cs="Times New Roman"/>
          <w:szCs w:val="24"/>
        </w:rPr>
        <w:t>Mutai</w:t>
      </w:r>
      <w:proofErr w:type="spellEnd"/>
      <w:r w:rsidRPr="00CF3CC4">
        <w:rPr>
          <w:rFonts w:cs="Times New Roman"/>
          <w:szCs w:val="24"/>
        </w:rPr>
        <w:t xml:space="preserve"> E, ‘Kenya’s debt repayment down KES 199 billion on cheaper loans’ Business Daily, 28 October 2020.</w:t>
      </w:r>
    </w:p>
    <w:p w14:paraId="09F73635" w14:textId="77777777" w:rsidR="007B3ADB" w:rsidRPr="00CF3CC4" w:rsidRDefault="007B3ADB" w:rsidP="00CF3CC4">
      <w:pPr>
        <w:pStyle w:val="ListParagraph"/>
        <w:numPr>
          <w:ilvl w:val="0"/>
          <w:numId w:val="27"/>
        </w:numPr>
        <w:spacing w:line="360" w:lineRule="auto"/>
        <w:rPr>
          <w:rFonts w:cs="Times New Roman"/>
          <w:color w:val="000000"/>
          <w:szCs w:val="24"/>
        </w:rPr>
      </w:pPr>
      <w:proofErr w:type="spellStart"/>
      <w:r w:rsidRPr="00CF3CC4">
        <w:rPr>
          <w:rFonts w:cs="Times New Roman"/>
          <w:color w:val="000000"/>
          <w:szCs w:val="24"/>
        </w:rPr>
        <w:t>Otuki</w:t>
      </w:r>
      <w:proofErr w:type="spellEnd"/>
      <w:r w:rsidRPr="00CF3CC4">
        <w:rPr>
          <w:rFonts w:cs="Times New Roman"/>
          <w:color w:val="000000"/>
          <w:szCs w:val="24"/>
        </w:rPr>
        <w:t xml:space="preserve"> N, ‘NIC and CBA Merger’ Daily Nation 2 October 2019.</w:t>
      </w:r>
    </w:p>
    <w:p w14:paraId="6BE752D6" w14:textId="77777777" w:rsidR="007B3ADB" w:rsidRPr="00CF3CC4" w:rsidRDefault="007B3ADB" w:rsidP="00CF3CC4">
      <w:pPr>
        <w:pStyle w:val="ListParagraph"/>
        <w:numPr>
          <w:ilvl w:val="0"/>
          <w:numId w:val="27"/>
        </w:numPr>
        <w:spacing w:line="360" w:lineRule="auto"/>
        <w:rPr>
          <w:rFonts w:cs="Times New Roman"/>
          <w:color w:val="000000"/>
          <w:szCs w:val="24"/>
        </w:rPr>
      </w:pPr>
      <w:proofErr w:type="spellStart"/>
      <w:r w:rsidRPr="00CF3CC4">
        <w:rPr>
          <w:rFonts w:cs="Times New Roman"/>
          <w:szCs w:val="24"/>
        </w:rPr>
        <w:t>O</w:t>
      </w:r>
      <w:r w:rsidRPr="00CF3CC4">
        <w:rPr>
          <w:rFonts w:cs="Times New Roman"/>
          <w:color w:val="000000"/>
          <w:szCs w:val="24"/>
        </w:rPr>
        <w:t>uma</w:t>
      </w:r>
      <w:proofErr w:type="spellEnd"/>
      <w:r w:rsidRPr="00CF3CC4">
        <w:rPr>
          <w:rFonts w:cs="Times New Roman"/>
          <w:color w:val="000000"/>
          <w:szCs w:val="24"/>
        </w:rPr>
        <w:t xml:space="preserve"> P, ‘Increasing Bank Mergers’ Business Daily, 15 August 2019.</w:t>
      </w:r>
    </w:p>
    <w:p w14:paraId="2461D5CD" w14:textId="77777777" w:rsidR="007B3ADB" w:rsidRPr="00CF3CC4" w:rsidRDefault="007B3ADB" w:rsidP="00CF3CC4">
      <w:pPr>
        <w:pStyle w:val="FootnoteText"/>
        <w:numPr>
          <w:ilvl w:val="0"/>
          <w:numId w:val="27"/>
        </w:numPr>
        <w:spacing w:line="360" w:lineRule="auto"/>
        <w:rPr>
          <w:rFonts w:cs="Times New Roman"/>
          <w:b w:val="0"/>
          <w:sz w:val="24"/>
          <w:szCs w:val="24"/>
        </w:rPr>
      </w:pPr>
      <w:r w:rsidRPr="00CF3CC4">
        <w:rPr>
          <w:rFonts w:cs="Times New Roman"/>
          <w:b w:val="0"/>
          <w:sz w:val="24"/>
          <w:szCs w:val="24"/>
        </w:rPr>
        <w:t>R. Harding, ‘Problems of banks seen as too big to fail still unsolved’, Financial Times, 2014.</w:t>
      </w:r>
    </w:p>
    <w:p w14:paraId="0C7F9AE7" w14:textId="77777777" w:rsidR="00305B25" w:rsidRPr="00305B25" w:rsidRDefault="00305B25" w:rsidP="00305B25">
      <w:pPr>
        <w:pStyle w:val="FootnoteText"/>
        <w:spacing w:line="360" w:lineRule="auto"/>
        <w:ind w:left="720"/>
        <w:rPr>
          <w:rFonts w:cs="Times New Roman"/>
          <w:b w:val="0"/>
          <w:sz w:val="24"/>
          <w:szCs w:val="24"/>
        </w:rPr>
      </w:pPr>
    </w:p>
    <w:p w14:paraId="2CEABD1B" w14:textId="535FF525" w:rsidR="00AB4544" w:rsidRPr="00E02CE3" w:rsidRDefault="00FF0CD4" w:rsidP="00FF0CD4">
      <w:pPr>
        <w:pStyle w:val="Heading2"/>
        <w:numPr>
          <w:ilvl w:val="1"/>
          <w:numId w:val="18"/>
        </w:numPr>
        <w:jc w:val="both"/>
        <w:rPr>
          <w:rFonts w:cs="Times New Roman"/>
          <w:szCs w:val="24"/>
        </w:rPr>
      </w:pPr>
      <w:r w:rsidRPr="00E02CE3">
        <w:rPr>
          <w:rFonts w:cs="Times New Roman"/>
          <w:szCs w:val="24"/>
        </w:rPr>
        <w:lastRenderedPageBreak/>
        <w:t xml:space="preserve">     </w:t>
      </w:r>
      <w:bookmarkStart w:id="65" w:name="_Toc62552922"/>
      <w:r w:rsidRPr="00E02CE3">
        <w:rPr>
          <w:rFonts w:cs="Times New Roman"/>
          <w:szCs w:val="24"/>
        </w:rPr>
        <w:t>ONLINE SOURCES AND ONLINE PRINT</w:t>
      </w:r>
      <w:bookmarkEnd w:id="65"/>
    </w:p>
    <w:p w14:paraId="19921354" w14:textId="77777777" w:rsidR="007B3ADB" w:rsidRPr="00E02CE3" w:rsidRDefault="007B3ADB" w:rsidP="00FF0CD4">
      <w:pPr>
        <w:pStyle w:val="ListParagraph"/>
        <w:numPr>
          <w:ilvl w:val="1"/>
          <w:numId w:val="20"/>
        </w:numPr>
        <w:spacing w:line="360" w:lineRule="auto"/>
        <w:rPr>
          <w:rFonts w:cs="Times New Roman"/>
          <w:szCs w:val="24"/>
        </w:rPr>
      </w:pPr>
      <w:r w:rsidRPr="00E02CE3">
        <w:rPr>
          <w:rFonts w:cs="Times New Roman"/>
          <w:szCs w:val="24"/>
        </w:rPr>
        <w:t xml:space="preserve">Central Bank of Kenya ‘Mergers &amp; Acquisitions’ Central Bank of Kenya, </w:t>
      </w:r>
      <w:proofErr w:type="spellStart"/>
      <w:r w:rsidRPr="00E02CE3">
        <w:rPr>
          <w:rFonts w:cs="Times New Roman"/>
          <w:szCs w:val="24"/>
        </w:rPr>
        <w:t>n.d.</w:t>
      </w:r>
      <w:proofErr w:type="spellEnd"/>
      <w:r w:rsidRPr="00E02CE3">
        <w:rPr>
          <w:rFonts w:cs="Times New Roman"/>
          <w:szCs w:val="24"/>
        </w:rPr>
        <w:t xml:space="preserve"> </w:t>
      </w:r>
      <w:hyperlink r:id="rId28" w:history="1">
        <w:r w:rsidRPr="00E02CE3">
          <w:rPr>
            <w:rStyle w:val="Hyperlink"/>
            <w:rFonts w:cs="Times New Roman"/>
            <w:szCs w:val="24"/>
          </w:rPr>
          <w:t>https://www.centralbank.go.ke/commercial-banks/mergers-and-acquisitions/</w:t>
        </w:r>
      </w:hyperlink>
      <w:r w:rsidRPr="00E02CE3">
        <w:rPr>
          <w:rFonts w:cs="Times New Roman"/>
          <w:szCs w:val="24"/>
        </w:rPr>
        <w:t xml:space="preserve"> on 4</w:t>
      </w:r>
      <w:r w:rsidRPr="00E02CE3">
        <w:rPr>
          <w:rFonts w:cs="Times New Roman"/>
          <w:szCs w:val="24"/>
          <w:vertAlign w:val="superscript"/>
        </w:rPr>
        <w:t>th</w:t>
      </w:r>
      <w:r w:rsidRPr="00E02CE3">
        <w:rPr>
          <w:rFonts w:cs="Times New Roman"/>
          <w:szCs w:val="24"/>
        </w:rPr>
        <w:t xml:space="preserve"> December 2020.</w:t>
      </w:r>
    </w:p>
    <w:p w14:paraId="13FC3D6F" w14:textId="77777777" w:rsidR="007B3ADB" w:rsidRPr="00E02CE3" w:rsidRDefault="007B3ADB" w:rsidP="00FF0CD4">
      <w:pPr>
        <w:pStyle w:val="ListParagraph"/>
        <w:numPr>
          <w:ilvl w:val="1"/>
          <w:numId w:val="20"/>
        </w:numPr>
        <w:spacing w:line="360" w:lineRule="auto"/>
        <w:rPr>
          <w:rFonts w:cs="Times New Roman"/>
          <w:szCs w:val="24"/>
        </w:rPr>
      </w:pPr>
      <w:proofErr w:type="spellStart"/>
      <w:r w:rsidRPr="00E02CE3">
        <w:rPr>
          <w:rFonts w:cs="Times New Roman"/>
          <w:color w:val="000000"/>
          <w:szCs w:val="24"/>
        </w:rPr>
        <w:t>Ilako</w:t>
      </w:r>
      <w:proofErr w:type="spellEnd"/>
      <w:r w:rsidRPr="00E02CE3">
        <w:rPr>
          <w:rFonts w:cs="Times New Roman"/>
          <w:color w:val="000000"/>
          <w:szCs w:val="24"/>
        </w:rPr>
        <w:t xml:space="preserve"> C, ‘CBK, Treasury Greenlight CBA-NIC Merger’ Star Newspaper, 29 September 2019 - &lt; </w:t>
      </w:r>
      <w:hyperlink r:id="rId29" w:history="1">
        <w:r w:rsidRPr="00E02CE3">
          <w:rPr>
            <w:rFonts w:cs="Times New Roman"/>
            <w:color w:val="1155CC"/>
            <w:szCs w:val="24"/>
            <w:u w:val="single"/>
          </w:rPr>
          <w:t>https://www.the-star.co.ke/business/kenya/2019-09-29-cbk-treasury-green-light-cba-nic-merger/</w:t>
        </w:r>
      </w:hyperlink>
      <w:r w:rsidRPr="00E02CE3">
        <w:rPr>
          <w:rFonts w:cs="Times New Roman"/>
          <w:color w:val="000000"/>
          <w:szCs w:val="24"/>
        </w:rPr>
        <w:t xml:space="preserve"> &gt; on 11 February 2020.</w:t>
      </w:r>
    </w:p>
    <w:p w14:paraId="4ECD7C7A" w14:textId="77777777" w:rsidR="007B3ADB" w:rsidRDefault="007B3ADB" w:rsidP="00112E3D">
      <w:pPr>
        <w:pStyle w:val="ListParagraph"/>
        <w:numPr>
          <w:ilvl w:val="1"/>
          <w:numId w:val="20"/>
        </w:numPr>
        <w:spacing w:line="360" w:lineRule="auto"/>
        <w:rPr>
          <w:rFonts w:cs="Times New Roman"/>
          <w:color w:val="000000"/>
          <w:szCs w:val="24"/>
        </w:rPr>
      </w:pPr>
      <w:proofErr w:type="spellStart"/>
      <w:r w:rsidRPr="00E02CE3">
        <w:rPr>
          <w:rFonts w:cs="Times New Roman"/>
          <w:color w:val="000000"/>
          <w:szCs w:val="24"/>
        </w:rPr>
        <w:t>Indeje</w:t>
      </w:r>
      <w:proofErr w:type="spellEnd"/>
      <w:r w:rsidRPr="00E02CE3">
        <w:rPr>
          <w:rFonts w:cs="Times New Roman"/>
          <w:color w:val="000000"/>
          <w:szCs w:val="24"/>
        </w:rPr>
        <w:t xml:space="preserve"> D, ‘Central Bank of Kenya, Treasury Approves Name Change of NIC and CBA Following Bank Merger’ </w:t>
      </w:r>
      <w:proofErr w:type="spellStart"/>
      <w:r w:rsidRPr="00E02CE3">
        <w:rPr>
          <w:rFonts w:cs="Times New Roman"/>
          <w:color w:val="000000"/>
          <w:szCs w:val="24"/>
        </w:rPr>
        <w:t>Khusko</w:t>
      </w:r>
      <w:proofErr w:type="spellEnd"/>
      <w:r w:rsidRPr="00E02CE3">
        <w:rPr>
          <w:rFonts w:cs="Times New Roman"/>
          <w:color w:val="000000"/>
          <w:szCs w:val="24"/>
        </w:rPr>
        <w:t xml:space="preserve">, 27 September 2019, - &lt; </w:t>
      </w:r>
      <w:hyperlink r:id="rId30" w:history="1">
        <w:r w:rsidRPr="00E02CE3">
          <w:rPr>
            <w:rFonts w:cs="Times New Roman"/>
            <w:color w:val="1155CC"/>
            <w:szCs w:val="24"/>
            <w:u w:val="single"/>
          </w:rPr>
          <w:t>https://khusoko.com/2019/09/27/central-bank-of-kenya-treasury-approves-name-change-of-nic-and-cba-following-bank-merger/</w:t>
        </w:r>
      </w:hyperlink>
      <w:r w:rsidRPr="00E02CE3">
        <w:rPr>
          <w:rFonts w:cs="Times New Roman"/>
          <w:color w:val="000000"/>
          <w:szCs w:val="24"/>
        </w:rPr>
        <w:t xml:space="preserve"> &gt; on 12 February 2020.</w:t>
      </w:r>
    </w:p>
    <w:p w14:paraId="3C2D3427" w14:textId="77777777" w:rsidR="007B3ADB" w:rsidRPr="00E02CE3" w:rsidRDefault="007B3ADB" w:rsidP="00FF0CD4">
      <w:pPr>
        <w:pStyle w:val="ListParagraph"/>
        <w:numPr>
          <w:ilvl w:val="1"/>
          <w:numId w:val="20"/>
        </w:numPr>
        <w:spacing w:line="360" w:lineRule="auto"/>
        <w:rPr>
          <w:rFonts w:cs="Times New Roman"/>
          <w:szCs w:val="24"/>
        </w:rPr>
      </w:pPr>
      <w:proofErr w:type="spellStart"/>
      <w:r w:rsidRPr="00E02CE3">
        <w:rPr>
          <w:rFonts w:cs="Times New Roman"/>
          <w:szCs w:val="24"/>
        </w:rPr>
        <w:t>Kuwonu</w:t>
      </w:r>
      <w:proofErr w:type="spellEnd"/>
      <w:r w:rsidRPr="00E02CE3">
        <w:rPr>
          <w:rFonts w:cs="Times New Roman"/>
          <w:szCs w:val="24"/>
        </w:rPr>
        <w:t xml:space="preserve"> F, ‘Africa’s free trade areas opens for business’ United Nations: Africa Renewal, 7</w:t>
      </w:r>
      <w:r w:rsidRPr="00E02CE3">
        <w:rPr>
          <w:rFonts w:cs="Times New Roman"/>
          <w:szCs w:val="24"/>
          <w:vertAlign w:val="superscript"/>
        </w:rPr>
        <w:t>th</w:t>
      </w:r>
      <w:r w:rsidRPr="00E02CE3">
        <w:rPr>
          <w:rFonts w:cs="Times New Roman"/>
          <w:szCs w:val="24"/>
        </w:rPr>
        <w:t xml:space="preserve"> January 2021 </w:t>
      </w:r>
      <w:hyperlink r:id="rId31" w:history="1">
        <w:r w:rsidRPr="00E02CE3">
          <w:rPr>
            <w:rStyle w:val="Hyperlink"/>
            <w:rFonts w:cs="Times New Roman"/>
            <w:szCs w:val="24"/>
          </w:rPr>
          <w:t>https://www.un.org/africarenewal/magazine/january-2021/afcfta-africa-now-open-business</w:t>
        </w:r>
      </w:hyperlink>
      <w:r w:rsidRPr="00E02CE3">
        <w:rPr>
          <w:rFonts w:cs="Times New Roman"/>
          <w:szCs w:val="24"/>
        </w:rPr>
        <w:t xml:space="preserve"> on 10th January 2021.</w:t>
      </w:r>
    </w:p>
    <w:p w14:paraId="2D36A239" w14:textId="77777777" w:rsidR="007B3ADB" w:rsidRDefault="007B3ADB" w:rsidP="00CF3CC4">
      <w:pPr>
        <w:pStyle w:val="ListParagraph"/>
        <w:numPr>
          <w:ilvl w:val="1"/>
          <w:numId w:val="20"/>
        </w:numPr>
        <w:spacing w:line="360" w:lineRule="auto"/>
        <w:rPr>
          <w:szCs w:val="24"/>
        </w:rPr>
      </w:pPr>
      <w:r w:rsidRPr="00CF3CC4">
        <w:rPr>
          <w:szCs w:val="24"/>
        </w:rPr>
        <w:t xml:space="preserve">Mori A and </w:t>
      </w:r>
      <w:proofErr w:type="spellStart"/>
      <w:r w:rsidRPr="00CF3CC4">
        <w:rPr>
          <w:szCs w:val="24"/>
        </w:rPr>
        <w:t>Tomotsun</w:t>
      </w:r>
      <w:proofErr w:type="spellEnd"/>
      <w:r w:rsidRPr="00CF3CC4">
        <w:rPr>
          <w:szCs w:val="24"/>
        </w:rPr>
        <w:t xml:space="preserve"> A, ‘Overview of Mergers and Acquisition in Kenya’ </w:t>
      </w:r>
      <w:proofErr w:type="spellStart"/>
      <w:r w:rsidRPr="00CF3CC4">
        <w:rPr>
          <w:szCs w:val="24"/>
        </w:rPr>
        <w:t>Lexology</w:t>
      </w:r>
      <w:proofErr w:type="spellEnd"/>
      <w:r w:rsidRPr="00CF3CC4">
        <w:rPr>
          <w:szCs w:val="24"/>
        </w:rPr>
        <w:t>, 21</w:t>
      </w:r>
      <w:r w:rsidRPr="00CF3CC4">
        <w:rPr>
          <w:szCs w:val="24"/>
          <w:vertAlign w:val="superscript"/>
        </w:rPr>
        <w:t>st</w:t>
      </w:r>
      <w:r w:rsidRPr="00CF3CC4">
        <w:rPr>
          <w:szCs w:val="24"/>
        </w:rPr>
        <w:t xml:space="preserve"> October 2020 </w:t>
      </w:r>
      <w:hyperlink r:id="rId32" w:history="1">
        <w:r w:rsidRPr="00CF3CC4">
          <w:rPr>
            <w:rStyle w:val="Hyperlink"/>
            <w:szCs w:val="24"/>
          </w:rPr>
          <w:t>https://www.lexology.com/library/detail.aspx?g=42e12f87-5438-4ed7-94dc-93b7a64a76a9</w:t>
        </w:r>
      </w:hyperlink>
      <w:r w:rsidRPr="00CF3CC4">
        <w:rPr>
          <w:szCs w:val="24"/>
        </w:rPr>
        <w:t xml:space="preserve"> on 10</w:t>
      </w:r>
      <w:r w:rsidRPr="00CF3CC4">
        <w:rPr>
          <w:szCs w:val="24"/>
          <w:vertAlign w:val="superscript"/>
        </w:rPr>
        <w:t>th</w:t>
      </w:r>
      <w:r w:rsidRPr="00CF3CC4">
        <w:rPr>
          <w:szCs w:val="24"/>
        </w:rPr>
        <w:t xml:space="preserve"> November 2020.</w:t>
      </w:r>
    </w:p>
    <w:p w14:paraId="23FA2752" w14:textId="77777777" w:rsidR="007B3ADB" w:rsidRPr="00CF3CC4" w:rsidRDefault="007B3ADB" w:rsidP="00CF3CC4">
      <w:pPr>
        <w:pStyle w:val="ListParagraph"/>
        <w:numPr>
          <w:ilvl w:val="1"/>
          <w:numId w:val="20"/>
        </w:numPr>
        <w:spacing w:line="360" w:lineRule="auto"/>
        <w:rPr>
          <w:szCs w:val="24"/>
        </w:rPr>
      </w:pPr>
      <w:proofErr w:type="spellStart"/>
      <w:r w:rsidRPr="00CF3CC4">
        <w:rPr>
          <w:color w:val="000000"/>
          <w:szCs w:val="24"/>
        </w:rPr>
        <w:t>Muma</w:t>
      </w:r>
      <w:proofErr w:type="spellEnd"/>
      <w:r w:rsidRPr="00CF3CC4">
        <w:rPr>
          <w:color w:val="000000"/>
          <w:szCs w:val="24"/>
        </w:rPr>
        <w:t xml:space="preserve"> &amp; </w:t>
      </w:r>
      <w:proofErr w:type="spellStart"/>
      <w:r w:rsidRPr="00CF3CC4">
        <w:rPr>
          <w:color w:val="000000"/>
          <w:szCs w:val="24"/>
        </w:rPr>
        <w:t>Kanjama</w:t>
      </w:r>
      <w:proofErr w:type="spellEnd"/>
      <w:r w:rsidRPr="00CF3CC4">
        <w:rPr>
          <w:color w:val="000000"/>
          <w:szCs w:val="24"/>
        </w:rPr>
        <w:t xml:space="preserve"> Advocates, ‘Legal Framework for mergers in Kenya, February 2020&lt;</w:t>
      </w:r>
      <w:hyperlink r:id="rId33" w:history="1">
        <w:r w:rsidRPr="00CF3CC4">
          <w:rPr>
            <w:color w:val="1155CC"/>
            <w:szCs w:val="24"/>
            <w:u w:val="single"/>
          </w:rPr>
          <w:t>https://www.mumakanjama.com/index.php/team/64-legal-framework-for-mergers-in-kenya</w:t>
        </w:r>
      </w:hyperlink>
      <w:r w:rsidRPr="00CF3CC4">
        <w:rPr>
          <w:color w:val="000000"/>
          <w:szCs w:val="24"/>
        </w:rPr>
        <w:t>&gt; on 15 November 2020.</w:t>
      </w:r>
    </w:p>
    <w:p w14:paraId="4EC33A9F" w14:textId="77777777" w:rsidR="007B3ADB" w:rsidRPr="00CF3CC4" w:rsidRDefault="007B3ADB" w:rsidP="00CF3CC4">
      <w:pPr>
        <w:pStyle w:val="ListParagraph"/>
        <w:numPr>
          <w:ilvl w:val="1"/>
          <w:numId w:val="20"/>
        </w:numPr>
        <w:spacing w:line="360" w:lineRule="auto"/>
        <w:rPr>
          <w:rFonts w:cs="Times New Roman"/>
          <w:color w:val="000000"/>
          <w:szCs w:val="24"/>
        </w:rPr>
      </w:pPr>
      <w:proofErr w:type="spellStart"/>
      <w:r w:rsidRPr="00CF3CC4">
        <w:rPr>
          <w:szCs w:val="24"/>
        </w:rPr>
        <w:t>Obura</w:t>
      </w:r>
      <w:proofErr w:type="spellEnd"/>
      <w:r w:rsidRPr="00CF3CC4">
        <w:rPr>
          <w:szCs w:val="24"/>
        </w:rPr>
        <w:t xml:space="preserve"> F, ‘What Kenyan youth look into before choosing a bank’ The Standard digital, 30</w:t>
      </w:r>
      <w:r w:rsidRPr="00CF3CC4">
        <w:rPr>
          <w:szCs w:val="24"/>
          <w:vertAlign w:val="superscript"/>
        </w:rPr>
        <w:t>th</w:t>
      </w:r>
      <w:r w:rsidRPr="00CF3CC4">
        <w:rPr>
          <w:szCs w:val="24"/>
        </w:rPr>
        <w:t xml:space="preserve"> June 2015 </w:t>
      </w:r>
      <w:hyperlink r:id="rId34" w:history="1">
        <w:r w:rsidRPr="00CF3CC4">
          <w:rPr>
            <w:rStyle w:val="Hyperlink"/>
            <w:szCs w:val="24"/>
          </w:rPr>
          <w:t>https://www.google.com/amp/s/www.standardmedia.co.ke/amp/business/article/2000167545/what-kenyan-youth-look-into-before-choosing-a-bank</w:t>
        </w:r>
      </w:hyperlink>
      <w:r w:rsidRPr="00CF3CC4">
        <w:rPr>
          <w:szCs w:val="24"/>
        </w:rPr>
        <w:t xml:space="preserve"> on 10</w:t>
      </w:r>
      <w:r w:rsidRPr="00CF3CC4">
        <w:rPr>
          <w:szCs w:val="24"/>
          <w:vertAlign w:val="superscript"/>
        </w:rPr>
        <w:t>th</w:t>
      </w:r>
      <w:r w:rsidRPr="00CF3CC4">
        <w:rPr>
          <w:szCs w:val="24"/>
        </w:rPr>
        <w:t xml:space="preserve"> January 2021.</w:t>
      </w:r>
    </w:p>
    <w:p w14:paraId="32ACCAB1" w14:textId="77777777" w:rsidR="007B3ADB" w:rsidRPr="00E02CE3" w:rsidRDefault="007B3ADB" w:rsidP="00FF0CD4">
      <w:pPr>
        <w:pStyle w:val="ListParagraph"/>
        <w:numPr>
          <w:ilvl w:val="1"/>
          <w:numId w:val="20"/>
        </w:numPr>
        <w:spacing w:line="360" w:lineRule="auto"/>
        <w:rPr>
          <w:rFonts w:cs="Times New Roman"/>
          <w:szCs w:val="24"/>
        </w:rPr>
      </w:pPr>
      <w:proofErr w:type="spellStart"/>
      <w:r w:rsidRPr="00E02CE3">
        <w:rPr>
          <w:rFonts w:cs="Times New Roman"/>
          <w:szCs w:val="24"/>
        </w:rPr>
        <w:t>Wafula</w:t>
      </w:r>
      <w:proofErr w:type="spellEnd"/>
      <w:r w:rsidRPr="00E02CE3">
        <w:rPr>
          <w:rFonts w:cs="Times New Roman"/>
          <w:szCs w:val="24"/>
        </w:rPr>
        <w:t xml:space="preserve"> B, ‘Troubled KQ gets </w:t>
      </w:r>
      <w:proofErr w:type="spellStart"/>
      <w:r w:rsidRPr="00E02CE3">
        <w:rPr>
          <w:rFonts w:cs="Times New Roman"/>
          <w:szCs w:val="24"/>
        </w:rPr>
        <w:t>Kshs</w:t>
      </w:r>
      <w:proofErr w:type="spellEnd"/>
      <w:r w:rsidRPr="00E02CE3">
        <w:rPr>
          <w:rFonts w:cs="Times New Roman"/>
          <w:szCs w:val="24"/>
        </w:rPr>
        <w:t>. 4.2billion from government’ Citizen, 2</w:t>
      </w:r>
      <w:r w:rsidRPr="00E02CE3">
        <w:rPr>
          <w:rFonts w:cs="Times New Roman"/>
          <w:szCs w:val="24"/>
          <w:vertAlign w:val="superscript"/>
        </w:rPr>
        <w:t>nd</w:t>
      </w:r>
      <w:r w:rsidRPr="00E02CE3">
        <w:rPr>
          <w:rFonts w:cs="Times New Roman"/>
          <w:szCs w:val="24"/>
        </w:rPr>
        <w:t xml:space="preserve"> September 2015 </w:t>
      </w:r>
      <w:hyperlink r:id="rId35" w:history="1">
        <w:r w:rsidRPr="00E02CE3">
          <w:rPr>
            <w:rStyle w:val="Hyperlink"/>
            <w:rFonts w:cs="Times New Roman"/>
            <w:szCs w:val="24"/>
          </w:rPr>
          <w:t>https://www.google.com/amp/s/citizentv.co.ke/business/troubled-kq-gets-ksh-4-2-billion-from-government-99682/%3famp</w:t>
        </w:r>
      </w:hyperlink>
      <w:r w:rsidRPr="00E02CE3">
        <w:rPr>
          <w:rFonts w:cs="Times New Roman"/>
          <w:szCs w:val="24"/>
        </w:rPr>
        <w:t xml:space="preserve"> on 10</w:t>
      </w:r>
      <w:r w:rsidRPr="00E02CE3">
        <w:rPr>
          <w:rFonts w:cs="Times New Roman"/>
          <w:szCs w:val="24"/>
          <w:vertAlign w:val="superscript"/>
        </w:rPr>
        <w:t>th</w:t>
      </w:r>
      <w:r w:rsidRPr="00E02CE3">
        <w:rPr>
          <w:rFonts w:cs="Times New Roman"/>
          <w:szCs w:val="24"/>
        </w:rPr>
        <w:t xml:space="preserve"> September 2020.</w:t>
      </w:r>
    </w:p>
    <w:p w14:paraId="5E3C5872" w14:textId="77777777" w:rsidR="00B42697" w:rsidRPr="009F463B" w:rsidRDefault="00B42697" w:rsidP="00B42697">
      <w:pPr>
        <w:pStyle w:val="ListParagraph"/>
        <w:spacing w:line="360" w:lineRule="auto"/>
        <w:rPr>
          <w:i/>
        </w:rPr>
      </w:pPr>
    </w:p>
    <w:p w14:paraId="3922EF8D" w14:textId="77777777" w:rsidR="00FD3913" w:rsidRPr="005B66DE" w:rsidRDefault="00FD3913" w:rsidP="00FD3913">
      <w:pPr>
        <w:spacing w:line="360" w:lineRule="auto"/>
        <w:rPr>
          <w:rFonts w:eastAsia="Times New Roman" w:cs="Times New Roman"/>
          <w:szCs w:val="24"/>
        </w:rPr>
      </w:pPr>
    </w:p>
    <w:p w14:paraId="0C4CB497" w14:textId="77777777" w:rsidR="00920248" w:rsidRPr="005B66DE" w:rsidRDefault="00920248" w:rsidP="00920248">
      <w:pPr>
        <w:spacing w:line="360" w:lineRule="auto"/>
        <w:rPr>
          <w:rFonts w:eastAsia="Times New Roman" w:cs="Times New Roman"/>
          <w:szCs w:val="24"/>
        </w:rPr>
      </w:pPr>
    </w:p>
    <w:p w14:paraId="75B8B974" w14:textId="77777777" w:rsidR="00920248" w:rsidRPr="005B66DE" w:rsidRDefault="00920248">
      <w:pPr>
        <w:rPr>
          <w:rFonts w:cs="Times New Roman"/>
          <w:szCs w:val="24"/>
        </w:rPr>
      </w:pPr>
    </w:p>
    <w:sectPr w:rsidR="00920248" w:rsidRPr="005B66DE" w:rsidSect="00B00A06">
      <w:footerReference w:type="default" r:id="rId36"/>
      <w:pgSz w:w="12240" w:h="15840"/>
      <w:pgMar w:top="1440" w:right="1440" w:bottom="432"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35F3CA" w14:textId="77777777" w:rsidR="0042249F" w:rsidRDefault="0042249F" w:rsidP="007D33D2">
      <w:pPr>
        <w:spacing w:after="0" w:line="240" w:lineRule="auto"/>
      </w:pPr>
      <w:r>
        <w:separator/>
      </w:r>
    </w:p>
  </w:endnote>
  <w:endnote w:type="continuationSeparator" w:id="0">
    <w:p w14:paraId="02BDBA29" w14:textId="77777777" w:rsidR="0042249F" w:rsidRDefault="0042249F" w:rsidP="007D3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4853072"/>
      <w:docPartObj>
        <w:docPartGallery w:val="Page Numbers (Bottom of Page)"/>
        <w:docPartUnique/>
      </w:docPartObj>
    </w:sdtPr>
    <w:sdtEndPr>
      <w:rPr>
        <w:noProof/>
      </w:rPr>
    </w:sdtEndPr>
    <w:sdtContent>
      <w:p w14:paraId="06288EE3" w14:textId="4D3DF95D" w:rsidR="004A5F49" w:rsidRDefault="004A5F49">
        <w:pPr>
          <w:pStyle w:val="Footer"/>
          <w:jc w:val="center"/>
        </w:pPr>
        <w:r>
          <w:fldChar w:fldCharType="begin"/>
        </w:r>
        <w:r>
          <w:instrText xml:space="preserve"> PAGE   \* MERGEFORMAT </w:instrText>
        </w:r>
        <w:r>
          <w:fldChar w:fldCharType="separate"/>
        </w:r>
        <w:r w:rsidR="00700345">
          <w:rPr>
            <w:noProof/>
          </w:rPr>
          <w:t>4</w:t>
        </w:r>
        <w:r>
          <w:rPr>
            <w:noProof/>
          </w:rPr>
          <w:fldChar w:fldCharType="end"/>
        </w:r>
      </w:p>
    </w:sdtContent>
  </w:sdt>
  <w:p w14:paraId="5CFE3F8E" w14:textId="77777777" w:rsidR="004A5F49" w:rsidRDefault="004A5F4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1473C" w14:textId="77777777" w:rsidR="0042249F" w:rsidRDefault="0042249F" w:rsidP="007D33D2">
      <w:pPr>
        <w:spacing w:after="0" w:line="240" w:lineRule="auto"/>
      </w:pPr>
      <w:r>
        <w:separator/>
      </w:r>
    </w:p>
  </w:footnote>
  <w:footnote w:type="continuationSeparator" w:id="0">
    <w:p w14:paraId="111F0B62" w14:textId="77777777" w:rsidR="0042249F" w:rsidRDefault="0042249F" w:rsidP="007D33D2">
      <w:pPr>
        <w:spacing w:after="0" w:line="240" w:lineRule="auto"/>
      </w:pPr>
      <w:r>
        <w:continuationSeparator/>
      </w:r>
    </w:p>
  </w:footnote>
  <w:footnote w:id="1">
    <w:p w14:paraId="08555338" w14:textId="6E858BD3" w:rsidR="004A5F49" w:rsidRPr="00CC400D" w:rsidRDefault="004A5F49" w:rsidP="00C25CCC">
      <w:pPr>
        <w:pStyle w:val="FootnoteText"/>
        <w:spacing w:line="276" w:lineRule="auto"/>
        <w:rPr>
          <w:rFonts w:cs="Times New Roman"/>
          <w:b w:val="0"/>
        </w:rPr>
      </w:pPr>
      <w:r>
        <w:rPr>
          <w:rStyle w:val="FootnoteReference"/>
        </w:rPr>
        <w:footnoteRef/>
      </w:r>
      <w:r>
        <w:t xml:space="preserve"> </w:t>
      </w:r>
      <w:proofErr w:type="spellStart"/>
      <w:r w:rsidRPr="0011631D">
        <w:rPr>
          <w:b w:val="0"/>
        </w:rPr>
        <w:t>Mwega</w:t>
      </w:r>
      <w:proofErr w:type="spellEnd"/>
      <w:r w:rsidRPr="0011631D">
        <w:rPr>
          <w:b w:val="0"/>
        </w:rPr>
        <w:t xml:space="preserve"> F, ‘Financial regulation in Kenya: Balancing inclusive growth with financial stability’ Overseas Development Institution, </w:t>
      </w:r>
      <w:proofErr w:type="gramStart"/>
      <w:r>
        <w:rPr>
          <w:b w:val="0"/>
        </w:rPr>
        <w:t>S</w:t>
      </w:r>
      <w:r w:rsidRPr="0011631D">
        <w:rPr>
          <w:b w:val="0"/>
        </w:rPr>
        <w:t>haping</w:t>
      </w:r>
      <w:proofErr w:type="gramEnd"/>
      <w:r w:rsidRPr="0011631D">
        <w:rPr>
          <w:b w:val="0"/>
        </w:rPr>
        <w:t xml:space="preserve"> policy for development, </w:t>
      </w:r>
      <w:r w:rsidRPr="0011631D">
        <w:rPr>
          <w:rFonts w:cs="Times New Roman"/>
          <w:b w:val="0"/>
        </w:rPr>
        <w:t>Working paper 407,</w:t>
      </w:r>
      <w:r>
        <w:rPr>
          <w:rFonts w:cs="Times New Roman"/>
          <w:b w:val="0"/>
        </w:rPr>
        <w:t xml:space="preserve"> 2014,</w:t>
      </w:r>
      <w:r w:rsidRPr="0011631D">
        <w:rPr>
          <w:rFonts w:cs="Times New Roman"/>
          <w:b w:val="0"/>
        </w:rPr>
        <w:t xml:space="preserve"> 11.</w:t>
      </w:r>
    </w:p>
  </w:footnote>
  <w:footnote w:id="2">
    <w:p w14:paraId="6766629C" w14:textId="64890614" w:rsidR="004A5F49" w:rsidRDefault="004A5F49" w:rsidP="00C25CCC">
      <w:pPr>
        <w:pStyle w:val="FootnoteText"/>
        <w:spacing w:line="276" w:lineRule="auto"/>
      </w:pPr>
      <w:r>
        <w:rPr>
          <w:rStyle w:val="FootnoteReference"/>
        </w:rPr>
        <w:footnoteRef/>
      </w:r>
      <w:r>
        <w:t xml:space="preserve"> </w:t>
      </w:r>
      <w:r w:rsidRPr="00C25CCC">
        <w:rPr>
          <w:b w:val="0"/>
        </w:rPr>
        <w:t xml:space="preserve">Benston G, ‘Economies of Scale of Financial Institutions’ 4(2) </w:t>
      </w:r>
      <w:r w:rsidRPr="00C25CCC">
        <w:rPr>
          <w:b w:val="0"/>
          <w:i/>
        </w:rPr>
        <w:t>Journal of Money, credit and Banking</w:t>
      </w:r>
      <w:r>
        <w:rPr>
          <w:b w:val="0"/>
          <w:i/>
        </w:rPr>
        <w:t xml:space="preserve">, </w:t>
      </w:r>
      <w:r w:rsidRPr="00465DE0">
        <w:rPr>
          <w:b w:val="0"/>
        </w:rPr>
        <w:t>1972,</w:t>
      </w:r>
      <w:r w:rsidRPr="00C25CCC">
        <w:rPr>
          <w:b w:val="0"/>
          <w:i/>
        </w:rPr>
        <w:t xml:space="preserve"> 320.</w:t>
      </w:r>
    </w:p>
  </w:footnote>
  <w:footnote w:id="3">
    <w:p w14:paraId="759E15B1" w14:textId="77777777" w:rsidR="004A5F49" w:rsidRPr="00CC400D" w:rsidRDefault="004A5F49" w:rsidP="00C25CCC">
      <w:pPr>
        <w:pStyle w:val="FootnoteText"/>
        <w:spacing w:line="276" w:lineRule="auto"/>
        <w:rPr>
          <w:rFonts w:cs="Times New Roman"/>
          <w:b w:val="0"/>
        </w:rPr>
      </w:pPr>
      <w:r w:rsidRPr="00CC400D">
        <w:rPr>
          <w:rStyle w:val="FootnoteReference"/>
          <w:rFonts w:cs="Times New Roman"/>
          <w:b w:val="0"/>
        </w:rPr>
        <w:footnoteRef/>
      </w:r>
      <w:r w:rsidRPr="00CC400D">
        <w:rPr>
          <w:rFonts w:cs="Times New Roman"/>
          <w:b w:val="0"/>
        </w:rPr>
        <w:t xml:space="preserve"> </w:t>
      </w:r>
      <w:proofErr w:type="spellStart"/>
      <w:r>
        <w:rPr>
          <w:rFonts w:cs="Times New Roman"/>
          <w:b w:val="0"/>
        </w:rPr>
        <w:t>Armour</w:t>
      </w:r>
      <w:proofErr w:type="spellEnd"/>
      <w:r>
        <w:rPr>
          <w:rFonts w:cs="Times New Roman"/>
          <w:b w:val="0"/>
        </w:rPr>
        <w:t xml:space="preserve"> </w:t>
      </w:r>
      <w:r>
        <w:rPr>
          <w:rFonts w:cs="Times New Roman"/>
          <w:b w:val="0"/>
          <w:i/>
        </w:rPr>
        <w:t xml:space="preserve">et al, </w:t>
      </w:r>
      <w:r w:rsidRPr="00CC400D">
        <w:rPr>
          <w:rFonts w:cs="Times New Roman"/>
          <w:b w:val="0"/>
          <w:i/>
        </w:rPr>
        <w:t>Principles of financial regulatio</w:t>
      </w:r>
      <w:r>
        <w:rPr>
          <w:rFonts w:cs="Times New Roman"/>
          <w:b w:val="0"/>
          <w:i/>
        </w:rPr>
        <w:t>n</w:t>
      </w:r>
      <w:r w:rsidRPr="00CC400D">
        <w:rPr>
          <w:rFonts w:cs="Times New Roman"/>
          <w:b w:val="0"/>
        </w:rPr>
        <w:t>, 23.</w:t>
      </w:r>
    </w:p>
  </w:footnote>
  <w:footnote w:id="4">
    <w:p w14:paraId="1989F7A5" w14:textId="6B1B878D" w:rsidR="004A5F49" w:rsidRPr="00B652FE" w:rsidRDefault="004A5F49" w:rsidP="00C25CCC">
      <w:pPr>
        <w:pStyle w:val="FootnoteText"/>
        <w:spacing w:line="276" w:lineRule="auto"/>
        <w:rPr>
          <w:i/>
        </w:rPr>
      </w:pPr>
      <w:r>
        <w:rPr>
          <w:rStyle w:val="FootnoteReference"/>
        </w:rPr>
        <w:footnoteRef/>
      </w:r>
      <w:r>
        <w:t xml:space="preserve"> </w:t>
      </w:r>
      <w:r w:rsidRPr="00B652FE">
        <w:rPr>
          <w:b w:val="0"/>
        </w:rPr>
        <w:t xml:space="preserve">Zeb S and </w:t>
      </w:r>
      <w:proofErr w:type="spellStart"/>
      <w:r w:rsidRPr="00B652FE">
        <w:rPr>
          <w:b w:val="0"/>
        </w:rPr>
        <w:t>Sattar</w:t>
      </w:r>
      <w:proofErr w:type="spellEnd"/>
      <w:r w:rsidRPr="00B652FE">
        <w:rPr>
          <w:b w:val="0"/>
        </w:rPr>
        <w:t xml:space="preserve"> A, ‘Financial Regulations, Profit Efficiency and Financial Soundness: Empirical Evidence from Commercial Banks of Pakistan’ 56(2) </w:t>
      </w:r>
      <w:r w:rsidRPr="00B652FE">
        <w:rPr>
          <w:b w:val="0"/>
          <w:i/>
        </w:rPr>
        <w:t>The Pakistan Development Review</w:t>
      </w:r>
      <w:r w:rsidRPr="00465DE0">
        <w:rPr>
          <w:b w:val="0"/>
        </w:rPr>
        <w:t>, 2017</w:t>
      </w:r>
      <w:r w:rsidRPr="00B652FE">
        <w:rPr>
          <w:b w:val="0"/>
          <w:i/>
        </w:rPr>
        <w:t>, 90.</w:t>
      </w:r>
    </w:p>
  </w:footnote>
  <w:footnote w:id="5">
    <w:p w14:paraId="2A8C3273" w14:textId="416FF0DD" w:rsidR="004A5F49" w:rsidRPr="00B652FE" w:rsidRDefault="004A5F49" w:rsidP="00C25CCC">
      <w:pPr>
        <w:pStyle w:val="FootnoteText"/>
        <w:spacing w:line="276" w:lineRule="auto"/>
        <w:rPr>
          <w:b w:val="0"/>
        </w:rPr>
      </w:pPr>
      <w:r>
        <w:rPr>
          <w:rStyle w:val="FootnoteReference"/>
        </w:rPr>
        <w:footnoteRef/>
      </w:r>
      <w:r>
        <w:t xml:space="preserve"> </w:t>
      </w:r>
      <w:r w:rsidRPr="00B652FE">
        <w:rPr>
          <w:b w:val="0"/>
        </w:rPr>
        <w:t>Friedman M, ‘A Friedman doctrine: The Social Responsibility of Business is to increase its profits’ The New York Times 13 September 1970, 17.</w:t>
      </w:r>
    </w:p>
  </w:footnote>
  <w:footnote w:id="6">
    <w:p w14:paraId="3B6979A6" w14:textId="1A8EC964" w:rsidR="004A5F49" w:rsidRDefault="004A5F49" w:rsidP="00C25CCC">
      <w:pPr>
        <w:pStyle w:val="FootnoteText"/>
        <w:spacing w:line="276" w:lineRule="auto"/>
      </w:pPr>
      <w:r w:rsidRPr="00B652FE">
        <w:rPr>
          <w:rStyle w:val="FootnoteReference"/>
          <w:b w:val="0"/>
        </w:rPr>
        <w:footnoteRef/>
      </w:r>
      <w:r w:rsidRPr="00B652FE">
        <w:rPr>
          <w:b w:val="0"/>
        </w:rPr>
        <w:t xml:space="preserve"> Friedman M, ‘A Friedman doctrine: The Social Responsibility of Business is to increase its profits’ The New York Times 13 September 1970, 17.</w:t>
      </w:r>
    </w:p>
  </w:footnote>
  <w:footnote w:id="7">
    <w:p w14:paraId="176B6204" w14:textId="06762D19" w:rsidR="004A5F49" w:rsidRDefault="004A5F49" w:rsidP="00C25CCC">
      <w:pPr>
        <w:pStyle w:val="FootnoteText"/>
        <w:spacing w:line="276" w:lineRule="auto"/>
      </w:pPr>
      <w:r>
        <w:rPr>
          <w:rStyle w:val="FootnoteReference"/>
        </w:rPr>
        <w:footnoteRef/>
      </w:r>
      <w:r>
        <w:t xml:space="preserve"> </w:t>
      </w:r>
      <w:r w:rsidRPr="00B652FE">
        <w:rPr>
          <w:b w:val="0"/>
        </w:rPr>
        <w:t xml:space="preserve">Merton R, ‘Financial innovation and the management and regulation of financial institutions’ 19(3-4) </w:t>
      </w:r>
      <w:r w:rsidRPr="00B652FE">
        <w:rPr>
          <w:b w:val="0"/>
          <w:i/>
        </w:rPr>
        <w:t>Journal of Banking and Finance</w:t>
      </w:r>
      <w:r w:rsidRPr="00B652FE">
        <w:rPr>
          <w:b w:val="0"/>
        </w:rPr>
        <w:t>, 1995, 465.</w:t>
      </w:r>
    </w:p>
  </w:footnote>
  <w:footnote w:id="8">
    <w:p w14:paraId="0D9BF192" w14:textId="77777777" w:rsidR="004A5F49" w:rsidRPr="00CC400D" w:rsidRDefault="004A5F49" w:rsidP="00C25CCC">
      <w:pPr>
        <w:pStyle w:val="FootnoteText"/>
        <w:spacing w:line="276" w:lineRule="auto"/>
        <w:rPr>
          <w:rFonts w:cs="Times New Roman"/>
          <w:b w:val="0"/>
        </w:rPr>
      </w:pPr>
      <w:r w:rsidRPr="00CC400D">
        <w:rPr>
          <w:rStyle w:val="FootnoteReference"/>
          <w:rFonts w:cs="Times New Roman"/>
          <w:b w:val="0"/>
        </w:rPr>
        <w:footnoteRef/>
      </w:r>
      <w:r>
        <w:rPr>
          <w:rFonts w:cs="Times New Roman"/>
          <w:b w:val="0"/>
        </w:rPr>
        <w:t xml:space="preserve"> </w:t>
      </w:r>
      <w:proofErr w:type="spellStart"/>
      <w:r>
        <w:rPr>
          <w:rFonts w:cs="Times New Roman"/>
          <w:b w:val="0"/>
        </w:rPr>
        <w:t>Armour</w:t>
      </w:r>
      <w:proofErr w:type="spellEnd"/>
      <w:r>
        <w:rPr>
          <w:rFonts w:cs="Times New Roman"/>
          <w:b w:val="0"/>
        </w:rPr>
        <w:t xml:space="preserve"> J, </w:t>
      </w:r>
      <w:proofErr w:type="spellStart"/>
      <w:r>
        <w:rPr>
          <w:rFonts w:cs="Times New Roman"/>
          <w:b w:val="0"/>
        </w:rPr>
        <w:t>Awrey</w:t>
      </w:r>
      <w:proofErr w:type="spellEnd"/>
      <w:r>
        <w:rPr>
          <w:rFonts w:cs="Times New Roman"/>
          <w:b w:val="0"/>
        </w:rPr>
        <w:t xml:space="preserve"> D, Davies </w:t>
      </w:r>
      <w:proofErr w:type="spellStart"/>
      <w:r>
        <w:rPr>
          <w:rFonts w:cs="Times New Roman"/>
          <w:b w:val="0"/>
        </w:rPr>
        <w:t>Enriques</w:t>
      </w:r>
      <w:proofErr w:type="spellEnd"/>
      <w:r>
        <w:rPr>
          <w:rFonts w:cs="Times New Roman"/>
          <w:b w:val="0"/>
        </w:rPr>
        <w:t xml:space="preserve"> L, Gordon J, Mayer C, &amp; Payne J</w:t>
      </w:r>
      <w:r w:rsidRPr="00CC400D">
        <w:rPr>
          <w:rFonts w:cs="Times New Roman"/>
          <w:b w:val="0"/>
        </w:rPr>
        <w:t xml:space="preserve">, </w:t>
      </w:r>
      <w:r w:rsidRPr="00CC400D">
        <w:rPr>
          <w:rFonts w:cs="Times New Roman"/>
          <w:b w:val="0"/>
          <w:i/>
        </w:rPr>
        <w:t>Principles of financial regulation,</w:t>
      </w:r>
      <w:r w:rsidRPr="00CC400D">
        <w:rPr>
          <w:rFonts w:cs="Times New Roman"/>
          <w:b w:val="0"/>
        </w:rPr>
        <w:t xml:space="preserve"> 3</w:t>
      </w:r>
      <w:r w:rsidRPr="00CC400D">
        <w:rPr>
          <w:rFonts w:cs="Times New Roman"/>
          <w:b w:val="0"/>
          <w:vertAlign w:val="superscript"/>
        </w:rPr>
        <w:t>rd</w:t>
      </w:r>
      <w:r w:rsidRPr="00CC400D">
        <w:rPr>
          <w:rFonts w:cs="Times New Roman"/>
          <w:b w:val="0"/>
        </w:rPr>
        <w:t xml:space="preserve"> </w:t>
      </w:r>
      <w:proofErr w:type="spellStart"/>
      <w:r w:rsidRPr="00CC400D">
        <w:rPr>
          <w:rFonts w:cs="Times New Roman"/>
          <w:b w:val="0"/>
        </w:rPr>
        <w:t>ed</w:t>
      </w:r>
      <w:proofErr w:type="spellEnd"/>
      <w:r w:rsidRPr="00CC400D">
        <w:rPr>
          <w:rFonts w:cs="Times New Roman"/>
          <w:b w:val="0"/>
        </w:rPr>
        <w:t>, Oxford</w:t>
      </w:r>
      <w:r>
        <w:rPr>
          <w:rFonts w:cs="Times New Roman"/>
          <w:b w:val="0"/>
        </w:rPr>
        <w:t xml:space="preserve"> University Press</w:t>
      </w:r>
      <w:r w:rsidRPr="00CC400D">
        <w:rPr>
          <w:rFonts w:cs="Times New Roman"/>
          <w:b w:val="0"/>
        </w:rPr>
        <w:t>, London,</w:t>
      </w:r>
      <w:r>
        <w:rPr>
          <w:rFonts w:cs="Times New Roman"/>
          <w:b w:val="0"/>
        </w:rPr>
        <w:t xml:space="preserve"> </w:t>
      </w:r>
      <w:r w:rsidRPr="00CC400D">
        <w:rPr>
          <w:rFonts w:cs="Times New Roman"/>
          <w:b w:val="0"/>
        </w:rPr>
        <w:t>2016, 22.</w:t>
      </w:r>
    </w:p>
  </w:footnote>
  <w:footnote w:id="9">
    <w:p w14:paraId="09ABE880" w14:textId="33C8FCD5" w:rsidR="004A5F49" w:rsidRPr="00465DE0" w:rsidRDefault="004A5F49">
      <w:pPr>
        <w:pStyle w:val="FootnoteText"/>
        <w:rPr>
          <w:b w:val="0"/>
          <w:i/>
        </w:rPr>
      </w:pPr>
      <w:r w:rsidRPr="00465DE0">
        <w:rPr>
          <w:rStyle w:val="FootnoteReference"/>
          <w:b w:val="0"/>
        </w:rPr>
        <w:footnoteRef/>
      </w:r>
      <w:r w:rsidRPr="00465DE0">
        <w:rPr>
          <w:b w:val="0"/>
        </w:rPr>
        <w:t xml:space="preserve"> Barth A and Schnabel I ‘Why banks are not too big to fail – evidence from the CDS market’</w:t>
      </w:r>
      <w:r>
        <w:rPr>
          <w:b w:val="0"/>
        </w:rPr>
        <w:t xml:space="preserve"> 28 (4) </w:t>
      </w:r>
      <w:r>
        <w:rPr>
          <w:b w:val="0"/>
          <w:i/>
        </w:rPr>
        <w:t xml:space="preserve">Oxford University Press, </w:t>
      </w:r>
      <w:r w:rsidRPr="00465DE0">
        <w:rPr>
          <w:b w:val="0"/>
        </w:rPr>
        <w:t>2013, 337.</w:t>
      </w:r>
    </w:p>
  </w:footnote>
  <w:footnote w:id="10">
    <w:p w14:paraId="72B61AA8" w14:textId="4759EDA7" w:rsidR="004A5F49" w:rsidRPr="00015592" w:rsidRDefault="004A5F49" w:rsidP="00015592">
      <w:pPr>
        <w:pStyle w:val="FootnoteText"/>
        <w:spacing w:line="276" w:lineRule="auto"/>
        <w:rPr>
          <w:rFonts w:cs="Times New Roman"/>
          <w:b w:val="0"/>
        </w:rPr>
      </w:pPr>
      <w:r w:rsidRPr="00CC400D">
        <w:rPr>
          <w:rStyle w:val="FootnoteReference"/>
          <w:rFonts w:cs="Times New Roman"/>
          <w:b w:val="0"/>
        </w:rPr>
        <w:footnoteRef/>
      </w:r>
      <w:proofErr w:type="spellStart"/>
      <w:r w:rsidRPr="00CC400D">
        <w:rPr>
          <w:rFonts w:cs="Times New Roman"/>
          <w:b w:val="0"/>
        </w:rPr>
        <w:t>Dabos</w:t>
      </w:r>
      <w:proofErr w:type="spellEnd"/>
      <w:r>
        <w:rPr>
          <w:rFonts w:cs="Times New Roman"/>
          <w:b w:val="0"/>
        </w:rPr>
        <w:t xml:space="preserve"> M</w:t>
      </w:r>
      <w:r w:rsidRPr="00CC400D">
        <w:rPr>
          <w:rFonts w:cs="Times New Roman"/>
          <w:b w:val="0"/>
        </w:rPr>
        <w:t>,</w:t>
      </w:r>
      <w:r>
        <w:rPr>
          <w:rFonts w:cs="Times New Roman"/>
          <w:b w:val="0"/>
        </w:rPr>
        <w:t xml:space="preserve"> </w:t>
      </w:r>
      <w:proofErr w:type="gramStart"/>
      <w:r w:rsidRPr="007D00F4">
        <w:rPr>
          <w:rFonts w:cs="Times New Roman"/>
          <w:b w:val="0"/>
          <w:i/>
        </w:rPr>
        <w:t>Too</w:t>
      </w:r>
      <w:proofErr w:type="gramEnd"/>
      <w:r w:rsidRPr="007D00F4">
        <w:rPr>
          <w:rFonts w:cs="Times New Roman"/>
          <w:b w:val="0"/>
          <w:i/>
        </w:rPr>
        <w:t xml:space="preserve"> big to fail: Policies and practices in government bailouts,</w:t>
      </w:r>
      <w:r w:rsidRPr="00CC400D">
        <w:rPr>
          <w:rFonts w:cs="Times New Roman"/>
          <w:b w:val="0"/>
          <w:i/>
        </w:rPr>
        <w:t xml:space="preserve"> </w:t>
      </w:r>
      <w:r w:rsidRPr="00CC400D">
        <w:rPr>
          <w:rFonts w:cs="Times New Roman"/>
          <w:b w:val="0"/>
        </w:rPr>
        <w:t xml:space="preserve">Greenwood Publishing Group, Westport, </w:t>
      </w:r>
      <w:r w:rsidRPr="00015592">
        <w:rPr>
          <w:rFonts w:cs="Times New Roman"/>
          <w:b w:val="0"/>
        </w:rPr>
        <w:t>2004, 141.</w:t>
      </w:r>
    </w:p>
  </w:footnote>
  <w:footnote w:id="11">
    <w:p w14:paraId="15A70B51" w14:textId="634E3786" w:rsidR="004A5F49" w:rsidRDefault="004A5F49">
      <w:pPr>
        <w:pStyle w:val="FootnoteText"/>
      </w:pPr>
      <w:r>
        <w:rPr>
          <w:rStyle w:val="FootnoteReference"/>
        </w:rPr>
        <w:footnoteRef/>
      </w:r>
      <w:r>
        <w:t xml:space="preserve"> </w:t>
      </w:r>
      <w:proofErr w:type="spellStart"/>
      <w:r w:rsidRPr="00A70BD6">
        <w:rPr>
          <w:b w:val="0"/>
        </w:rPr>
        <w:t>Moosa</w:t>
      </w:r>
      <w:proofErr w:type="spellEnd"/>
      <w:r w:rsidRPr="00A70BD6">
        <w:rPr>
          <w:b w:val="0"/>
        </w:rPr>
        <w:t xml:space="preserve"> </w:t>
      </w:r>
      <w:proofErr w:type="spellStart"/>
      <w:r w:rsidRPr="00A70BD6">
        <w:rPr>
          <w:b w:val="0"/>
        </w:rPr>
        <w:t>Imad</w:t>
      </w:r>
      <w:proofErr w:type="spellEnd"/>
      <w:r w:rsidRPr="00A70BD6">
        <w:rPr>
          <w:b w:val="0"/>
        </w:rPr>
        <w:t xml:space="preserve"> ‘The Myth of too big to fail’ 11(4) </w:t>
      </w:r>
      <w:r w:rsidRPr="00A70BD6">
        <w:rPr>
          <w:b w:val="0"/>
          <w:i/>
        </w:rPr>
        <w:t>Journal of Banking Regulation</w:t>
      </w:r>
      <w:r>
        <w:rPr>
          <w:b w:val="0"/>
          <w:i/>
        </w:rPr>
        <w:t>, 2010, 321.</w:t>
      </w:r>
    </w:p>
  </w:footnote>
  <w:footnote w:id="12">
    <w:p w14:paraId="4F298DC6" w14:textId="44102AEC" w:rsidR="004A5F49" w:rsidRPr="00015592" w:rsidRDefault="004A5F49" w:rsidP="00015592">
      <w:pPr>
        <w:pStyle w:val="FootnoteText"/>
        <w:spacing w:line="276" w:lineRule="auto"/>
        <w:rPr>
          <w:rFonts w:cs="Times New Roman"/>
          <w:b w:val="0"/>
        </w:rPr>
      </w:pPr>
      <w:r w:rsidRPr="00015592">
        <w:rPr>
          <w:rStyle w:val="FootnoteReference"/>
          <w:rFonts w:cs="Times New Roman"/>
          <w:b w:val="0"/>
        </w:rPr>
        <w:footnoteRef/>
      </w:r>
      <w:proofErr w:type="spellStart"/>
      <w:r w:rsidRPr="00015592">
        <w:rPr>
          <w:rFonts w:cs="Times New Roman"/>
          <w:b w:val="0"/>
        </w:rPr>
        <w:t>Ijiri</w:t>
      </w:r>
      <w:proofErr w:type="spellEnd"/>
      <w:r w:rsidRPr="00015592">
        <w:rPr>
          <w:rFonts w:cs="Times New Roman"/>
          <w:b w:val="0"/>
        </w:rPr>
        <w:t xml:space="preserve"> Y and Simon H,</w:t>
      </w:r>
      <w:r w:rsidRPr="00015592">
        <w:rPr>
          <w:rFonts w:cs="Times New Roman"/>
          <w:b w:val="0"/>
          <w:i/>
        </w:rPr>
        <w:t xml:space="preserve"> Skew distributions and the size of business firms,</w:t>
      </w:r>
      <w:r w:rsidRPr="00015592">
        <w:rPr>
          <w:rFonts w:cs="Times New Roman"/>
          <w:b w:val="0"/>
        </w:rPr>
        <w:t xml:space="preserve"> North Holland</w:t>
      </w:r>
      <w:r>
        <w:rPr>
          <w:rFonts w:cs="Times New Roman"/>
          <w:b w:val="0"/>
        </w:rPr>
        <w:t xml:space="preserve"> Publishing Company, New York, 1977, 24.</w:t>
      </w:r>
    </w:p>
  </w:footnote>
  <w:footnote w:id="13">
    <w:p w14:paraId="03886198" w14:textId="29D2DF60" w:rsidR="004A5F49" w:rsidRDefault="004A5F49">
      <w:pPr>
        <w:pStyle w:val="FootnoteText"/>
      </w:pPr>
      <w:r>
        <w:rPr>
          <w:rStyle w:val="FootnoteReference"/>
        </w:rPr>
        <w:footnoteRef/>
      </w:r>
      <w:r>
        <w:t xml:space="preserve"> </w:t>
      </w:r>
      <w:proofErr w:type="spellStart"/>
      <w:r w:rsidRPr="00A70BD6">
        <w:rPr>
          <w:b w:val="0"/>
        </w:rPr>
        <w:t>Moosa</w:t>
      </w:r>
      <w:proofErr w:type="spellEnd"/>
      <w:r w:rsidRPr="00A70BD6">
        <w:rPr>
          <w:b w:val="0"/>
        </w:rPr>
        <w:t xml:space="preserve"> </w:t>
      </w:r>
      <w:proofErr w:type="spellStart"/>
      <w:r w:rsidRPr="00A70BD6">
        <w:rPr>
          <w:b w:val="0"/>
        </w:rPr>
        <w:t>Imad</w:t>
      </w:r>
      <w:proofErr w:type="spellEnd"/>
      <w:r w:rsidRPr="00A70BD6">
        <w:rPr>
          <w:b w:val="0"/>
        </w:rPr>
        <w:t xml:space="preserve"> ‘The Myth of too big to fail’</w:t>
      </w:r>
      <w:r>
        <w:rPr>
          <w:b w:val="0"/>
          <w:i/>
        </w:rPr>
        <w:t>, 321.</w:t>
      </w:r>
    </w:p>
  </w:footnote>
  <w:footnote w:id="14">
    <w:p w14:paraId="0830D0C1" w14:textId="4961D209" w:rsidR="004A5F49" w:rsidRPr="00015592" w:rsidRDefault="004A5F49" w:rsidP="00015592">
      <w:pPr>
        <w:pStyle w:val="FootnoteText"/>
        <w:spacing w:line="276" w:lineRule="auto"/>
        <w:rPr>
          <w:rFonts w:cs="Times New Roman"/>
          <w:b w:val="0"/>
        </w:rPr>
      </w:pPr>
      <w:r w:rsidRPr="00015592">
        <w:rPr>
          <w:rStyle w:val="FootnoteReference"/>
          <w:rFonts w:cs="Times New Roman"/>
          <w:b w:val="0"/>
        </w:rPr>
        <w:footnoteRef/>
      </w:r>
      <w:r>
        <w:rPr>
          <w:rFonts w:cs="Times New Roman"/>
          <w:b w:val="0"/>
        </w:rPr>
        <w:t xml:space="preserve"> </w:t>
      </w:r>
      <w:proofErr w:type="spellStart"/>
      <w:r w:rsidRPr="00A70BD6">
        <w:rPr>
          <w:b w:val="0"/>
        </w:rPr>
        <w:t>Moosa</w:t>
      </w:r>
      <w:proofErr w:type="spellEnd"/>
      <w:r w:rsidRPr="00A70BD6">
        <w:rPr>
          <w:b w:val="0"/>
        </w:rPr>
        <w:t xml:space="preserve"> </w:t>
      </w:r>
      <w:proofErr w:type="spellStart"/>
      <w:r w:rsidRPr="00A70BD6">
        <w:rPr>
          <w:b w:val="0"/>
        </w:rPr>
        <w:t>Imad</w:t>
      </w:r>
      <w:proofErr w:type="spellEnd"/>
      <w:r w:rsidRPr="00A70BD6">
        <w:rPr>
          <w:b w:val="0"/>
        </w:rPr>
        <w:t xml:space="preserve"> ‘The Myth of too big to fail’</w:t>
      </w:r>
      <w:r>
        <w:rPr>
          <w:b w:val="0"/>
        </w:rPr>
        <w:t>,</w:t>
      </w:r>
      <w:r>
        <w:rPr>
          <w:b w:val="0"/>
          <w:i/>
        </w:rPr>
        <w:t xml:space="preserve"> 322.</w:t>
      </w:r>
    </w:p>
  </w:footnote>
  <w:footnote w:id="15">
    <w:p w14:paraId="62697B86" w14:textId="39BE23B9" w:rsidR="004A5F49" w:rsidRDefault="004A5F49">
      <w:pPr>
        <w:pStyle w:val="FootnoteText"/>
      </w:pPr>
      <w:r>
        <w:rPr>
          <w:rStyle w:val="FootnoteReference"/>
        </w:rPr>
        <w:footnoteRef/>
      </w:r>
      <w:r>
        <w:t xml:space="preserve"> </w:t>
      </w:r>
      <w:proofErr w:type="spellStart"/>
      <w:r w:rsidRPr="00015592">
        <w:rPr>
          <w:rFonts w:cs="Times New Roman"/>
          <w:b w:val="0"/>
        </w:rPr>
        <w:t>Bouchaud</w:t>
      </w:r>
      <w:proofErr w:type="spellEnd"/>
      <w:r>
        <w:rPr>
          <w:rFonts w:cs="Times New Roman"/>
          <w:b w:val="0"/>
        </w:rPr>
        <w:t xml:space="preserve"> J. P and </w:t>
      </w:r>
      <w:r w:rsidRPr="00015592">
        <w:rPr>
          <w:rFonts w:cs="Times New Roman"/>
          <w:b w:val="0"/>
        </w:rPr>
        <w:t>Potters</w:t>
      </w:r>
      <w:r>
        <w:rPr>
          <w:rFonts w:cs="Times New Roman"/>
          <w:b w:val="0"/>
        </w:rPr>
        <w:t xml:space="preserve"> M</w:t>
      </w:r>
      <w:r w:rsidRPr="00015592">
        <w:rPr>
          <w:rFonts w:cs="Times New Roman"/>
          <w:b w:val="0"/>
        </w:rPr>
        <w:t xml:space="preserve">, </w:t>
      </w:r>
      <w:r w:rsidRPr="00015592">
        <w:rPr>
          <w:rFonts w:cs="Times New Roman"/>
          <w:b w:val="0"/>
          <w:i/>
        </w:rPr>
        <w:t>Theory of Financial Risks and Derivatives Pricing, From Statistical Physics to Risk Management</w:t>
      </w:r>
      <w:r>
        <w:rPr>
          <w:rFonts w:cs="Times New Roman"/>
          <w:b w:val="0"/>
        </w:rPr>
        <w:t xml:space="preserve">, 2nd Ed., Cambridge University Press, </w:t>
      </w:r>
      <w:r w:rsidRPr="00015592">
        <w:rPr>
          <w:rFonts w:cs="Times New Roman"/>
          <w:b w:val="0"/>
        </w:rPr>
        <w:t xml:space="preserve">2003, </w:t>
      </w:r>
      <w:r>
        <w:rPr>
          <w:rFonts w:cs="Times New Roman"/>
          <w:b w:val="0"/>
        </w:rPr>
        <w:t>12.</w:t>
      </w:r>
    </w:p>
  </w:footnote>
  <w:footnote w:id="16">
    <w:p w14:paraId="674FAD83" w14:textId="61B2BA6F" w:rsidR="004A5F49" w:rsidRDefault="004A5F49">
      <w:pPr>
        <w:pStyle w:val="FootnoteText"/>
      </w:pPr>
      <w:r>
        <w:rPr>
          <w:rStyle w:val="FootnoteReference"/>
        </w:rPr>
        <w:footnoteRef/>
      </w:r>
      <w:r>
        <w:t xml:space="preserve"> </w:t>
      </w:r>
      <w:proofErr w:type="spellStart"/>
      <w:r w:rsidRPr="00015592">
        <w:rPr>
          <w:rFonts w:cs="Times New Roman"/>
          <w:b w:val="0"/>
        </w:rPr>
        <w:t>Bouchaud</w:t>
      </w:r>
      <w:proofErr w:type="spellEnd"/>
      <w:r>
        <w:rPr>
          <w:rFonts w:cs="Times New Roman"/>
          <w:b w:val="0"/>
        </w:rPr>
        <w:t xml:space="preserve"> and </w:t>
      </w:r>
      <w:r w:rsidRPr="00015592">
        <w:rPr>
          <w:rFonts w:cs="Times New Roman"/>
          <w:b w:val="0"/>
        </w:rPr>
        <w:t xml:space="preserve">Potters, </w:t>
      </w:r>
      <w:r w:rsidRPr="00015592">
        <w:rPr>
          <w:rFonts w:cs="Times New Roman"/>
          <w:b w:val="0"/>
          <w:i/>
        </w:rPr>
        <w:t>Theory of Financial Risks and Derivatives Pricing, From Statistical Physics to Risk Management</w:t>
      </w:r>
      <w:r w:rsidRPr="00015592">
        <w:rPr>
          <w:rFonts w:cs="Times New Roman"/>
          <w:b w:val="0"/>
        </w:rPr>
        <w:t xml:space="preserve">, </w:t>
      </w:r>
      <w:r>
        <w:rPr>
          <w:rFonts w:cs="Times New Roman"/>
          <w:b w:val="0"/>
        </w:rPr>
        <w:t>12.</w:t>
      </w:r>
    </w:p>
  </w:footnote>
  <w:footnote w:id="17">
    <w:p w14:paraId="53C53E33" w14:textId="5A200D3F" w:rsidR="004A5F49" w:rsidRPr="00015592" w:rsidRDefault="004A5F49" w:rsidP="00FB07EB">
      <w:pPr>
        <w:pStyle w:val="FootnoteText"/>
        <w:spacing w:line="276" w:lineRule="auto"/>
        <w:rPr>
          <w:rFonts w:cs="Times New Roman"/>
          <w:b w:val="0"/>
        </w:rPr>
      </w:pPr>
      <w:r w:rsidRPr="00015592">
        <w:rPr>
          <w:rStyle w:val="FootnoteReference"/>
          <w:rFonts w:cs="Times New Roman"/>
          <w:b w:val="0"/>
        </w:rPr>
        <w:footnoteRef/>
      </w:r>
      <w:proofErr w:type="spellStart"/>
      <w:r>
        <w:rPr>
          <w:rFonts w:cs="Times New Roman"/>
          <w:b w:val="0"/>
        </w:rPr>
        <w:t>Wafula</w:t>
      </w:r>
      <w:proofErr w:type="spellEnd"/>
      <w:r>
        <w:rPr>
          <w:rFonts w:cs="Times New Roman"/>
          <w:b w:val="0"/>
        </w:rPr>
        <w:t xml:space="preserve"> B</w:t>
      </w:r>
      <w:r w:rsidRPr="00015592">
        <w:rPr>
          <w:rFonts w:cs="Times New Roman"/>
          <w:b w:val="0"/>
        </w:rPr>
        <w:t xml:space="preserve">, ‘Troubled KQ gets </w:t>
      </w:r>
      <w:proofErr w:type="spellStart"/>
      <w:r w:rsidRPr="00015592">
        <w:rPr>
          <w:rFonts w:cs="Times New Roman"/>
          <w:b w:val="0"/>
        </w:rPr>
        <w:t>Kshs</w:t>
      </w:r>
      <w:proofErr w:type="spellEnd"/>
      <w:r w:rsidRPr="00015592">
        <w:rPr>
          <w:rFonts w:cs="Times New Roman"/>
          <w:b w:val="0"/>
        </w:rPr>
        <w:t xml:space="preserve">. 4.2billion </w:t>
      </w:r>
      <w:r>
        <w:rPr>
          <w:rFonts w:cs="Times New Roman"/>
          <w:b w:val="0"/>
        </w:rPr>
        <w:t>from government’ Citizen Digital, 2</w:t>
      </w:r>
      <w:r w:rsidRPr="00015592">
        <w:rPr>
          <w:rFonts w:cs="Times New Roman"/>
          <w:b w:val="0"/>
          <w:vertAlign w:val="superscript"/>
        </w:rPr>
        <w:t>nd</w:t>
      </w:r>
      <w:r>
        <w:rPr>
          <w:rFonts w:cs="Times New Roman"/>
          <w:b w:val="0"/>
        </w:rPr>
        <w:t xml:space="preserve"> September 2015 </w:t>
      </w:r>
      <w:hyperlink r:id="rId1" w:history="1">
        <w:r w:rsidRPr="007A5F29">
          <w:rPr>
            <w:rStyle w:val="Hyperlink"/>
            <w:rFonts w:cs="Times New Roman"/>
            <w:b w:val="0"/>
          </w:rPr>
          <w:t>https://www.google.com/amp/s/citizentv.co.ke/business/troubled-kq-gets-ksh-4-2-billion-from-government-99682/%3famp</w:t>
        </w:r>
      </w:hyperlink>
      <w:r>
        <w:rPr>
          <w:rFonts w:cs="Times New Roman"/>
          <w:b w:val="0"/>
        </w:rPr>
        <w:t xml:space="preserve"> on 10</w:t>
      </w:r>
      <w:r w:rsidRPr="00015592">
        <w:rPr>
          <w:rFonts w:cs="Times New Roman"/>
          <w:b w:val="0"/>
          <w:vertAlign w:val="superscript"/>
        </w:rPr>
        <w:t>th</w:t>
      </w:r>
      <w:r>
        <w:rPr>
          <w:rFonts w:cs="Times New Roman"/>
          <w:b w:val="0"/>
        </w:rPr>
        <w:t xml:space="preserve"> September 2020</w:t>
      </w:r>
      <w:r w:rsidRPr="00015592">
        <w:rPr>
          <w:rFonts w:cs="Times New Roman"/>
          <w:b w:val="0"/>
        </w:rPr>
        <w:t>.</w:t>
      </w:r>
    </w:p>
  </w:footnote>
  <w:footnote w:id="18">
    <w:p w14:paraId="7AB1BA6C" w14:textId="77777777" w:rsidR="004A5F49" w:rsidRDefault="004A5F49" w:rsidP="00FB07EB">
      <w:pPr>
        <w:pStyle w:val="FootnoteText"/>
        <w:spacing w:line="276" w:lineRule="auto"/>
      </w:pPr>
      <w:r>
        <w:rPr>
          <w:rStyle w:val="FootnoteReference"/>
        </w:rPr>
        <w:footnoteRef/>
      </w:r>
      <w:r>
        <w:t xml:space="preserve"> </w:t>
      </w:r>
      <w:proofErr w:type="spellStart"/>
      <w:r>
        <w:rPr>
          <w:rFonts w:cs="Times New Roman"/>
          <w:b w:val="0"/>
        </w:rPr>
        <w:t>Chepngenoh</w:t>
      </w:r>
      <w:proofErr w:type="spellEnd"/>
      <w:r>
        <w:rPr>
          <w:rFonts w:cs="Times New Roman"/>
          <w:b w:val="0"/>
        </w:rPr>
        <w:t xml:space="preserve"> F and </w:t>
      </w:r>
      <w:proofErr w:type="spellStart"/>
      <w:r>
        <w:rPr>
          <w:rFonts w:cs="Times New Roman"/>
          <w:b w:val="0"/>
        </w:rPr>
        <w:t>Muriu</w:t>
      </w:r>
      <w:proofErr w:type="spellEnd"/>
      <w:r>
        <w:rPr>
          <w:rFonts w:cs="Times New Roman"/>
          <w:b w:val="0"/>
        </w:rPr>
        <w:t xml:space="preserve"> P ‘Does Risk-Taking Behavior Matter for Bank Efficiency’ 3(4) </w:t>
      </w:r>
      <w:r w:rsidRPr="00F65284">
        <w:rPr>
          <w:rFonts w:cs="Times New Roman"/>
          <w:b w:val="0"/>
          <w:i/>
        </w:rPr>
        <w:t>Journal of Economics and Business</w:t>
      </w:r>
      <w:r>
        <w:rPr>
          <w:rFonts w:cs="Times New Roman"/>
          <w:b w:val="0"/>
        </w:rPr>
        <w:t>, 2020, 1550.</w:t>
      </w:r>
    </w:p>
  </w:footnote>
  <w:footnote w:id="19">
    <w:p w14:paraId="13D6F671" w14:textId="4D99503A" w:rsidR="004A5F49" w:rsidRDefault="004A5F49" w:rsidP="00FB07EB">
      <w:pPr>
        <w:pStyle w:val="FootnoteText"/>
        <w:spacing w:line="276" w:lineRule="auto"/>
      </w:pPr>
      <w:r>
        <w:rPr>
          <w:rStyle w:val="FootnoteReference"/>
        </w:rPr>
        <w:footnoteRef/>
      </w:r>
      <w:r>
        <w:t xml:space="preserve"> </w:t>
      </w:r>
      <w:r>
        <w:rPr>
          <w:rFonts w:cs="Times New Roman"/>
          <w:b w:val="0"/>
          <w:color w:val="000000"/>
        </w:rPr>
        <w:t xml:space="preserve">Halima R and </w:t>
      </w:r>
      <w:proofErr w:type="spellStart"/>
      <w:r>
        <w:rPr>
          <w:rFonts w:cs="Times New Roman"/>
          <w:b w:val="0"/>
          <w:color w:val="000000"/>
        </w:rPr>
        <w:t>Wepukhulu</w:t>
      </w:r>
      <w:proofErr w:type="spellEnd"/>
      <w:r>
        <w:rPr>
          <w:rFonts w:cs="Times New Roman"/>
          <w:b w:val="0"/>
          <w:color w:val="000000"/>
        </w:rPr>
        <w:t xml:space="preserve"> J ‘Effect of Financial Innovation on Financial </w:t>
      </w:r>
      <w:proofErr w:type="spellStart"/>
      <w:r>
        <w:rPr>
          <w:rFonts w:cs="Times New Roman"/>
          <w:b w:val="0"/>
          <w:color w:val="000000"/>
        </w:rPr>
        <w:t>Perfomance</w:t>
      </w:r>
      <w:proofErr w:type="spellEnd"/>
      <w:r>
        <w:rPr>
          <w:rFonts w:cs="Times New Roman"/>
          <w:b w:val="0"/>
          <w:color w:val="000000"/>
        </w:rPr>
        <w:t xml:space="preserve"> of Tier One Commercial Banks in Kenya’ 3(6) </w:t>
      </w:r>
      <w:r w:rsidRPr="007D5C52">
        <w:rPr>
          <w:rFonts w:cs="Times New Roman"/>
          <w:b w:val="0"/>
          <w:i/>
          <w:color w:val="000000"/>
        </w:rPr>
        <w:t>International Academic Journal of Economics and Finance</w:t>
      </w:r>
      <w:r>
        <w:rPr>
          <w:rFonts w:cs="Times New Roman"/>
          <w:b w:val="0"/>
          <w:color w:val="000000"/>
        </w:rPr>
        <w:t>, 2020, 182.</w:t>
      </w:r>
    </w:p>
  </w:footnote>
  <w:footnote w:id="20">
    <w:p w14:paraId="4345AEA8" w14:textId="35AF52F7" w:rsidR="004A5F49" w:rsidRDefault="004A5F49" w:rsidP="00FB07EB">
      <w:pPr>
        <w:pStyle w:val="FootnoteText"/>
        <w:spacing w:line="276" w:lineRule="auto"/>
      </w:pPr>
      <w:r>
        <w:rPr>
          <w:rStyle w:val="FootnoteReference"/>
        </w:rPr>
        <w:footnoteRef/>
      </w:r>
      <w:r>
        <w:t xml:space="preserve"> </w:t>
      </w:r>
      <w:r>
        <w:rPr>
          <w:b w:val="0"/>
        </w:rPr>
        <w:t xml:space="preserve">Hartmann P, </w:t>
      </w:r>
      <w:proofErr w:type="spellStart"/>
      <w:r>
        <w:rPr>
          <w:b w:val="0"/>
        </w:rPr>
        <w:t>Straetmans</w:t>
      </w:r>
      <w:proofErr w:type="spellEnd"/>
      <w:r>
        <w:rPr>
          <w:b w:val="0"/>
        </w:rPr>
        <w:t xml:space="preserve"> </w:t>
      </w:r>
      <w:r w:rsidRPr="002E5F4B">
        <w:rPr>
          <w:b w:val="0"/>
        </w:rPr>
        <w:t xml:space="preserve">S and De </w:t>
      </w:r>
      <w:proofErr w:type="spellStart"/>
      <w:r w:rsidRPr="002E5F4B">
        <w:rPr>
          <w:b w:val="0"/>
        </w:rPr>
        <w:t>Vries</w:t>
      </w:r>
      <w:proofErr w:type="spellEnd"/>
      <w:r w:rsidRPr="002E5F4B">
        <w:rPr>
          <w:b w:val="0"/>
        </w:rPr>
        <w:t xml:space="preserve"> C, ‘Banking System Stability: A Cross-Atlantic perspective’ National Bureau of Economic Research, Working Paper 11698, 2005,</w:t>
      </w:r>
      <w:r>
        <w:t xml:space="preserve"> </w:t>
      </w:r>
      <w:r w:rsidRPr="002E5F4B">
        <w:rPr>
          <w:b w:val="0"/>
        </w:rPr>
        <w:t>12.</w:t>
      </w:r>
      <w:r>
        <w:t xml:space="preserve"> </w:t>
      </w:r>
    </w:p>
  </w:footnote>
  <w:footnote w:id="21">
    <w:p w14:paraId="49594E02" w14:textId="1BFF244E" w:rsidR="004A5F49" w:rsidRPr="00EF69EA" w:rsidRDefault="004A5F49" w:rsidP="00FB07EB">
      <w:pPr>
        <w:pStyle w:val="FootnoteText"/>
        <w:spacing w:line="276" w:lineRule="auto"/>
        <w:rPr>
          <w:i/>
        </w:rPr>
      </w:pPr>
      <w:r>
        <w:rPr>
          <w:rStyle w:val="FootnoteReference"/>
        </w:rPr>
        <w:footnoteRef/>
      </w:r>
      <w:r>
        <w:t xml:space="preserve"> </w:t>
      </w:r>
      <w:proofErr w:type="spellStart"/>
      <w:r w:rsidRPr="00EF69EA">
        <w:rPr>
          <w:b w:val="0"/>
        </w:rPr>
        <w:t>Gichuki</w:t>
      </w:r>
      <w:proofErr w:type="spellEnd"/>
      <w:r w:rsidRPr="00EF69EA">
        <w:rPr>
          <w:b w:val="0"/>
        </w:rPr>
        <w:t xml:space="preserve"> J, </w:t>
      </w:r>
      <w:proofErr w:type="spellStart"/>
      <w:r w:rsidRPr="00EF69EA">
        <w:rPr>
          <w:b w:val="0"/>
        </w:rPr>
        <w:t>Oduor</w:t>
      </w:r>
      <w:proofErr w:type="spellEnd"/>
      <w:r w:rsidRPr="00EF69EA">
        <w:rPr>
          <w:b w:val="0"/>
        </w:rPr>
        <w:t xml:space="preserve"> J and </w:t>
      </w:r>
      <w:proofErr w:type="spellStart"/>
      <w:r w:rsidRPr="00EF69EA">
        <w:rPr>
          <w:b w:val="0"/>
        </w:rPr>
        <w:t>Kosimbei</w:t>
      </w:r>
      <w:proofErr w:type="spellEnd"/>
      <w:r w:rsidRPr="00EF69EA">
        <w:rPr>
          <w:b w:val="0"/>
        </w:rPr>
        <w:t xml:space="preserve"> G, ‘</w:t>
      </w:r>
      <w:r>
        <w:rPr>
          <w:b w:val="0"/>
        </w:rPr>
        <w:t>The choice of optimal</w:t>
      </w:r>
      <w:r w:rsidRPr="00EF69EA">
        <w:rPr>
          <w:b w:val="0"/>
        </w:rPr>
        <w:t xml:space="preserve"> monetary policy instrument for Kenya’ 1(9) </w:t>
      </w:r>
      <w:r w:rsidRPr="00EF69EA">
        <w:rPr>
          <w:b w:val="0"/>
          <w:i/>
        </w:rPr>
        <w:t xml:space="preserve">International Journal of Economics and Management Science, </w:t>
      </w:r>
      <w:r>
        <w:rPr>
          <w:b w:val="0"/>
        </w:rPr>
        <w:t>2012, 10</w:t>
      </w:r>
      <w:r w:rsidRPr="00EF69EA">
        <w:rPr>
          <w:b w:val="0"/>
        </w:rPr>
        <w:t>.</w:t>
      </w:r>
    </w:p>
    <w:p w14:paraId="634A2E42" w14:textId="77777777" w:rsidR="004A5F49" w:rsidRDefault="004A5F49">
      <w:pPr>
        <w:pStyle w:val="FootnoteText"/>
      </w:pPr>
    </w:p>
  </w:footnote>
  <w:footnote w:id="22">
    <w:p w14:paraId="414A76B8" w14:textId="3DD6F777" w:rsidR="004A5F49" w:rsidRPr="007E04A9" w:rsidRDefault="004A5F49" w:rsidP="009F463B">
      <w:pPr>
        <w:pStyle w:val="FootnoteText"/>
        <w:spacing w:line="276" w:lineRule="auto"/>
        <w:rPr>
          <w:i/>
        </w:rPr>
      </w:pPr>
      <w:r>
        <w:rPr>
          <w:rStyle w:val="FootnoteReference"/>
        </w:rPr>
        <w:footnoteRef/>
      </w:r>
      <w:r>
        <w:t xml:space="preserve"> </w:t>
      </w:r>
      <w:r w:rsidRPr="007E04A9">
        <w:rPr>
          <w:b w:val="0"/>
        </w:rPr>
        <w:t xml:space="preserve">Wallison P, </w:t>
      </w:r>
      <w:proofErr w:type="spellStart"/>
      <w:r w:rsidRPr="007E04A9">
        <w:rPr>
          <w:b w:val="0"/>
        </w:rPr>
        <w:t>‘Cause</w:t>
      </w:r>
      <w:proofErr w:type="spellEnd"/>
      <w:r w:rsidRPr="007E04A9">
        <w:rPr>
          <w:b w:val="0"/>
        </w:rPr>
        <w:t xml:space="preserve"> and effect: government policies and the financial crisis’ 21(2-3) </w:t>
      </w:r>
      <w:r w:rsidRPr="007E04A9">
        <w:rPr>
          <w:b w:val="0"/>
          <w:i/>
        </w:rPr>
        <w:t>Critical Review, 366.</w:t>
      </w:r>
    </w:p>
  </w:footnote>
  <w:footnote w:id="23">
    <w:p w14:paraId="0BC83324" w14:textId="35935771" w:rsidR="004A5F49" w:rsidRPr="009F463B" w:rsidRDefault="004A5F49" w:rsidP="009F463B">
      <w:pPr>
        <w:pStyle w:val="FootnoteText"/>
        <w:spacing w:line="276" w:lineRule="auto"/>
        <w:rPr>
          <w:b w:val="0"/>
        </w:rPr>
      </w:pPr>
      <w:r>
        <w:rPr>
          <w:rStyle w:val="FootnoteReference"/>
        </w:rPr>
        <w:footnoteRef/>
      </w:r>
      <w:r>
        <w:t xml:space="preserve"> </w:t>
      </w:r>
      <w:r w:rsidRPr="009F463B">
        <w:rPr>
          <w:b w:val="0"/>
        </w:rPr>
        <w:t xml:space="preserve">Mori A and </w:t>
      </w:r>
      <w:proofErr w:type="spellStart"/>
      <w:r w:rsidRPr="009F463B">
        <w:rPr>
          <w:b w:val="0"/>
        </w:rPr>
        <w:t>Tomotsun</w:t>
      </w:r>
      <w:proofErr w:type="spellEnd"/>
      <w:r>
        <w:rPr>
          <w:b w:val="0"/>
        </w:rPr>
        <w:t xml:space="preserve"> A</w:t>
      </w:r>
      <w:r w:rsidRPr="009F463B">
        <w:rPr>
          <w:b w:val="0"/>
        </w:rPr>
        <w:t xml:space="preserve">, ‘Overview of Mergers and Acquisition in Kenya’ </w:t>
      </w:r>
      <w:proofErr w:type="spellStart"/>
      <w:r w:rsidRPr="009F463B">
        <w:rPr>
          <w:b w:val="0"/>
        </w:rPr>
        <w:t>Lexology</w:t>
      </w:r>
      <w:proofErr w:type="spellEnd"/>
      <w:r w:rsidRPr="009F463B">
        <w:rPr>
          <w:b w:val="0"/>
        </w:rPr>
        <w:t>, 21</w:t>
      </w:r>
      <w:r w:rsidRPr="009F463B">
        <w:rPr>
          <w:b w:val="0"/>
          <w:vertAlign w:val="superscript"/>
        </w:rPr>
        <w:t>st</w:t>
      </w:r>
      <w:r w:rsidRPr="009F463B">
        <w:rPr>
          <w:b w:val="0"/>
        </w:rPr>
        <w:t xml:space="preserve"> October 2020 </w:t>
      </w:r>
      <w:hyperlink r:id="rId2" w:history="1">
        <w:r w:rsidRPr="00CF1ED1">
          <w:rPr>
            <w:rStyle w:val="Hyperlink"/>
            <w:b w:val="0"/>
          </w:rPr>
          <w:t>https://www.lexology.com/library/detail.aspx?g=42e12f87-5438-4ed7-94dc-93b7a64a76a9</w:t>
        </w:r>
      </w:hyperlink>
      <w:r>
        <w:rPr>
          <w:b w:val="0"/>
        </w:rPr>
        <w:t xml:space="preserve"> on </w:t>
      </w:r>
      <w:r w:rsidRPr="009F463B">
        <w:rPr>
          <w:b w:val="0"/>
        </w:rPr>
        <w:t>10</w:t>
      </w:r>
      <w:r w:rsidRPr="009F463B">
        <w:rPr>
          <w:b w:val="0"/>
          <w:vertAlign w:val="superscript"/>
        </w:rPr>
        <w:t>th</w:t>
      </w:r>
      <w:r>
        <w:rPr>
          <w:b w:val="0"/>
        </w:rPr>
        <w:t xml:space="preserve"> Nove</w:t>
      </w:r>
      <w:r w:rsidRPr="009F463B">
        <w:rPr>
          <w:b w:val="0"/>
        </w:rPr>
        <w:t>mber 2020.</w:t>
      </w:r>
    </w:p>
  </w:footnote>
  <w:footnote w:id="24">
    <w:p w14:paraId="021B3668" w14:textId="31A895E8" w:rsidR="004A5F49" w:rsidRPr="00CA5242" w:rsidRDefault="004A5F49" w:rsidP="00663821">
      <w:pPr>
        <w:pStyle w:val="FootnoteText"/>
        <w:spacing w:line="276" w:lineRule="auto"/>
        <w:rPr>
          <w:rFonts w:cs="Times New Roman"/>
          <w:b w:val="0"/>
        </w:rPr>
      </w:pPr>
      <w:r w:rsidRPr="00CA5242">
        <w:rPr>
          <w:rStyle w:val="FootnoteReference"/>
          <w:rFonts w:cs="Times New Roman"/>
          <w:b w:val="0"/>
        </w:rPr>
        <w:footnoteRef/>
      </w:r>
      <w:r w:rsidRPr="00CA5242">
        <w:rPr>
          <w:rFonts w:cs="Times New Roman"/>
          <w:b w:val="0"/>
        </w:rPr>
        <w:t xml:space="preserve"> </w:t>
      </w:r>
      <w:proofErr w:type="spellStart"/>
      <w:r w:rsidRPr="00CA5242">
        <w:rPr>
          <w:rFonts w:cs="Times New Roman"/>
          <w:b w:val="0"/>
        </w:rPr>
        <w:t>Taleb</w:t>
      </w:r>
      <w:proofErr w:type="spellEnd"/>
      <w:r w:rsidRPr="00CA5242">
        <w:rPr>
          <w:rFonts w:cs="Times New Roman"/>
          <w:b w:val="0"/>
        </w:rPr>
        <w:t xml:space="preserve"> N, </w:t>
      </w:r>
      <w:r w:rsidRPr="00CA5242">
        <w:rPr>
          <w:rFonts w:cs="Times New Roman"/>
          <w:b w:val="0"/>
          <w:i/>
        </w:rPr>
        <w:t xml:space="preserve">The Black Swan: The Impact of the Highly Improbable, </w:t>
      </w:r>
      <w:r w:rsidRPr="00CA5242">
        <w:rPr>
          <w:rFonts w:cs="Times New Roman"/>
          <w:b w:val="0"/>
        </w:rPr>
        <w:t>Penguin Books Publishing Company, London, 2008, 12.</w:t>
      </w:r>
    </w:p>
  </w:footnote>
  <w:footnote w:id="25">
    <w:p w14:paraId="113E57D7" w14:textId="6D8D96C9" w:rsidR="00741C43" w:rsidRDefault="00741C43">
      <w:pPr>
        <w:pStyle w:val="FootnoteText"/>
      </w:pPr>
      <w:r>
        <w:rPr>
          <w:rStyle w:val="FootnoteReference"/>
        </w:rPr>
        <w:footnoteRef/>
      </w:r>
      <w:r>
        <w:t xml:space="preserve"> </w:t>
      </w:r>
      <w:proofErr w:type="spellStart"/>
      <w:r w:rsidRPr="00CA5242">
        <w:rPr>
          <w:rFonts w:cs="Times New Roman"/>
          <w:b w:val="0"/>
        </w:rPr>
        <w:t>Taleb</w:t>
      </w:r>
      <w:proofErr w:type="spellEnd"/>
      <w:r w:rsidRPr="00CA5242">
        <w:rPr>
          <w:rFonts w:cs="Times New Roman"/>
          <w:b w:val="0"/>
        </w:rPr>
        <w:t xml:space="preserve"> N, </w:t>
      </w:r>
      <w:r w:rsidRPr="00CA5242">
        <w:rPr>
          <w:rFonts w:cs="Times New Roman"/>
          <w:b w:val="0"/>
          <w:i/>
        </w:rPr>
        <w:t xml:space="preserve">The Black Swan: The Impact of the Highly Improbable, </w:t>
      </w:r>
      <w:r w:rsidRPr="00CA5242">
        <w:rPr>
          <w:rFonts w:cs="Times New Roman"/>
          <w:b w:val="0"/>
        </w:rPr>
        <w:t>Penguin Books Publishing Company, London, 2008, 12.</w:t>
      </w:r>
    </w:p>
  </w:footnote>
  <w:footnote w:id="26">
    <w:p w14:paraId="479939AC" w14:textId="7B8016D8" w:rsidR="004A5F49" w:rsidRPr="00CA5242" w:rsidRDefault="004A5F49" w:rsidP="00663821">
      <w:pPr>
        <w:pStyle w:val="FootnoteText"/>
        <w:spacing w:line="276" w:lineRule="auto"/>
      </w:pPr>
      <w:r w:rsidRPr="00CA5242">
        <w:rPr>
          <w:rStyle w:val="FootnoteReference"/>
        </w:rPr>
        <w:footnoteRef/>
      </w:r>
      <w:r w:rsidRPr="00CA5242">
        <w:t xml:space="preserve"> </w:t>
      </w:r>
      <w:proofErr w:type="spellStart"/>
      <w:r>
        <w:rPr>
          <w:b w:val="0"/>
        </w:rPr>
        <w:t>Moenninghoff</w:t>
      </w:r>
      <w:proofErr w:type="spellEnd"/>
      <w:r>
        <w:rPr>
          <w:b w:val="0"/>
        </w:rPr>
        <w:t xml:space="preserve"> </w:t>
      </w:r>
      <w:r w:rsidRPr="00CA5242">
        <w:rPr>
          <w:b w:val="0"/>
        </w:rPr>
        <w:t xml:space="preserve">S, ‘Consequences of Government Guarantees for Banks – A survey of the </w:t>
      </w:r>
      <w:proofErr w:type="spellStart"/>
      <w:r w:rsidRPr="00CA5242">
        <w:rPr>
          <w:b w:val="0"/>
        </w:rPr>
        <w:t>the</w:t>
      </w:r>
      <w:proofErr w:type="spellEnd"/>
      <w:r w:rsidRPr="00CA5242">
        <w:rPr>
          <w:b w:val="0"/>
        </w:rPr>
        <w:t xml:space="preserve"> TBTF doctrine’ </w:t>
      </w:r>
      <w:r>
        <w:rPr>
          <w:b w:val="0"/>
        </w:rPr>
        <w:t xml:space="preserve">6 (23) </w:t>
      </w:r>
      <w:r w:rsidRPr="0074353C">
        <w:rPr>
          <w:b w:val="0"/>
          <w:i/>
        </w:rPr>
        <w:t>Journal of Governance and Financial Regulation</w:t>
      </w:r>
      <w:r>
        <w:rPr>
          <w:b w:val="0"/>
        </w:rPr>
        <w:t xml:space="preserve">, </w:t>
      </w:r>
      <w:r w:rsidRPr="00CA5242">
        <w:rPr>
          <w:b w:val="0"/>
        </w:rPr>
        <w:t>2018, 1.</w:t>
      </w:r>
      <w:r w:rsidRPr="00CA5242">
        <w:t xml:space="preserve"> </w:t>
      </w:r>
    </w:p>
  </w:footnote>
  <w:footnote w:id="27">
    <w:p w14:paraId="1BCB32F7" w14:textId="65FB6A87" w:rsidR="004A5F49" w:rsidRDefault="004A5F49" w:rsidP="00663821">
      <w:pPr>
        <w:pStyle w:val="FootnoteText"/>
        <w:spacing w:line="276" w:lineRule="auto"/>
      </w:pPr>
      <w:r w:rsidRPr="00CA5242">
        <w:rPr>
          <w:rStyle w:val="FootnoteReference"/>
        </w:rPr>
        <w:footnoteRef/>
      </w:r>
      <w:r w:rsidRPr="00CA5242">
        <w:t xml:space="preserve"> </w:t>
      </w:r>
      <w:proofErr w:type="spellStart"/>
      <w:r>
        <w:rPr>
          <w:b w:val="0"/>
        </w:rPr>
        <w:t>Moenninghoff</w:t>
      </w:r>
      <w:proofErr w:type="spellEnd"/>
      <w:r>
        <w:rPr>
          <w:b w:val="0"/>
        </w:rPr>
        <w:t xml:space="preserve"> </w:t>
      </w:r>
      <w:r w:rsidRPr="00CA5242">
        <w:rPr>
          <w:b w:val="0"/>
        </w:rPr>
        <w:t xml:space="preserve">S, ‘Consequences of Government Guarantees for Banks – A survey of the </w:t>
      </w:r>
      <w:proofErr w:type="spellStart"/>
      <w:r w:rsidRPr="00CA5242">
        <w:rPr>
          <w:b w:val="0"/>
        </w:rPr>
        <w:t>the</w:t>
      </w:r>
      <w:proofErr w:type="spellEnd"/>
      <w:r w:rsidRPr="00CA5242">
        <w:rPr>
          <w:b w:val="0"/>
        </w:rPr>
        <w:t xml:space="preserve"> TBTF doctrine’ 2018, 1.</w:t>
      </w:r>
      <w:r w:rsidRPr="00CA5242">
        <w:t xml:space="preserve"> </w:t>
      </w:r>
    </w:p>
  </w:footnote>
  <w:footnote w:id="28">
    <w:p w14:paraId="502AAF72" w14:textId="3A0BD393" w:rsidR="004A5F49" w:rsidRDefault="004A5F49" w:rsidP="00663821">
      <w:pPr>
        <w:pStyle w:val="FootnoteText"/>
        <w:spacing w:line="276" w:lineRule="auto"/>
      </w:pPr>
      <w:r>
        <w:rPr>
          <w:rStyle w:val="FootnoteReference"/>
        </w:rPr>
        <w:footnoteRef/>
      </w:r>
      <w:r>
        <w:t xml:space="preserve"> </w:t>
      </w:r>
      <w:proofErr w:type="spellStart"/>
      <w:r w:rsidRPr="0074353C">
        <w:rPr>
          <w:b w:val="0"/>
        </w:rPr>
        <w:t>Umlauft</w:t>
      </w:r>
      <w:proofErr w:type="spellEnd"/>
      <w:r w:rsidRPr="0074353C">
        <w:rPr>
          <w:b w:val="0"/>
        </w:rPr>
        <w:t xml:space="preserve"> T ‘The paradoxical genesis of Too-Big-T</w:t>
      </w:r>
      <w:r>
        <w:rPr>
          <w:b w:val="0"/>
        </w:rPr>
        <w:t>o-</w:t>
      </w:r>
      <w:r w:rsidRPr="0074353C">
        <w:rPr>
          <w:b w:val="0"/>
        </w:rPr>
        <w:t xml:space="preserve">Fail: How Distrust Towards Banks led to TBTF’ Explorations in Financial History Working Paper 1, 2013, 1. </w:t>
      </w:r>
    </w:p>
  </w:footnote>
  <w:footnote w:id="29">
    <w:p w14:paraId="6CC2E467" w14:textId="53BB15F5" w:rsidR="004A5F49" w:rsidRDefault="004A5F49" w:rsidP="00663821">
      <w:pPr>
        <w:pStyle w:val="FootnoteText"/>
        <w:spacing w:line="276" w:lineRule="auto"/>
      </w:pPr>
      <w:r>
        <w:rPr>
          <w:rStyle w:val="FootnoteReference"/>
        </w:rPr>
        <w:footnoteRef/>
      </w:r>
      <w:r>
        <w:t xml:space="preserve"> </w:t>
      </w:r>
      <w:proofErr w:type="spellStart"/>
      <w:r w:rsidRPr="00F4777D">
        <w:rPr>
          <w:b w:val="0"/>
        </w:rPr>
        <w:t>Omondi</w:t>
      </w:r>
      <w:proofErr w:type="spellEnd"/>
      <w:r w:rsidRPr="00F4777D">
        <w:rPr>
          <w:b w:val="0"/>
        </w:rPr>
        <w:t xml:space="preserve"> G and </w:t>
      </w:r>
      <w:proofErr w:type="spellStart"/>
      <w:r w:rsidRPr="00F4777D">
        <w:rPr>
          <w:b w:val="0"/>
        </w:rPr>
        <w:t>Orwaru</w:t>
      </w:r>
      <w:proofErr w:type="spellEnd"/>
      <w:r w:rsidRPr="00F4777D">
        <w:rPr>
          <w:b w:val="0"/>
        </w:rPr>
        <w:t xml:space="preserve"> J, ‘Bank Size and Financial Stability of Commercial Banks in Kenya: Empirical Evidence’ 7(1) </w:t>
      </w:r>
      <w:r w:rsidRPr="00F4777D">
        <w:rPr>
          <w:b w:val="0"/>
          <w:i/>
        </w:rPr>
        <w:t>Journal of Emerging Issues in Economies, Finance and Banking</w:t>
      </w:r>
      <w:r>
        <w:rPr>
          <w:b w:val="0"/>
          <w:i/>
        </w:rPr>
        <w:t>, 2018, 2669.</w:t>
      </w:r>
    </w:p>
  </w:footnote>
  <w:footnote w:id="30">
    <w:p w14:paraId="2BD8A29C" w14:textId="5F0FBBD9" w:rsidR="004A5F49" w:rsidRDefault="004A5F49">
      <w:pPr>
        <w:pStyle w:val="FootnoteText"/>
      </w:pPr>
      <w:r>
        <w:rPr>
          <w:rStyle w:val="FootnoteReference"/>
        </w:rPr>
        <w:footnoteRef/>
      </w:r>
      <w:r>
        <w:t xml:space="preserve"> </w:t>
      </w:r>
      <w:proofErr w:type="spellStart"/>
      <w:r>
        <w:rPr>
          <w:b w:val="0"/>
        </w:rPr>
        <w:t>Moenninghoff</w:t>
      </w:r>
      <w:proofErr w:type="spellEnd"/>
      <w:r>
        <w:rPr>
          <w:b w:val="0"/>
        </w:rPr>
        <w:t xml:space="preserve"> </w:t>
      </w:r>
      <w:r w:rsidRPr="00CA5242">
        <w:rPr>
          <w:b w:val="0"/>
        </w:rPr>
        <w:t xml:space="preserve">S, ‘Consequences of Government Guarantees for Banks – A survey of the </w:t>
      </w:r>
      <w:proofErr w:type="spellStart"/>
      <w:r w:rsidRPr="00CA5242">
        <w:rPr>
          <w:b w:val="0"/>
        </w:rPr>
        <w:t>the</w:t>
      </w:r>
      <w:proofErr w:type="spellEnd"/>
      <w:r w:rsidRPr="00CA5242">
        <w:rPr>
          <w:b w:val="0"/>
        </w:rPr>
        <w:t xml:space="preserve"> TBTF doctrine’ </w:t>
      </w:r>
      <w:r>
        <w:rPr>
          <w:b w:val="0"/>
        </w:rPr>
        <w:t>8.</w:t>
      </w:r>
    </w:p>
  </w:footnote>
  <w:footnote w:id="31">
    <w:p w14:paraId="28A79D92" w14:textId="69F3103D" w:rsidR="004A5F49" w:rsidRPr="00663821" w:rsidRDefault="004A5F49" w:rsidP="00663821">
      <w:pPr>
        <w:pStyle w:val="FootnoteText"/>
        <w:spacing w:line="276" w:lineRule="auto"/>
        <w:rPr>
          <w:b w:val="0"/>
        </w:rPr>
      </w:pPr>
      <w:r w:rsidRPr="00663821">
        <w:rPr>
          <w:rStyle w:val="FootnoteReference"/>
          <w:b w:val="0"/>
        </w:rPr>
        <w:footnoteRef/>
      </w:r>
      <w:r w:rsidRPr="00663821">
        <w:rPr>
          <w:b w:val="0"/>
        </w:rPr>
        <w:t xml:space="preserve"> </w:t>
      </w:r>
      <w:proofErr w:type="spellStart"/>
      <w:r w:rsidRPr="001D6015">
        <w:rPr>
          <w:b w:val="0"/>
        </w:rPr>
        <w:t>Labonte</w:t>
      </w:r>
      <w:proofErr w:type="spellEnd"/>
      <w:r w:rsidRPr="001D6015">
        <w:rPr>
          <w:b w:val="0"/>
        </w:rPr>
        <w:t xml:space="preserve"> M ‘Systematically important or “Too Big </w:t>
      </w:r>
      <w:proofErr w:type="gramStart"/>
      <w:r w:rsidRPr="001D6015">
        <w:rPr>
          <w:b w:val="0"/>
        </w:rPr>
        <w:t>To</w:t>
      </w:r>
      <w:proofErr w:type="gramEnd"/>
      <w:r w:rsidRPr="001D6015">
        <w:rPr>
          <w:b w:val="0"/>
        </w:rPr>
        <w:t xml:space="preserve"> Fail” Financial Institutions’, 2(56) </w:t>
      </w:r>
      <w:r w:rsidRPr="001D6015">
        <w:rPr>
          <w:b w:val="0"/>
          <w:i/>
        </w:rPr>
        <w:t>Congressional Research Service</w:t>
      </w:r>
      <w:r w:rsidRPr="001D6015">
        <w:rPr>
          <w:b w:val="0"/>
        </w:rPr>
        <w:t>, 2014</w:t>
      </w:r>
      <w:r>
        <w:rPr>
          <w:b w:val="0"/>
        </w:rPr>
        <w:t xml:space="preserve"> </w:t>
      </w:r>
    </w:p>
  </w:footnote>
  <w:footnote w:id="32">
    <w:p w14:paraId="1B1E6C4B" w14:textId="34B8B331" w:rsidR="004A5F49" w:rsidRPr="006C26CC" w:rsidRDefault="004A5F49" w:rsidP="00663821">
      <w:pPr>
        <w:pStyle w:val="FootnoteText"/>
        <w:spacing w:line="276" w:lineRule="auto"/>
      </w:pPr>
      <w:r w:rsidRPr="00663821">
        <w:rPr>
          <w:rStyle w:val="FootnoteReference"/>
          <w:b w:val="0"/>
        </w:rPr>
        <w:footnoteRef/>
      </w:r>
      <w:r w:rsidRPr="00663821">
        <w:rPr>
          <w:b w:val="0"/>
        </w:rPr>
        <w:t xml:space="preserve"> </w:t>
      </w:r>
      <w:proofErr w:type="spellStart"/>
      <w:r w:rsidRPr="0074353C">
        <w:rPr>
          <w:b w:val="0"/>
        </w:rPr>
        <w:t>Umlauft</w:t>
      </w:r>
      <w:proofErr w:type="spellEnd"/>
      <w:r w:rsidRPr="0074353C">
        <w:rPr>
          <w:b w:val="0"/>
        </w:rPr>
        <w:t xml:space="preserve"> T ‘The paradoxical genesis of Too-Big-T</w:t>
      </w:r>
      <w:r>
        <w:rPr>
          <w:b w:val="0"/>
        </w:rPr>
        <w:t>o-</w:t>
      </w:r>
      <w:r w:rsidRPr="0074353C">
        <w:rPr>
          <w:b w:val="0"/>
        </w:rPr>
        <w:t xml:space="preserve">Fail: How Distrust Towards Banks led to TBTF’ 1. </w:t>
      </w:r>
    </w:p>
  </w:footnote>
  <w:footnote w:id="33">
    <w:p w14:paraId="0C1F8E83" w14:textId="000414F3" w:rsidR="004A5F49" w:rsidRPr="001D6015" w:rsidRDefault="004A5F49" w:rsidP="00663821">
      <w:pPr>
        <w:pStyle w:val="FootnoteText"/>
        <w:spacing w:line="276" w:lineRule="auto"/>
        <w:rPr>
          <w:b w:val="0"/>
        </w:rPr>
      </w:pPr>
      <w:r w:rsidRPr="00663821">
        <w:rPr>
          <w:rStyle w:val="FootnoteReference"/>
          <w:b w:val="0"/>
        </w:rPr>
        <w:footnoteRef/>
      </w:r>
      <w:r>
        <w:t xml:space="preserve"> </w:t>
      </w:r>
      <w:proofErr w:type="spellStart"/>
      <w:r w:rsidRPr="001D6015">
        <w:rPr>
          <w:b w:val="0"/>
        </w:rPr>
        <w:t>Labonte</w:t>
      </w:r>
      <w:proofErr w:type="spellEnd"/>
      <w:r w:rsidRPr="001D6015">
        <w:rPr>
          <w:b w:val="0"/>
        </w:rPr>
        <w:t xml:space="preserve"> M ‘Systematically important or “Too Big </w:t>
      </w:r>
      <w:proofErr w:type="gramStart"/>
      <w:r w:rsidRPr="001D6015">
        <w:rPr>
          <w:b w:val="0"/>
        </w:rPr>
        <w:t>To</w:t>
      </w:r>
      <w:proofErr w:type="gramEnd"/>
      <w:r w:rsidRPr="001D6015">
        <w:rPr>
          <w:b w:val="0"/>
        </w:rPr>
        <w:t xml:space="preserve"> Fail” Financial Institutions’, 2(56) </w:t>
      </w:r>
      <w:r w:rsidRPr="001D6015">
        <w:rPr>
          <w:b w:val="0"/>
          <w:i/>
        </w:rPr>
        <w:t>Congressional Research Service</w:t>
      </w:r>
      <w:r w:rsidRPr="001D6015">
        <w:rPr>
          <w:b w:val="0"/>
        </w:rPr>
        <w:t>, 2014</w:t>
      </w:r>
      <w:r>
        <w:rPr>
          <w:b w:val="0"/>
        </w:rPr>
        <w:t xml:space="preserve"> </w:t>
      </w:r>
    </w:p>
  </w:footnote>
  <w:footnote w:id="34">
    <w:p w14:paraId="6471A84B" w14:textId="49799B42" w:rsidR="004A5F49" w:rsidRPr="001D6015" w:rsidRDefault="004A5F49">
      <w:pPr>
        <w:pStyle w:val="FootnoteText"/>
        <w:rPr>
          <w:b w:val="0"/>
        </w:rPr>
      </w:pPr>
      <w:r>
        <w:rPr>
          <w:rStyle w:val="FootnoteReference"/>
        </w:rPr>
        <w:footnoteRef/>
      </w:r>
      <w:r>
        <w:t xml:space="preserve"> </w:t>
      </w:r>
      <w:proofErr w:type="spellStart"/>
      <w:r w:rsidRPr="00663821">
        <w:rPr>
          <w:b w:val="0"/>
        </w:rPr>
        <w:t>Goodlet</w:t>
      </w:r>
      <w:proofErr w:type="spellEnd"/>
      <w:r w:rsidRPr="00663821">
        <w:rPr>
          <w:b w:val="0"/>
        </w:rPr>
        <w:t xml:space="preserve"> C, ‘Too Big to Fail: A Misguided Policy in Times of Financial Turmoil’ 1(311), </w:t>
      </w:r>
      <w:r w:rsidRPr="00663821">
        <w:rPr>
          <w:b w:val="0"/>
          <w:i/>
        </w:rPr>
        <w:t>C.D Howe Institute,</w:t>
      </w:r>
      <w:r>
        <w:rPr>
          <w:b w:val="0"/>
          <w:i/>
        </w:rPr>
        <w:t xml:space="preserve"> </w:t>
      </w:r>
      <w:r w:rsidRPr="00663821">
        <w:rPr>
          <w:b w:val="0"/>
        </w:rPr>
        <w:t>2010</w:t>
      </w:r>
      <w:r>
        <w:rPr>
          <w:b w:val="0"/>
        </w:rPr>
        <w:t xml:space="preserve">, </w:t>
      </w:r>
      <w:r w:rsidRPr="00663821">
        <w:rPr>
          <w:b w:val="0"/>
        </w:rPr>
        <w:t>1.</w:t>
      </w:r>
    </w:p>
  </w:footnote>
  <w:footnote w:id="35">
    <w:p w14:paraId="042B9D60" w14:textId="08897868" w:rsidR="004A5F49" w:rsidRPr="009C1F73" w:rsidRDefault="004A5F49">
      <w:pPr>
        <w:pStyle w:val="FootnoteText"/>
        <w:rPr>
          <w:b w:val="0"/>
        </w:rPr>
      </w:pPr>
      <w:r>
        <w:rPr>
          <w:rStyle w:val="FootnoteReference"/>
        </w:rPr>
        <w:footnoteRef/>
      </w:r>
      <w:r>
        <w:t xml:space="preserve"> </w:t>
      </w:r>
      <w:proofErr w:type="spellStart"/>
      <w:r w:rsidRPr="00663821">
        <w:rPr>
          <w:b w:val="0"/>
        </w:rPr>
        <w:t>Goodlet</w:t>
      </w:r>
      <w:proofErr w:type="spellEnd"/>
      <w:r w:rsidRPr="00663821">
        <w:rPr>
          <w:b w:val="0"/>
        </w:rPr>
        <w:t xml:space="preserve"> C, ‘Too Big to Fail: A Misguided Policy in Times of Financial Turmoil’</w:t>
      </w:r>
      <w:r>
        <w:rPr>
          <w:b w:val="0"/>
          <w:i/>
        </w:rPr>
        <w:t xml:space="preserve"> 22</w:t>
      </w:r>
      <w:r w:rsidRPr="00663821">
        <w:rPr>
          <w:b w:val="0"/>
        </w:rPr>
        <w:t>.</w:t>
      </w:r>
    </w:p>
  </w:footnote>
  <w:footnote w:id="36">
    <w:p w14:paraId="272AB390" w14:textId="52FEA102" w:rsidR="004A5F49" w:rsidRPr="00096C6A" w:rsidRDefault="004A5F49">
      <w:pPr>
        <w:pStyle w:val="FootnoteText"/>
        <w:rPr>
          <w:b w:val="0"/>
        </w:rPr>
      </w:pPr>
      <w:r>
        <w:rPr>
          <w:rStyle w:val="FootnoteReference"/>
        </w:rPr>
        <w:footnoteRef/>
      </w:r>
      <w:r>
        <w:t xml:space="preserve"> </w:t>
      </w:r>
      <w:proofErr w:type="spellStart"/>
      <w:r w:rsidRPr="00663821">
        <w:rPr>
          <w:b w:val="0"/>
        </w:rPr>
        <w:t>Goodlet</w:t>
      </w:r>
      <w:proofErr w:type="spellEnd"/>
      <w:r w:rsidRPr="00663821">
        <w:rPr>
          <w:b w:val="0"/>
        </w:rPr>
        <w:t xml:space="preserve"> C, ‘Too Big to Fail: A Misguided Policy in Times of Financial Turmoil’</w:t>
      </w:r>
      <w:r>
        <w:rPr>
          <w:b w:val="0"/>
        </w:rPr>
        <w:t xml:space="preserve"> 27</w:t>
      </w:r>
      <w:r w:rsidRPr="00663821">
        <w:rPr>
          <w:b w:val="0"/>
        </w:rPr>
        <w:t>.</w:t>
      </w:r>
    </w:p>
  </w:footnote>
  <w:footnote w:id="37">
    <w:p w14:paraId="22AD3564" w14:textId="3E3C5D9E" w:rsidR="004A5F49" w:rsidRDefault="004A5F49" w:rsidP="00096C6A">
      <w:pPr>
        <w:pStyle w:val="FootnoteText"/>
        <w:spacing w:line="276" w:lineRule="auto"/>
      </w:pPr>
      <w:r>
        <w:rPr>
          <w:rStyle w:val="FootnoteReference"/>
        </w:rPr>
        <w:footnoteRef/>
      </w:r>
      <w:r>
        <w:t xml:space="preserve"> </w:t>
      </w:r>
      <w:proofErr w:type="spellStart"/>
      <w:r w:rsidRPr="00F4777D">
        <w:rPr>
          <w:b w:val="0"/>
        </w:rPr>
        <w:t>Omondi</w:t>
      </w:r>
      <w:proofErr w:type="spellEnd"/>
      <w:r w:rsidRPr="00F4777D">
        <w:rPr>
          <w:b w:val="0"/>
        </w:rPr>
        <w:t xml:space="preserve"> G and </w:t>
      </w:r>
      <w:proofErr w:type="spellStart"/>
      <w:r w:rsidRPr="00F4777D">
        <w:rPr>
          <w:b w:val="0"/>
        </w:rPr>
        <w:t>Orwaru</w:t>
      </w:r>
      <w:proofErr w:type="spellEnd"/>
      <w:r w:rsidRPr="00F4777D">
        <w:rPr>
          <w:b w:val="0"/>
        </w:rPr>
        <w:t xml:space="preserve"> J, ‘Bank Size and Financial Stability of Commercial Banks in Kenya: Empirical Evidence’</w:t>
      </w:r>
      <w:r>
        <w:rPr>
          <w:b w:val="0"/>
        </w:rPr>
        <w:t xml:space="preserve"> 2672.</w:t>
      </w:r>
    </w:p>
  </w:footnote>
  <w:footnote w:id="38">
    <w:p w14:paraId="4E1B1858" w14:textId="673EC6AB" w:rsidR="004A5F49" w:rsidRDefault="004A5F49" w:rsidP="00096C6A">
      <w:pPr>
        <w:pStyle w:val="FootnoteText"/>
        <w:spacing w:line="276" w:lineRule="auto"/>
      </w:pPr>
      <w:r>
        <w:rPr>
          <w:rStyle w:val="FootnoteReference"/>
        </w:rPr>
        <w:footnoteRef/>
      </w:r>
      <w:r>
        <w:t xml:space="preserve"> </w:t>
      </w:r>
      <w:proofErr w:type="spellStart"/>
      <w:r w:rsidRPr="00F4777D">
        <w:rPr>
          <w:b w:val="0"/>
        </w:rPr>
        <w:t>Omondi</w:t>
      </w:r>
      <w:proofErr w:type="spellEnd"/>
      <w:r w:rsidRPr="00F4777D">
        <w:rPr>
          <w:b w:val="0"/>
        </w:rPr>
        <w:t xml:space="preserve"> G and </w:t>
      </w:r>
      <w:proofErr w:type="spellStart"/>
      <w:r w:rsidRPr="00F4777D">
        <w:rPr>
          <w:b w:val="0"/>
        </w:rPr>
        <w:t>Orwaru</w:t>
      </w:r>
      <w:proofErr w:type="spellEnd"/>
      <w:r w:rsidRPr="00F4777D">
        <w:rPr>
          <w:b w:val="0"/>
        </w:rPr>
        <w:t xml:space="preserve"> J, ‘Bank Size and Financial Stability of Commercial Banks in Kenya: Empirical Evidence’ </w:t>
      </w:r>
      <w:r>
        <w:rPr>
          <w:b w:val="0"/>
        </w:rPr>
        <w:t>2678.</w:t>
      </w:r>
    </w:p>
    <w:p w14:paraId="671013E0" w14:textId="578DA1BA" w:rsidR="004A5F49" w:rsidRDefault="004A5F49">
      <w:pPr>
        <w:pStyle w:val="FootnoteText"/>
      </w:pPr>
    </w:p>
  </w:footnote>
  <w:footnote w:id="39">
    <w:p w14:paraId="477F4724" w14:textId="64431D55" w:rsidR="004A5F49" w:rsidRPr="002E6639" w:rsidRDefault="004A5F49" w:rsidP="00C75EAD">
      <w:pPr>
        <w:pStyle w:val="FootnoteText"/>
        <w:spacing w:line="276" w:lineRule="auto"/>
      </w:pPr>
      <w:r>
        <w:rPr>
          <w:rStyle w:val="FootnoteReference"/>
        </w:rPr>
        <w:footnoteRef/>
      </w:r>
      <w:r>
        <w:t xml:space="preserve"> </w:t>
      </w:r>
      <w:proofErr w:type="spellStart"/>
      <w:r w:rsidRPr="002E6639">
        <w:rPr>
          <w:b w:val="0"/>
        </w:rPr>
        <w:t>Pojanowski</w:t>
      </w:r>
      <w:proofErr w:type="spellEnd"/>
      <w:r w:rsidRPr="002E6639">
        <w:rPr>
          <w:b w:val="0"/>
        </w:rPr>
        <w:t xml:space="preserve"> J, ‘Redrawing the div</w:t>
      </w:r>
      <w:r>
        <w:rPr>
          <w:b w:val="0"/>
        </w:rPr>
        <w:t>iding lines between natural law</w:t>
      </w:r>
      <w:r w:rsidRPr="002E6639">
        <w:rPr>
          <w:b w:val="0"/>
        </w:rPr>
        <w:t xml:space="preserve"> and positivism(s)</w:t>
      </w:r>
      <w:r>
        <w:rPr>
          <w:b w:val="0"/>
        </w:rPr>
        <w:t>’</w:t>
      </w:r>
      <w:r w:rsidRPr="002E6639">
        <w:rPr>
          <w:b w:val="0"/>
        </w:rPr>
        <w:t xml:space="preserve"> 101(4)</w:t>
      </w:r>
      <w:r w:rsidRPr="002E6639">
        <w:rPr>
          <w:rFonts w:cs="Times New Roman"/>
          <w:b w:val="0"/>
          <w:i/>
        </w:rPr>
        <w:t>,</w:t>
      </w:r>
      <w:r>
        <w:rPr>
          <w:rFonts w:cs="Times New Roman"/>
          <w:b w:val="0"/>
          <w:i/>
        </w:rPr>
        <w:t xml:space="preserve"> </w:t>
      </w:r>
      <w:r w:rsidRPr="002E6639">
        <w:rPr>
          <w:rFonts w:cs="Times New Roman"/>
          <w:b w:val="0"/>
          <w:i/>
        </w:rPr>
        <w:t xml:space="preserve">Virginia Law Review, </w:t>
      </w:r>
      <w:r w:rsidRPr="002E6639">
        <w:rPr>
          <w:rFonts w:cs="Times New Roman"/>
          <w:b w:val="0"/>
        </w:rPr>
        <w:t>2015, 1025.</w:t>
      </w:r>
    </w:p>
  </w:footnote>
  <w:footnote w:id="40">
    <w:p w14:paraId="78D9051E" w14:textId="7DC92B7A" w:rsidR="004A5F49" w:rsidRDefault="004A5F49" w:rsidP="00C75EAD">
      <w:pPr>
        <w:pStyle w:val="FootnoteText"/>
        <w:spacing w:line="276" w:lineRule="auto"/>
      </w:pPr>
      <w:r>
        <w:rPr>
          <w:rStyle w:val="FootnoteReference"/>
        </w:rPr>
        <w:footnoteRef/>
      </w:r>
      <w:r>
        <w:t xml:space="preserve"> </w:t>
      </w:r>
      <w:proofErr w:type="spellStart"/>
      <w:r w:rsidRPr="00C75EAD">
        <w:rPr>
          <w:b w:val="0"/>
        </w:rPr>
        <w:t>Krecke</w:t>
      </w:r>
      <w:proofErr w:type="spellEnd"/>
      <w:r w:rsidRPr="00C75EAD">
        <w:rPr>
          <w:b w:val="0"/>
        </w:rPr>
        <w:t xml:space="preserve"> E, ‘</w:t>
      </w:r>
      <w:proofErr w:type="spellStart"/>
      <w:r w:rsidRPr="00C75EAD">
        <w:rPr>
          <w:b w:val="0"/>
        </w:rPr>
        <w:t>Posnerian</w:t>
      </w:r>
      <w:proofErr w:type="spellEnd"/>
      <w:r w:rsidRPr="00C75EAD">
        <w:rPr>
          <w:b w:val="0"/>
        </w:rPr>
        <w:t xml:space="preserve"> Econo</w:t>
      </w:r>
      <w:r>
        <w:rPr>
          <w:b w:val="0"/>
        </w:rPr>
        <w:t xml:space="preserve">mic Analysis of Law and </w:t>
      </w:r>
      <w:proofErr w:type="spellStart"/>
      <w:r>
        <w:rPr>
          <w:b w:val="0"/>
        </w:rPr>
        <w:t>Kelseni</w:t>
      </w:r>
      <w:r w:rsidRPr="00C75EAD">
        <w:rPr>
          <w:b w:val="0"/>
        </w:rPr>
        <w:t>a</w:t>
      </w:r>
      <w:r>
        <w:rPr>
          <w:b w:val="0"/>
        </w:rPr>
        <w:t>n</w:t>
      </w:r>
      <w:proofErr w:type="spellEnd"/>
      <w:r>
        <w:rPr>
          <w:b w:val="0"/>
        </w:rPr>
        <w:t xml:space="preserve"> </w:t>
      </w:r>
      <w:r w:rsidRPr="00C75EAD">
        <w:rPr>
          <w:b w:val="0"/>
        </w:rPr>
        <w:t>legal positivism: How similar are they?’</w:t>
      </w:r>
      <w:r>
        <w:rPr>
          <w:b w:val="0"/>
        </w:rPr>
        <w:t xml:space="preserve"> </w:t>
      </w:r>
      <w:r w:rsidRPr="00C75EAD">
        <w:rPr>
          <w:b w:val="0"/>
        </w:rPr>
        <w:t xml:space="preserve">23(3) </w:t>
      </w:r>
      <w:r w:rsidRPr="00C75EAD">
        <w:rPr>
          <w:b w:val="0"/>
          <w:i/>
        </w:rPr>
        <w:t>History of Economic Ideas</w:t>
      </w:r>
      <w:r w:rsidRPr="00C75EAD">
        <w:rPr>
          <w:b w:val="0"/>
        </w:rPr>
        <w:t>, 2015, 165.</w:t>
      </w:r>
    </w:p>
  </w:footnote>
  <w:footnote w:id="41">
    <w:p w14:paraId="38A65652" w14:textId="365AA9E6" w:rsidR="004A5F49" w:rsidRPr="00A02E4F" w:rsidRDefault="004A5F49" w:rsidP="00C75EAD">
      <w:pPr>
        <w:pStyle w:val="FootnoteText"/>
        <w:spacing w:line="276" w:lineRule="auto"/>
        <w:rPr>
          <w:rFonts w:cs="Times New Roman"/>
          <w:b w:val="0"/>
        </w:rPr>
      </w:pPr>
      <w:r w:rsidRPr="00A02E4F">
        <w:rPr>
          <w:rStyle w:val="FootnoteReference"/>
          <w:rFonts w:cs="Times New Roman"/>
          <w:b w:val="0"/>
        </w:rPr>
        <w:footnoteRef/>
      </w:r>
      <w:r>
        <w:rPr>
          <w:rFonts w:cs="Times New Roman"/>
          <w:b w:val="0"/>
        </w:rPr>
        <w:t xml:space="preserve"> Beck T, </w:t>
      </w:r>
      <w:proofErr w:type="spellStart"/>
      <w:r>
        <w:rPr>
          <w:rFonts w:cs="Times New Roman"/>
          <w:b w:val="0"/>
        </w:rPr>
        <w:t>Demirgüç-Kunt</w:t>
      </w:r>
      <w:proofErr w:type="spellEnd"/>
      <w:r>
        <w:rPr>
          <w:rFonts w:cs="Times New Roman"/>
          <w:b w:val="0"/>
        </w:rPr>
        <w:t xml:space="preserve"> and Levine R, ‘Legal Theories of Financial Development’ 17(4) Oxford Review of Economic Policy, 2001, 490.</w:t>
      </w:r>
    </w:p>
  </w:footnote>
  <w:footnote w:id="42">
    <w:p w14:paraId="604A5C88" w14:textId="6C58BFA2" w:rsidR="004A5F49" w:rsidRPr="00853C75" w:rsidRDefault="004A5F49" w:rsidP="00853C75">
      <w:pPr>
        <w:pStyle w:val="FootnoteText"/>
        <w:spacing w:line="360" w:lineRule="auto"/>
        <w:rPr>
          <w:rFonts w:cs="Times New Roman"/>
          <w:b w:val="0"/>
        </w:rPr>
      </w:pPr>
      <w:r>
        <w:rPr>
          <w:rStyle w:val="FootnoteReference"/>
        </w:rPr>
        <w:footnoteRef/>
      </w:r>
      <w:r>
        <w:t xml:space="preserve"> </w:t>
      </w:r>
      <w:r>
        <w:rPr>
          <w:rStyle w:val="HTMLCite"/>
          <w:rFonts w:cs="Times New Roman"/>
          <w:b w:val="0"/>
          <w:i w:val="0"/>
        </w:rPr>
        <w:t xml:space="preserve">Hobbes T, </w:t>
      </w:r>
      <w:r w:rsidRPr="008337F5">
        <w:rPr>
          <w:rStyle w:val="HTMLCite"/>
          <w:rFonts w:cs="Times New Roman"/>
          <w:b w:val="0"/>
        </w:rPr>
        <w:t>The Leviathan</w:t>
      </w:r>
      <w:r>
        <w:rPr>
          <w:rStyle w:val="HTMLCite"/>
          <w:rFonts w:cs="Times New Roman"/>
          <w:b w:val="0"/>
          <w:i w:val="0"/>
        </w:rPr>
        <w:t>, Penguin Books, Baltimore,1968, 79.</w:t>
      </w:r>
    </w:p>
  </w:footnote>
  <w:footnote w:id="43">
    <w:p w14:paraId="1FCCB7F5" w14:textId="324724F7" w:rsidR="004A5F49" w:rsidRPr="00A70BD6" w:rsidRDefault="004A5F49" w:rsidP="00A02E4F">
      <w:pPr>
        <w:pStyle w:val="FootnoteText"/>
        <w:spacing w:line="360" w:lineRule="auto"/>
        <w:rPr>
          <w:rFonts w:cs="Times New Roman"/>
          <w:b w:val="0"/>
        </w:rPr>
      </w:pPr>
      <w:r w:rsidRPr="00A70BD6">
        <w:rPr>
          <w:rStyle w:val="FootnoteReference"/>
          <w:rFonts w:cs="Times New Roman"/>
          <w:b w:val="0"/>
        </w:rPr>
        <w:footnoteRef/>
      </w:r>
      <w:r w:rsidRPr="00A70BD6">
        <w:rPr>
          <w:rFonts w:cs="Times New Roman"/>
          <w:b w:val="0"/>
        </w:rPr>
        <w:t xml:space="preserve"> </w:t>
      </w:r>
      <w:r w:rsidRPr="00A70BD6">
        <w:rPr>
          <w:rStyle w:val="HTMLCite"/>
          <w:rFonts w:cs="Times New Roman"/>
          <w:b w:val="0"/>
          <w:i w:val="0"/>
        </w:rPr>
        <w:t xml:space="preserve">Hobbes, </w:t>
      </w:r>
      <w:r w:rsidRPr="00A70BD6">
        <w:rPr>
          <w:rStyle w:val="HTMLCite"/>
          <w:rFonts w:cs="Times New Roman"/>
          <w:b w:val="0"/>
        </w:rPr>
        <w:t>The Leviathan</w:t>
      </w:r>
      <w:r w:rsidRPr="00A70BD6">
        <w:rPr>
          <w:rStyle w:val="HTMLCite"/>
          <w:rFonts w:cs="Times New Roman"/>
          <w:b w:val="0"/>
          <w:i w:val="0"/>
        </w:rPr>
        <w:t>, 79.</w:t>
      </w:r>
    </w:p>
  </w:footnote>
  <w:footnote w:id="44">
    <w:p w14:paraId="0BB9F0B9" w14:textId="4F34BAE4" w:rsidR="004A5F49" w:rsidRPr="00A70BD6" w:rsidRDefault="004A5F49" w:rsidP="00A02E4F">
      <w:pPr>
        <w:pStyle w:val="FootnoteText"/>
        <w:spacing w:line="360" w:lineRule="auto"/>
        <w:rPr>
          <w:rFonts w:cs="Times New Roman"/>
          <w:b w:val="0"/>
        </w:rPr>
      </w:pPr>
      <w:r w:rsidRPr="00A70BD6">
        <w:rPr>
          <w:rStyle w:val="FootnoteReference"/>
          <w:rFonts w:cs="Times New Roman"/>
          <w:b w:val="0"/>
        </w:rPr>
        <w:footnoteRef/>
      </w:r>
      <w:r w:rsidRPr="00A70BD6">
        <w:rPr>
          <w:rFonts w:cs="Times New Roman"/>
          <w:b w:val="0"/>
        </w:rPr>
        <w:t xml:space="preserve"> </w:t>
      </w:r>
      <w:r w:rsidRPr="00A70BD6">
        <w:rPr>
          <w:rStyle w:val="HTMLCite"/>
          <w:rFonts w:cs="Times New Roman"/>
          <w:b w:val="0"/>
          <w:i w:val="0"/>
        </w:rPr>
        <w:t xml:space="preserve">Austin J, </w:t>
      </w:r>
      <w:proofErr w:type="gramStart"/>
      <w:r w:rsidRPr="00A70BD6">
        <w:rPr>
          <w:rStyle w:val="HTMLCite"/>
          <w:rFonts w:cs="Times New Roman"/>
          <w:b w:val="0"/>
        </w:rPr>
        <w:t>The</w:t>
      </w:r>
      <w:proofErr w:type="gramEnd"/>
      <w:r w:rsidRPr="00A70BD6">
        <w:rPr>
          <w:rStyle w:val="HTMLCite"/>
          <w:rFonts w:cs="Times New Roman"/>
          <w:b w:val="0"/>
        </w:rPr>
        <w:t xml:space="preserve"> province of jurisprudence determined</w:t>
      </w:r>
      <w:r w:rsidRPr="00A70BD6">
        <w:rPr>
          <w:rStyle w:val="HTMLCite"/>
          <w:rFonts w:cs="Times New Roman"/>
          <w:b w:val="0"/>
          <w:i w:val="0"/>
        </w:rPr>
        <w:t>, Cambridge University Press, New York, 1995, 18.</w:t>
      </w:r>
    </w:p>
  </w:footnote>
  <w:footnote w:id="45">
    <w:p w14:paraId="77549DF4" w14:textId="5B2C0EEB" w:rsidR="004A5F49" w:rsidRPr="00A70BD6" w:rsidRDefault="004A5F49" w:rsidP="00A70BD6">
      <w:pPr>
        <w:pStyle w:val="FootnoteText"/>
        <w:spacing w:line="360" w:lineRule="auto"/>
        <w:rPr>
          <w:rFonts w:cs="Times New Roman"/>
          <w:b w:val="0"/>
        </w:rPr>
      </w:pPr>
      <w:r w:rsidRPr="00A70BD6">
        <w:rPr>
          <w:rStyle w:val="FootnoteReference"/>
          <w:b w:val="0"/>
        </w:rPr>
        <w:footnoteRef/>
      </w:r>
      <w:r w:rsidRPr="00A70BD6">
        <w:rPr>
          <w:b w:val="0"/>
        </w:rPr>
        <w:t xml:space="preserve"> </w:t>
      </w:r>
      <w:r w:rsidRPr="00A70BD6">
        <w:rPr>
          <w:rStyle w:val="HTMLCite"/>
          <w:rFonts w:cs="Times New Roman"/>
          <w:b w:val="0"/>
          <w:i w:val="0"/>
        </w:rPr>
        <w:t xml:space="preserve">Hart H.L.A., </w:t>
      </w:r>
      <w:r w:rsidRPr="00A70BD6">
        <w:rPr>
          <w:rStyle w:val="HTMLCite"/>
          <w:rFonts w:cs="Times New Roman"/>
          <w:b w:val="0"/>
        </w:rPr>
        <w:t>The Concept of Law</w:t>
      </w:r>
      <w:r w:rsidRPr="00A70BD6">
        <w:rPr>
          <w:rStyle w:val="HTMLCite"/>
          <w:rFonts w:cs="Times New Roman"/>
          <w:b w:val="0"/>
          <w:i w:val="0"/>
        </w:rPr>
        <w:t xml:space="preserve">, </w:t>
      </w:r>
      <w:proofErr w:type="spellStart"/>
      <w:r w:rsidRPr="00A70BD6">
        <w:rPr>
          <w:rStyle w:val="HTMLCite"/>
          <w:rFonts w:cs="Times New Roman"/>
          <w:b w:val="0"/>
          <w:i w:val="0"/>
        </w:rPr>
        <w:t>Claredon</w:t>
      </w:r>
      <w:proofErr w:type="spellEnd"/>
      <w:r w:rsidRPr="00A70BD6">
        <w:rPr>
          <w:rStyle w:val="HTMLCite"/>
          <w:rFonts w:cs="Times New Roman"/>
          <w:b w:val="0"/>
          <w:i w:val="0"/>
        </w:rPr>
        <w:t xml:space="preserve"> Press, Oxford 1961, 81.</w:t>
      </w:r>
    </w:p>
  </w:footnote>
  <w:footnote w:id="46">
    <w:p w14:paraId="043C950D" w14:textId="7112708D" w:rsidR="004A5F49" w:rsidRPr="00A70BD6" w:rsidRDefault="004A5F49" w:rsidP="00A02E4F">
      <w:pPr>
        <w:pStyle w:val="FootnoteText"/>
        <w:spacing w:line="360" w:lineRule="auto"/>
        <w:rPr>
          <w:rFonts w:cs="Times New Roman"/>
          <w:b w:val="0"/>
        </w:rPr>
      </w:pPr>
      <w:r w:rsidRPr="00A70BD6">
        <w:rPr>
          <w:rStyle w:val="FootnoteReference"/>
          <w:rFonts w:cs="Times New Roman"/>
          <w:b w:val="0"/>
        </w:rPr>
        <w:footnoteRef/>
      </w:r>
      <w:r w:rsidRPr="00A70BD6">
        <w:rPr>
          <w:rFonts w:cs="Times New Roman"/>
          <w:b w:val="0"/>
        </w:rPr>
        <w:t xml:space="preserve"> </w:t>
      </w:r>
      <w:r w:rsidRPr="00A70BD6">
        <w:rPr>
          <w:rStyle w:val="HTMLCite"/>
          <w:rFonts w:cs="Times New Roman"/>
          <w:b w:val="0"/>
          <w:i w:val="0"/>
        </w:rPr>
        <w:t xml:space="preserve">Hart, </w:t>
      </w:r>
      <w:r w:rsidRPr="00A70BD6">
        <w:rPr>
          <w:rStyle w:val="HTMLCite"/>
          <w:rFonts w:cs="Times New Roman"/>
          <w:b w:val="0"/>
        </w:rPr>
        <w:t>The Concept of Law</w:t>
      </w:r>
      <w:r w:rsidRPr="00A70BD6">
        <w:rPr>
          <w:rStyle w:val="HTMLCite"/>
          <w:rFonts w:cs="Times New Roman"/>
          <w:b w:val="0"/>
          <w:i w:val="0"/>
        </w:rPr>
        <w:t>, Oxford University Press, 81</w:t>
      </w:r>
      <w:r>
        <w:rPr>
          <w:rStyle w:val="HTMLCite"/>
          <w:rFonts w:cs="Times New Roman"/>
          <w:b w:val="0"/>
          <w:i w:val="0"/>
        </w:rPr>
        <w:t>.</w:t>
      </w:r>
    </w:p>
  </w:footnote>
  <w:footnote w:id="47">
    <w:p w14:paraId="232ECD7F" w14:textId="7E1B151B" w:rsidR="004A5F49" w:rsidRPr="00A70BD6" w:rsidRDefault="004A5F49">
      <w:pPr>
        <w:pStyle w:val="FootnoteText"/>
        <w:rPr>
          <w:b w:val="0"/>
          <w:i/>
        </w:rPr>
      </w:pPr>
      <w:r w:rsidRPr="00A70BD6">
        <w:rPr>
          <w:rStyle w:val="FootnoteReference"/>
          <w:b w:val="0"/>
        </w:rPr>
        <w:footnoteRef/>
      </w:r>
      <w:r w:rsidRPr="00A70BD6">
        <w:rPr>
          <w:b w:val="0"/>
        </w:rPr>
        <w:t xml:space="preserve"> </w:t>
      </w:r>
      <w:proofErr w:type="spellStart"/>
      <w:r w:rsidRPr="00A70BD6">
        <w:rPr>
          <w:b w:val="0"/>
        </w:rPr>
        <w:t>Moosa</w:t>
      </w:r>
      <w:proofErr w:type="spellEnd"/>
      <w:r w:rsidRPr="00A70BD6">
        <w:rPr>
          <w:b w:val="0"/>
        </w:rPr>
        <w:t xml:space="preserve"> </w:t>
      </w:r>
      <w:proofErr w:type="spellStart"/>
      <w:r w:rsidRPr="00A70BD6">
        <w:rPr>
          <w:b w:val="0"/>
        </w:rPr>
        <w:t>Imad</w:t>
      </w:r>
      <w:proofErr w:type="spellEnd"/>
      <w:r w:rsidRPr="00A70BD6">
        <w:rPr>
          <w:b w:val="0"/>
        </w:rPr>
        <w:t xml:space="preserve"> ‘The Myth of too big to fail’ </w:t>
      </w:r>
      <w:r w:rsidRPr="003D3E8A">
        <w:rPr>
          <w:b w:val="0"/>
        </w:rPr>
        <w:t>321.</w:t>
      </w:r>
    </w:p>
  </w:footnote>
  <w:footnote w:id="48">
    <w:p w14:paraId="24D52619" w14:textId="77777777" w:rsidR="004A5F49" w:rsidRPr="00C26D18" w:rsidRDefault="004A5F49" w:rsidP="008B1B91">
      <w:pPr>
        <w:pStyle w:val="FootnoteText"/>
        <w:spacing w:line="276" w:lineRule="auto"/>
        <w:rPr>
          <w:b w:val="0"/>
        </w:rPr>
      </w:pPr>
      <w:r>
        <w:rPr>
          <w:rStyle w:val="FootnoteReference"/>
        </w:rPr>
        <w:footnoteRef/>
      </w:r>
      <w:r>
        <w:rPr>
          <w:b w:val="0"/>
        </w:rPr>
        <w:t xml:space="preserve">Martin D., ‘The Transition in Smallholder Banking in Kenya: Evidence from Rural Branch Bank Loans’ 16(1) </w:t>
      </w:r>
      <w:r w:rsidRPr="00C26D18">
        <w:rPr>
          <w:b w:val="0"/>
          <w:i/>
        </w:rPr>
        <w:t>The Journal of Developing Areas</w:t>
      </w:r>
      <w:r>
        <w:rPr>
          <w:b w:val="0"/>
        </w:rPr>
        <w:t xml:space="preserve">, 1981, 72. </w:t>
      </w:r>
    </w:p>
  </w:footnote>
  <w:footnote w:id="49">
    <w:p w14:paraId="2023613B" w14:textId="77777777" w:rsidR="004A5F49" w:rsidRPr="00A02E4F" w:rsidRDefault="004A5F49" w:rsidP="008B1B91">
      <w:pPr>
        <w:pStyle w:val="FootnoteText"/>
        <w:spacing w:line="276" w:lineRule="auto"/>
        <w:rPr>
          <w:rFonts w:cs="Times New Roman"/>
          <w:b w:val="0"/>
        </w:rPr>
      </w:pPr>
      <w:r w:rsidRPr="00A02E4F">
        <w:rPr>
          <w:rStyle w:val="FootnoteReference"/>
          <w:rFonts w:cs="Times New Roman"/>
          <w:b w:val="0"/>
        </w:rPr>
        <w:footnoteRef/>
      </w:r>
      <w:r>
        <w:rPr>
          <w:rFonts w:cs="Times New Roman"/>
          <w:b w:val="0"/>
        </w:rPr>
        <w:t xml:space="preserve"> FSD Kenya, </w:t>
      </w:r>
      <w:r w:rsidRPr="0032188B">
        <w:rPr>
          <w:rFonts w:cs="Times New Roman"/>
          <w:b w:val="0"/>
          <w:i/>
        </w:rPr>
        <w:t>Kenya’s Financial Transformation</w:t>
      </w:r>
      <w:r>
        <w:rPr>
          <w:rFonts w:cs="Times New Roman"/>
          <w:b w:val="0"/>
        </w:rPr>
        <w:t xml:space="preserve">, </w:t>
      </w:r>
      <w:r w:rsidRPr="00A02E4F">
        <w:rPr>
          <w:rFonts w:cs="Times New Roman"/>
          <w:b w:val="0"/>
        </w:rPr>
        <w:t>2015</w:t>
      </w:r>
      <w:r>
        <w:rPr>
          <w:rFonts w:cs="Times New Roman"/>
          <w:b w:val="0"/>
        </w:rPr>
        <w:t>, 7.</w:t>
      </w:r>
    </w:p>
  </w:footnote>
  <w:footnote w:id="50">
    <w:p w14:paraId="0855C73D" w14:textId="77777777" w:rsidR="004A5F49" w:rsidRDefault="004A5F49" w:rsidP="008B1B91">
      <w:pPr>
        <w:pStyle w:val="FootnoteText"/>
        <w:spacing w:line="276" w:lineRule="auto"/>
      </w:pPr>
      <w:r>
        <w:rPr>
          <w:rStyle w:val="FootnoteReference"/>
        </w:rPr>
        <w:footnoteRef/>
      </w:r>
      <w:r>
        <w:t xml:space="preserve"> </w:t>
      </w:r>
      <w:r>
        <w:rPr>
          <w:rFonts w:cs="Times New Roman"/>
          <w:b w:val="0"/>
        </w:rPr>
        <w:t xml:space="preserve">FSD Kenya, </w:t>
      </w:r>
      <w:r w:rsidRPr="0032188B">
        <w:rPr>
          <w:rFonts w:cs="Times New Roman"/>
          <w:b w:val="0"/>
          <w:i/>
        </w:rPr>
        <w:t>Kenya’s Financial Transformation</w:t>
      </w:r>
      <w:r>
        <w:rPr>
          <w:rFonts w:cs="Times New Roman"/>
          <w:b w:val="0"/>
        </w:rPr>
        <w:t xml:space="preserve">, </w:t>
      </w:r>
      <w:r w:rsidRPr="00A02E4F">
        <w:rPr>
          <w:rFonts w:cs="Times New Roman"/>
          <w:b w:val="0"/>
        </w:rPr>
        <w:t>2015</w:t>
      </w:r>
      <w:r>
        <w:rPr>
          <w:rFonts w:cs="Times New Roman"/>
          <w:b w:val="0"/>
        </w:rPr>
        <w:t>, 8.</w:t>
      </w:r>
    </w:p>
  </w:footnote>
  <w:footnote w:id="51">
    <w:p w14:paraId="5DC9287B" w14:textId="77777777" w:rsidR="004A5F49" w:rsidRPr="00EF69EA" w:rsidRDefault="004A5F49" w:rsidP="008B1B91">
      <w:pPr>
        <w:pStyle w:val="FootnoteText"/>
        <w:spacing w:line="276" w:lineRule="auto"/>
        <w:rPr>
          <w:b w:val="0"/>
        </w:rPr>
      </w:pPr>
      <w:r>
        <w:rPr>
          <w:rStyle w:val="FootnoteReference"/>
        </w:rPr>
        <w:footnoteRef/>
      </w:r>
      <w:r>
        <w:t xml:space="preserve"> </w:t>
      </w:r>
      <w:proofErr w:type="spellStart"/>
      <w:r w:rsidRPr="00EF69EA">
        <w:rPr>
          <w:b w:val="0"/>
        </w:rPr>
        <w:t>Tyce</w:t>
      </w:r>
      <w:proofErr w:type="spellEnd"/>
      <w:r w:rsidRPr="00EF69EA">
        <w:rPr>
          <w:b w:val="0"/>
        </w:rPr>
        <w:t xml:space="preserve"> M ‘The Politics of Central Banking in Kenya: Balancing Political and Development Interest’ Manchester: Effective States and Inclusive Development Research Center, ESID Working Paper 130, 2020, 12 </w:t>
      </w:r>
      <w:hyperlink r:id="rId3" w:history="1">
        <w:r w:rsidRPr="00EF69EA">
          <w:rPr>
            <w:rStyle w:val="Hyperlink"/>
            <w:b w:val="0"/>
          </w:rPr>
          <w:t>https://papers.ssrn.com/sol3/papers.cfm?abstract_id=3523035</w:t>
        </w:r>
      </w:hyperlink>
      <w:r w:rsidRPr="00EF69EA">
        <w:rPr>
          <w:b w:val="0"/>
        </w:rPr>
        <w:t xml:space="preserve"> on 5</w:t>
      </w:r>
      <w:r w:rsidRPr="00EF69EA">
        <w:rPr>
          <w:b w:val="0"/>
          <w:vertAlign w:val="superscript"/>
        </w:rPr>
        <w:t>th</w:t>
      </w:r>
      <w:r w:rsidRPr="00EF69EA">
        <w:rPr>
          <w:b w:val="0"/>
        </w:rPr>
        <w:t xml:space="preserve"> December 2020.</w:t>
      </w:r>
    </w:p>
  </w:footnote>
  <w:footnote w:id="52">
    <w:p w14:paraId="0922CECE" w14:textId="77777777" w:rsidR="004A5F49" w:rsidRDefault="004A5F49" w:rsidP="008B1B91">
      <w:pPr>
        <w:pStyle w:val="FootnoteText"/>
        <w:spacing w:line="276" w:lineRule="auto"/>
      </w:pPr>
      <w:r>
        <w:rPr>
          <w:rStyle w:val="FootnoteReference"/>
        </w:rPr>
        <w:footnoteRef/>
      </w:r>
      <w:r>
        <w:t xml:space="preserve"> </w:t>
      </w:r>
      <w:proofErr w:type="spellStart"/>
      <w:r w:rsidRPr="00EF69EA">
        <w:rPr>
          <w:b w:val="0"/>
        </w:rPr>
        <w:t>Tyce</w:t>
      </w:r>
      <w:proofErr w:type="spellEnd"/>
      <w:r w:rsidRPr="00EF69EA">
        <w:rPr>
          <w:b w:val="0"/>
        </w:rPr>
        <w:t xml:space="preserve"> M ‘The Politics of Central Banking in Kenya: Balancing Political and Development Interest’</w:t>
      </w:r>
      <w:r>
        <w:rPr>
          <w:b w:val="0"/>
        </w:rPr>
        <w:t xml:space="preserve">, </w:t>
      </w:r>
      <w:r w:rsidRPr="00EF69EA">
        <w:rPr>
          <w:b w:val="0"/>
        </w:rPr>
        <w:t>1</w:t>
      </w:r>
      <w:r>
        <w:rPr>
          <w:b w:val="0"/>
        </w:rPr>
        <w:t xml:space="preserve">4 </w:t>
      </w:r>
      <w:hyperlink r:id="rId4" w:history="1">
        <w:r w:rsidRPr="00EF69EA">
          <w:rPr>
            <w:rStyle w:val="Hyperlink"/>
            <w:b w:val="0"/>
          </w:rPr>
          <w:t>https://papers.ssrn.com/sol3/papers.cfm?abstract_id=3523035</w:t>
        </w:r>
      </w:hyperlink>
      <w:r w:rsidRPr="00EF69EA">
        <w:rPr>
          <w:b w:val="0"/>
        </w:rPr>
        <w:t xml:space="preserve"> on 5</w:t>
      </w:r>
      <w:r w:rsidRPr="00EF69EA">
        <w:rPr>
          <w:b w:val="0"/>
          <w:vertAlign w:val="superscript"/>
        </w:rPr>
        <w:t>th</w:t>
      </w:r>
      <w:r w:rsidRPr="00EF69EA">
        <w:rPr>
          <w:b w:val="0"/>
        </w:rPr>
        <w:t xml:space="preserve"> December 2020.</w:t>
      </w:r>
    </w:p>
  </w:footnote>
  <w:footnote w:id="53">
    <w:p w14:paraId="17645954" w14:textId="5E9DEEC9" w:rsidR="004A5F49" w:rsidRPr="00EF69EA" w:rsidRDefault="004A5F49" w:rsidP="008B1B91">
      <w:pPr>
        <w:pStyle w:val="FootnoteText"/>
        <w:spacing w:line="276" w:lineRule="auto"/>
        <w:rPr>
          <w:i/>
        </w:rPr>
      </w:pPr>
      <w:r>
        <w:rPr>
          <w:rStyle w:val="FootnoteReference"/>
        </w:rPr>
        <w:footnoteRef/>
      </w:r>
      <w:r>
        <w:t xml:space="preserve"> </w:t>
      </w:r>
      <w:proofErr w:type="spellStart"/>
      <w:r>
        <w:rPr>
          <w:b w:val="0"/>
        </w:rPr>
        <w:t>Gichuki</w:t>
      </w:r>
      <w:proofErr w:type="spellEnd"/>
      <w:r>
        <w:rPr>
          <w:b w:val="0"/>
        </w:rPr>
        <w:t xml:space="preserve"> J </w:t>
      </w:r>
      <w:r>
        <w:rPr>
          <w:b w:val="0"/>
          <w:i/>
        </w:rPr>
        <w:t>et al</w:t>
      </w:r>
      <w:r w:rsidRPr="00EF69EA">
        <w:rPr>
          <w:b w:val="0"/>
        </w:rPr>
        <w:t>, ‘</w:t>
      </w:r>
      <w:r>
        <w:rPr>
          <w:b w:val="0"/>
        </w:rPr>
        <w:t>The choice of optimal</w:t>
      </w:r>
      <w:r w:rsidRPr="00EF69EA">
        <w:rPr>
          <w:b w:val="0"/>
        </w:rPr>
        <w:t xml:space="preserve"> monetary policy instrument for Kenya’</w:t>
      </w:r>
      <w:r>
        <w:rPr>
          <w:b w:val="0"/>
        </w:rPr>
        <w:t xml:space="preserve"> </w:t>
      </w:r>
      <w:r w:rsidRPr="00EF69EA">
        <w:rPr>
          <w:b w:val="0"/>
        </w:rPr>
        <w:t>9.</w:t>
      </w:r>
    </w:p>
  </w:footnote>
  <w:footnote w:id="54">
    <w:p w14:paraId="7FC3B099" w14:textId="77777777" w:rsidR="004A5F49" w:rsidRPr="00483C9A" w:rsidRDefault="004A5F49" w:rsidP="008B1B91">
      <w:pPr>
        <w:spacing w:line="276" w:lineRule="auto"/>
        <w:rPr>
          <w:szCs w:val="24"/>
        </w:rPr>
      </w:pPr>
      <w:r>
        <w:rPr>
          <w:rStyle w:val="FootnoteReference"/>
        </w:rPr>
        <w:footnoteRef/>
      </w:r>
      <w:r>
        <w:t xml:space="preserve"> </w:t>
      </w:r>
      <w:proofErr w:type="spellStart"/>
      <w:r w:rsidRPr="00483C9A">
        <w:rPr>
          <w:sz w:val="20"/>
          <w:szCs w:val="20"/>
        </w:rPr>
        <w:t>Gichuki</w:t>
      </w:r>
      <w:proofErr w:type="spellEnd"/>
      <w:r w:rsidRPr="00483C9A">
        <w:rPr>
          <w:sz w:val="20"/>
          <w:szCs w:val="20"/>
        </w:rPr>
        <w:t xml:space="preserve"> J, </w:t>
      </w:r>
      <w:proofErr w:type="spellStart"/>
      <w:r w:rsidRPr="00483C9A">
        <w:rPr>
          <w:sz w:val="20"/>
          <w:szCs w:val="20"/>
        </w:rPr>
        <w:t>Oduor</w:t>
      </w:r>
      <w:proofErr w:type="spellEnd"/>
      <w:r w:rsidRPr="00483C9A">
        <w:rPr>
          <w:sz w:val="20"/>
          <w:szCs w:val="20"/>
        </w:rPr>
        <w:t xml:space="preserve"> J and </w:t>
      </w:r>
      <w:proofErr w:type="spellStart"/>
      <w:r w:rsidRPr="00483C9A">
        <w:rPr>
          <w:sz w:val="20"/>
          <w:szCs w:val="20"/>
        </w:rPr>
        <w:t>Kosimbei</w:t>
      </w:r>
      <w:proofErr w:type="spellEnd"/>
      <w:r w:rsidRPr="00483C9A">
        <w:rPr>
          <w:sz w:val="20"/>
          <w:szCs w:val="20"/>
        </w:rPr>
        <w:t xml:space="preserve"> G, ‘The choice of optimal monetary policy instrument for Kenya’ 11.</w:t>
      </w:r>
    </w:p>
  </w:footnote>
  <w:footnote w:id="55">
    <w:p w14:paraId="115AC98F" w14:textId="77777777" w:rsidR="004A5F49" w:rsidRPr="00483C9A" w:rsidRDefault="004A5F49" w:rsidP="008B1B91">
      <w:pPr>
        <w:pStyle w:val="FootnoteText"/>
        <w:spacing w:line="276" w:lineRule="auto"/>
        <w:rPr>
          <w:b w:val="0"/>
        </w:rPr>
      </w:pPr>
      <w:r w:rsidRPr="00483C9A">
        <w:rPr>
          <w:rStyle w:val="FootnoteReference"/>
          <w:b w:val="0"/>
        </w:rPr>
        <w:footnoteRef/>
      </w:r>
      <w:r w:rsidRPr="00483C9A">
        <w:rPr>
          <w:b w:val="0"/>
        </w:rPr>
        <w:t xml:space="preserve"> </w:t>
      </w:r>
      <w:proofErr w:type="spellStart"/>
      <w:r w:rsidRPr="00483C9A">
        <w:rPr>
          <w:b w:val="0"/>
        </w:rPr>
        <w:t>Barako</w:t>
      </w:r>
      <w:proofErr w:type="spellEnd"/>
      <w:r w:rsidRPr="00483C9A">
        <w:rPr>
          <w:b w:val="0"/>
        </w:rPr>
        <w:t xml:space="preserve"> D and Tower G, ‘Corporate Governance and bank performance: Does ownership matter? Evidence from the Kenyan banking sector’ 4(2) </w:t>
      </w:r>
      <w:proofErr w:type="spellStart"/>
      <w:r w:rsidRPr="00483C9A">
        <w:rPr>
          <w:b w:val="0"/>
          <w:i/>
        </w:rPr>
        <w:t>Virtus</w:t>
      </w:r>
      <w:proofErr w:type="spellEnd"/>
      <w:r w:rsidRPr="00483C9A">
        <w:rPr>
          <w:b w:val="0"/>
          <w:i/>
        </w:rPr>
        <w:t xml:space="preserve"> </w:t>
      </w:r>
      <w:proofErr w:type="spellStart"/>
      <w:r w:rsidRPr="00483C9A">
        <w:rPr>
          <w:b w:val="0"/>
          <w:i/>
        </w:rPr>
        <w:t>Interpres</w:t>
      </w:r>
      <w:r>
        <w:rPr>
          <w:b w:val="0"/>
          <w:i/>
        </w:rPr>
        <w:t>s</w:t>
      </w:r>
      <w:proofErr w:type="spellEnd"/>
      <w:r w:rsidRPr="00483C9A">
        <w:rPr>
          <w:b w:val="0"/>
        </w:rPr>
        <w:t>, 2007, 134-135.</w:t>
      </w:r>
    </w:p>
  </w:footnote>
  <w:footnote w:id="56">
    <w:p w14:paraId="62F31CAF" w14:textId="77777777" w:rsidR="004A5F49" w:rsidRPr="00483C9A" w:rsidRDefault="004A5F49" w:rsidP="008B1B91">
      <w:pPr>
        <w:pStyle w:val="FootnoteText"/>
        <w:spacing w:line="276" w:lineRule="auto"/>
        <w:rPr>
          <w:b w:val="0"/>
        </w:rPr>
      </w:pPr>
      <w:r w:rsidRPr="00483C9A">
        <w:rPr>
          <w:rStyle w:val="FootnoteReference"/>
          <w:b w:val="0"/>
        </w:rPr>
        <w:footnoteRef/>
      </w:r>
      <w:r w:rsidRPr="00483C9A">
        <w:rPr>
          <w:b w:val="0"/>
        </w:rPr>
        <w:t xml:space="preserve"> </w:t>
      </w:r>
      <w:proofErr w:type="spellStart"/>
      <w:r w:rsidRPr="00483C9A">
        <w:rPr>
          <w:b w:val="0"/>
        </w:rPr>
        <w:t>Barako</w:t>
      </w:r>
      <w:proofErr w:type="spellEnd"/>
      <w:r w:rsidRPr="00483C9A">
        <w:rPr>
          <w:b w:val="0"/>
        </w:rPr>
        <w:t xml:space="preserve"> D and Tower G, ‘Corporate Governance and bank performance: Does ownership matter? Evidence from the Kenyan banking sector’</w:t>
      </w:r>
      <w:r>
        <w:rPr>
          <w:b w:val="0"/>
        </w:rPr>
        <w:t xml:space="preserve"> </w:t>
      </w:r>
      <w:r w:rsidRPr="00483C9A">
        <w:rPr>
          <w:b w:val="0"/>
        </w:rPr>
        <w:t>134-135.</w:t>
      </w:r>
    </w:p>
  </w:footnote>
  <w:footnote w:id="57">
    <w:p w14:paraId="23A04615" w14:textId="77777777" w:rsidR="004A5F49" w:rsidRDefault="004A5F49" w:rsidP="008B1B91">
      <w:pPr>
        <w:pStyle w:val="FootnoteText"/>
        <w:spacing w:line="276" w:lineRule="auto"/>
      </w:pPr>
      <w:r>
        <w:rPr>
          <w:rStyle w:val="FootnoteReference"/>
        </w:rPr>
        <w:footnoteRef/>
      </w:r>
      <w:r>
        <w:t xml:space="preserve"> </w:t>
      </w:r>
      <w:proofErr w:type="spellStart"/>
      <w:r w:rsidRPr="00483C9A">
        <w:rPr>
          <w:b w:val="0"/>
        </w:rPr>
        <w:t>Barako</w:t>
      </w:r>
      <w:proofErr w:type="spellEnd"/>
      <w:r w:rsidRPr="00483C9A">
        <w:rPr>
          <w:b w:val="0"/>
        </w:rPr>
        <w:t xml:space="preserve"> D and Tower G, ‘Corporate Governance and bank performance: Does ownership matter? Evidence from the Kenyan banking sector’</w:t>
      </w:r>
      <w:r>
        <w:rPr>
          <w:b w:val="0"/>
        </w:rPr>
        <w:t xml:space="preserve"> </w:t>
      </w:r>
      <w:r w:rsidRPr="00483C9A">
        <w:rPr>
          <w:b w:val="0"/>
        </w:rPr>
        <w:t>135.</w:t>
      </w:r>
    </w:p>
  </w:footnote>
  <w:footnote w:id="58">
    <w:p w14:paraId="56AD6BAB" w14:textId="77777777" w:rsidR="004A5F49" w:rsidRDefault="004A5F49" w:rsidP="008B1B91">
      <w:pPr>
        <w:pStyle w:val="FootnoteText"/>
        <w:spacing w:line="276" w:lineRule="auto"/>
      </w:pPr>
      <w:r>
        <w:rPr>
          <w:rStyle w:val="FootnoteReference"/>
        </w:rPr>
        <w:footnoteRef/>
      </w:r>
      <w:r>
        <w:t xml:space="preserve"> </w:t>
      </w:r>
      <w:proofErr w:type="spellStart"/>
      <w:r w:rsidRPr="00483C9A">
        <w:rPr>
          <w:b w:val="0"/>
        </w:rPr>
        <w:t>Barako</w:t>
      </w:r>
      <w:proofErr w:type="spellEnd"/>
      <w:r w:rsidRPr="00483C9A">
        <w:rPr>
          <w:b w:val="0"/>
        </w:rPr>
        <w:t xml:space="preserve"> D and Tower G, ‘Corporate Governance and bank performance: Does ownership matter? Evidence from the Kenyan banking sector’</w:t>
      </w:r>
      <w:r>
        <w:rPr>
          <w:b w:val="0"/>
        </w:rPr>
        <w:t xml:space="preserve"> </w:t>
      </w:r>
      <w:r w:rsidRPr="00483C9A">
        <w:rPr>
          <w:b w:val="0"/>
        </w:rPr>
        <w:t>135.</w:t>
      </w:r>
    </w:p>
  </w:footnote>
  <w:footnote w:id="59">
    <w:p w14:paraId="1AAD1E4F" w14:textId="77777777" w:rsidR="004A5F49" w:rsidRDefault="004A5F49">
      <w:pPr>
        <w:pStyle w:val="FootnoteText"/>
      </w:pPr>
      <w:r>
        <w:rPr>
          <w:rStyle w:val="FootnoteReference"/>
        </w:rPr>
        <w:footnoteRef/>
      </w:r>
      <w:r>
        <w:t xml:space="preserve"> </w:t>
      </w:r>
      <w:r w:rsidRPr="008B1B91">
        <w:rPr>
          <w:b w:val="0"/>
        </w:rPr>
        <w:t>Section 41</w:t>
      </w:r>
      <w:r>
        <w:rPr>
          <w:b w:val="0"/>
        </w:rPr>
        <w:t xml:space="preserve"> (1)</w:t>
      </w:r>
      <w:r w:rsidRPr="008B1B91">
        <w:rPr>
          <w:b w:val="0"/>
        </w:rPr>
        <w:t xml:space="preserve">, </w:t>
      </w:r>
      <w:r w:rsidRPr="008B1B91">
        <w:rPr>
          <w:b w:val="0"/>
          <w:i/>
        </w:rPr>
        <w:t>Competition Act</w:t>
      </w:r>
      <w:r w:rsidRPr="008B1B91">
        <w:rPr>
          <w:b w:val="0"/>
        </w:rPr>
        <w:t xml:space="preserve"> (Act No. 12 of 2010)</w:t>
      </w:r>
      <w:r>
        <w:rPr>
          <w:b w:val="0"/>
        </w:rPr>
        <w:t>.</w:t>
      </w:r>
    </w:p>
  </w:footnote>
  <w:footnote w:id="60">
    <w:p w14:paraId="7E7071D2" w14:textId="77777777" w:rsidR="004A5F49" w:rsidRDefault="004A5F49">
      <w:pPr>
        <w:pStyle w:val="FootnoteText"/>
      </w:pPr>
      <w:r>
        <w:rPr>
          <w:rStyle w:val="FootnoteReference"/>
        </w:rPr>
        <w:footnoteRef/>
      </w:r>
      <w:r>
        <w:t xml:space="preserve"> </w:t>
      </w:r>
      <w:r w:rsidRPr="008B1B91">
        <w:rPr>
          <w:b w:val="0"/>
        </w:rPr>
        <w:t>Section 41</w:t>
      </w:r>
      <w:r>
        <w:rPr>
          <w:b w:val="0"/>
        </w:rPr>
        <w:t xml:space="preserve"> (2)</w:t>
      </w:r>
      <w:r w:rsidRPr="008B1B91">
        <w:rPr>
          <w:b w:val="0"/>
        </w:rPr>
        <w:t xml:space="preserve">, </w:t>
      </w:r>
      <w:r w:rsidRPr="008B1B91">
        <w:rPr>
          <w:b w:val="0"/>
          <w:i/>
        </w:rPr>
        <w:t>Competition Act</w:t>
      </w:r>
      <w:r w:rsidRPr="008B1B91">
        <w:rPr>
          <w:b w:val="0"/>
        </w:rPr>
        <w:t xml:space="preserve"> (Act No. 12 of 2010)</w:t>
      </w:r>
      <w:r>
        <w:rPr>
          <w:b w:val="0"/>
        </w:rPr>
        <w:t>.</w:t>
      </w:r>
    </w:p>
  </w:footnote>
  <w:footnote w:id="61">
    <w:p w14:paraId="3ACB7D2D" w14:textId="77777777" w:rsidR="004A5F49" w:rsidRDefault="004A5F49">
      <w:pPr>
        <w:pStyle w:val="FootnoteText"/>
      </w:pPr>
      <w:r>
        <w:rPr>
          <w:rStyle w:val="FootnoteReference"/>
        </w:rPr>
        <w:footnoteRef/>
      </w:r>
      <w:r>
        <w:t xml:space="preserve"> </w:t>
      </w:r>
      <w:r w:rsidRPr="008B1B91">
        <w:rPr>
          <w:b w:val="0"/>
        </w:rPr>
        <w:t>Section 41</w:t>
      </w:r>
      <w:r>
        <w:rPr>
          <w:b w:val="0"/>
        </w:rPr>
        <w:t xml:space="preserve"> (2)</w:t>
      </w:r>
      <w:r w:rsidRPr="008B1B91">
        <w:rPr>
          <w:b w:val="0"/>
        </w:rPr>
        <w:t xml:space="preserve">, </w:t>
      </w:r>
      <w:r w:rsidRPr="008B1B91">
        <w:rPr>
          <w:b w:val="0"/>
          <w:i/>
        </w:rPr>
        <w:t>Competition Act</w:t>
      </w:r>
      <w:r w:rsidRPr="008B1B91">
        <w:rPr>
          <w:b w:val="0"/>
        </w:rPr>
        <w:t xml:space="preserve"> (Act No. 12 of 2010)</w:t>
      </w:r>
      <w:r>
        <w:rPr>
          <w:b w:val="0"/>
        </w:rPr>
        <w:t>.</w:t>
      </w:r>
    </w:p>
  </w:footnote>
  <w:footnote w:id="62">
    <w:p w14:paraId="73E16D16" w14:textId="77777777" w:rsidR="004A5F49" w:rsidRPr="009730C6" w:rsidRDefault="004A5F49">
      <w:pPr>
        <w:pStyle w:val="FootnoteText"/>
        <w:rPr>
          <w:b w:val="0"/>
        </w:rPr>
      </w:pPr>
      <w:r>
        <w:rPr>
          <w:rStyle w:val="FootnoteReference"/>
        </w:rPr>
        <w:footnoteRef/>
      </w:r>
      <w:proofErr w:type="spellStart"/>
      <w:r>
        <w:rPr>
          <w:b w:val="0"/>
        </w:rPr>
        <w:t>Arestis</w:t>
      </w:r>
      <w:proofErr w:type="spellEnd"/>
      <w:r>
        <w:rPr>
          <w:b w:val="0"/>
        </w:rPr>
        <w:t xml:space="preserve"> P, </w:t>
      </w:r>
      <w:proofErr w:type="spellStart"/>
      <w:r>
        <w:rPr>
          <w:b w:val="0"/>
        </w:rPr>
        <w:t>Chotareas</w:t>
      </w:r>
      <w:proofErr w:type="spellEnd"/>
      <w:r>
        <w:rPr>
          <w:b w:val="0"/>
        </w:rPr>
        <w:t xml:space="preserve"> E and </w:t>
      </w:r>
      <w:proofErr w:type="spellStart"/>
      <w:r>
        <w:rPr>
          <w:b w:val="0"/>
        </w:rPr>
        <w:t>Pelagidis</w:t>
      </w:r>
      <w:proofErr w:type="spellEnd"/>
      <w:r>
        <w:rPr>
          <w:b w:val="0"/>
        </w:rPr>
        <w:t xml:space="preserve"> T ‘Trade flows revisited: further evidence on globalization’ 36(2) </w:t>
      </w:r>
      <w:r w:rsidRPr="009730C6">
        <w:rPr>
          <w:b w:val="0"/>
          <w:i/>
        </w:rPr>
        <w:t>Cambridge Journal of Economics</w:t>
      </w:r>
      <w:r>
        <w:rPr>
          <w:b w:val="0"/>
        </w:rPr>
        <w:t xml:space="preserve">, 2012, 487. </w:t>
      </w:r>
    </w:p>
  </w:footnote>
  <w:footnote w:id="63">
    <w:p w14:paraId="2A22D217" w14:textId="77777777" w:rsidR="004A5F49" w:rsidRDefault="004A5F49" w:rsidP="00D559C7">
      <w:pPr>
        <w:pStyle w:val="FootnoteText"/>
        <w:spacing w:line="360" w:lineRule="auto"/>
      </w:pPr>
      <w:r>
        <w:rPr>
          <w:rStyle w:val="FootnoteReference"/>
        </w:rPr>
        <w:footnoteRef/>
      </w:r>
      <w:r>
        <w:t xml:space="preserve"> </w:t>
      </w:r>
      <w:proofErr w:type="spellStart"/>
      <w:r w:rsidRPr="00AB4544">
        <w:rPr>
          <w:b w:val="0"/>
        </w:rPr>
        <w:t>Kuwonu</w:t>
      </w:r>
      <w:proofErr w:type="spellEnd"/>
      <w:r w:rsidRPr="00AB4544">
        <w:rPr>
          <w:b w:val="0"/>
        </w:rPr>
        <w:t xml:space="preserve"> F, ‘Africa’s free trade areas opens for business’ United Nations: Africa Renewal, 7</w:t>
      </w:r>
      <w:r w:rsidRPr="00AB4544">
        <w:rPr>
          <w:b w:val="0"/>
          <w:vertAlign w:val="superscript"/>
        </w:rPr>
        <w:t>th</w:t>
      </w:r>
      <w:r w:rsidRPr="00AB4544">
        <w:rPr>
          <w:b w:val="0"/>
        </w:rPr>
        <w:t xml:space="preserve"> January 2021 </w:t>
      </w:r>
      <w:hyperlink r:id="rId5" w:history="1">
        <w:r w:rsidRPr="00AB4544">
          <w:rPr>
            <w:rStyle w:val="Hyperlink"/>
            <w:b w:val="0"/>
          </w:rPr>
          <w:t>https://www.un.org/africarenewal/magazine/january-2021/afcfta-africa-now-open-business</w:t>
        </w:r>
      </w:hyperlink>
      <w:r w:rsidRPr="00AB4544">
        <w:rPr>
          <w:b w:val="0"/>
        </w:rPr>
        <w:t xml:space="preserve"> on 10th January 2021.</w:t>
      </w:r>
    </w:p>
  </w:footnote>
  <w:footnote w:id="64">
    <w:p w14:paraId="14E281D1" w14:textId="77777777" w:rsidR="004A5F49" w:rsidRPr="00586C2A" w:rsidRDefault="004A5F49" w:rsidP="00D559C7">
      <w:pPr>
        <w:pStyle w:val="FootnoteText"/>
        <w:spacing w:line="360" w:lineRule="auto"/>
        <w:rPr>
          <w:b w:val="0"/>
        </w:rPr>
      </w:pPr>
      <w:r w:rsidRPr="00586C2A">
        <w:rPr>
          <w:rStyle w:val="FootnoteReference"/>
          <w:b w:val="0"/>
        </w:rPr>
        <w:footnoteRef/>
      </w:r>
      <w:r w:rsidRPr="00586C2A">
        <w:rPr>
          <w:b w:val="0"/>
        </w:rPr>
        <w:t xml:space="preserve"> </w:t>
      </w:r>
      <w:proofErr w:type="spellStart"/>
      <w:r w:rsidRPr="00586C2A">
        <w:rPr>
          <w:b w:val="0"/>
        </w:rPr>
        <w:t>Gathaiya</w:t>
      </w:r>
      <w:proofErr w:type="spellEnd"/>
      <w:r w:rsidRPr="00586C2A">
        <w:rPr>
          <w:b w:val="0"/>
        </w:rPr>
        <w:t xml:space="preserve"> R, ‘</w:t>
      </w:r>
      <w:r>
        <w:rPr>
          <w:b w:val="0"/>
        </w:rPr>
        <w:t>Analy</w:t>
      </w:r>
      <w:r w:rsidRPr="00586C2A">
        <w:rPr>
          <w:b w:val="0"/>
        </w:rPr>
        <w:t>sis of iss</w:t>
      </w:r>
      <w:r>
        <w:rPr>
          <w:b w:val="0"/>
        </w:rPr>
        <w:t>u</w:t>
      </w:r>
      <w:r w:rsidRPr="00586C2A">
        <w:rPr>
          <w:b w:val="0"/>
        </w:rPr>
        <w:t xml:space="preserve">es affecting collapsed banks in Kenya from year 2015 to 2016’ 7(3) </w:t>
      </w:r>
      <w:r w:rsidRPr="00586C2A">
        <w:rPr>
          <w:b w:val="0"/>
          <w:i/>
        </w:rPr>
        <w:t>International Journal of Management and Business Studies</w:t>
      </w:r>
      <w:r w:rsidRPr="00586C2A">
        <w:rPr>
          <w:b w:val="0"/>
        </w:rPr>
        <w:t>, 2017, 10.</w:t>
      </w:r>
    </w:p>
  </w:footnote>
  <w:footnote w:id="65">
    <w:p w14:paraId="509AF103" w14:textId="77777777" w:rsidR="004A5F49" w:rsidRPr="00586C2A" w:rsidRDefault="004A5F49" w:rsidP="00D559C7">
      <w:pPr>
        <w:pStyle w:val="FootnoteText"/>
        <w:spacing w:line="360" w:lineRule="auto"/>
        <w:rPr>
          <w:b w:val="0"/>
        </w:rPr>
      </w:pPr>
      <w:r w:rsidRPr="00586C2A">
        <w:rPr>
          <w:rStyle w:val="FootnoteReference"/>
          <w:b w:val="0"/>
        </w:rPr>
        <w:footnoteRef/>
      </w:r>
      <w:r w:rsidRPr="00586C2A">
        <w:rPr>
          <w:b w:val="0"/>
        </w:rPr>
        <w:t xml:space="preserve"> </w:t>
      </w:r>
      <w:proofErr w:type="spellStart"/>
      <w:r w:rsidRPr="00586C2A">
        <w:rPr>
          <w:b w:val="0"/>
        </w:rPr>
        <w:t>Gathaiya</w:t>
      </w:r>
      <w:proofErr w:type="spellEnd"/>
      <w:r w:rsidRPr="00586C2A">
        <w:rPr>
          <w:b w:val="0"/>
        </w:rPr>
        <w:t xml:space="preserve"> R, ‘</w:t>
      </w:r>
      <w:r>
        <w:rPr>
          <w:b w:val="0"/>
        </w:rPr>
        <w:t>Analy</w:t>
      </w:r>
      <w:r w:rsidRPr="00586C2A">
        <w:rPr>
          <w:b w:val="0"/>
        </w:rPr>
        <w:t>sis of iss</w:t>
      </w:r>
      <w:r>
        <w:rPr>
          <w:b w:val="0"/>
        </w:rPr>
        <w:t>u</w:t>
      </w:r>
      <w:r w:rsidRPr="00586C2A">
        <w:rPr>
          <w:b w:val="0"/>
        </w:rPr>
        <w:t>es affecting collapsed banks in Kenya from year 2015 to 2016’ 11.</w:t>
      </w:r>
    </w:p>
  </w:footnote>
  <w:footnote w:id="66">
    <w:p w14:paraId="631CE1DF" w14:textId="77777777" w:rsidR="004A5F49" w:rsidRPr="00D559C7" w:rsidRDefault="004A5F49" w:rsidP="00D559C7">
      <w:pPr>
        <w:pStyle w:val="FootnoteText"/>
        <w:spacing w:line="360" w:lineRule="auto"/>
      </w:pPr>
      <w:r>
        <w:rPr>
          <w:rStyle w:val="FootnoteReference"/>
        </w:rPr>
        <w:footnoteRef/>
      </w:r>
      <w:r>
        <w:t xml:space="preserve"> </w:t>
      </w:r>
      <w:proofErr w:type="spellStart"/>
      <w:r w:rsidRPr="00D559C7">
        <w:rPr>
          <w:b w:val="0"/>
        </w:rPr>
        <w:t>Bishnoi</w:t>
      </w:r>
      <w:proofErr w:type="spellEnd"/>
      <w:r w:rsidRPr="00D559C7">
        <w:rPr>
          <w:b w:val="0"/>
        </w:rPr>
        <w:t xml:space="preserve"> T and Devi S, ‘Mergers and Acquisitions of Banks in Post-Reform India’ 50 (37) </w:t>
      </w:r>
      <w:r w:rsidRPr="00D559C7">
        <w:rPr>
          <w:b w:val="0"/>
          <w:i/>
        </w:rPr>
        <w:t>Economic and Political Weekly</w:t>
      </w:r>
      <w:r>
        <w:rPr>
          <w:b w:val="0"/>
          <w:i/>
        </w:rPr>
        <w:t xml:space="preserve">, </w:t>
      </w:r>
      <w:r>
        <w:rPr>
          <w:b w:val="0"/>
        </w:rPr>
        <w:t>2015, 54.</w:t>
      </w:r>
    </w:p>
  </w:footnote>
  <w:footnote w:id="67">
    <w:p w14:paraId="6612036C" w14:textId="77777777" w:rsidR="004A5F49" w:rsidRPr="006354DD" w:rsidRDefault="004A5F49" w:rsidP="00D559C7">
      <w:pPr>
        <w:pStyle w:val="FootnoteText"/>
        <w:spacing w:line="360" w:lineRule="auto"/>
      </w:pPr>
      <w:r>
        <w:rPr>
          <w:rStyle w:val="FootnoteReference"/>
        </w:rPr>
        <w:footnoteRef/>
      </w:r>
      <w:r>
        <w:t xml:space="preserve"> </w:t>
      </w:r>
      <w:proofErr w:type="spellStart"/>
      <w:r w:rsidRPr="006354DD">
        <w:rPr>
          <w:b w:val="0"/>
        </w:rPr>
        <w:t>Boley</w:t>
      </w:r>
      <w:proofErr w:type="spellEnd"/>
      <w:r w:rsidRPr="006354DD">
        <w:rPr>
          <w:b w:val="0"/>
        </w:rPr>
        <w:t xml:space="preserve"> B and </w:t>
      </w:r>
      <w:proofErr w:type="spellStart"/>
      <w:r w:rsidRPr="006354DD">
        <w:rPr>
          <w:b w:val="0"/>
        </w:rPr>
        <w:t>Uysal</w:t>
      </w:r>
      <w:proofErr w:type="spellEnd"/>
      <w:r w:rsidRPr="006354DD">
        <w:rPr>
          <w:b w:val="0"/>
        </w:rPr>
        <w:t xml:space="preserve"> M, ‘Competitive synergy through practicing triples bottom line sustainability: Evidence from various case study’ 13(4) </w:t>
      </w:r>
      <w:r w:rsidRPr="006354DD">
        <w:rPr>
          <w:b w:val="0"/>
          <w:i/>
        </w:rPr>
        <w:t xml:space="preserve">Tourism and Hospitality Research, </w:t>
      </w:r>
      <w:r w:rsidRPr="006354DD">
        <w:rPr>
          <w:b w:val="0"/>
        </w:rPr>
        <w:t>2013, 229.</w:t>
      </w:r>
    </w:p>
  </w:footnote>
  <w:footnote w:id="68">
    <w:p w14:paraId="5C1A3726" w14:textId="77777777" w:rsidR="004A5F49" w:rsidRDefault="004A5F49" w:rsidP="00D559C7">
      <w:pPr>
        <w:pStyle w:val="FootnoteText"/>
        <w:spacing w:line="360" w:lineRule="auto"/>
      </w:pPr>
      <w:r>
        <w:rPr>
          <w:rStyle w:val="FootnoteReference"/>
        </w:rPr>
        <w:footnoteRef/>
      </w:r>
      <w:r>
        <w:t xml:space="preserve"> </w:t>
      </w:r>
      <w:proofErr w:type="spellStart"/>
      <w:r w:rsidRPr="00D559C7">
        <w:rPr>
          <w:b w:val="0"/>
        </w:rPr>
        <w:t>Bishnoi</w:t>
      </w:r>
      <w:proofErr w:type="spellEnd"/>
      <w:r w:rsidRPr="00D559C7">
        <w:rPr>
          <w:b w:val="0"/>
        </w:rPr>
        <w:t xml:space="preserve"> T and Devi S, ‘Mergers and Acquisitions of Banks in Post-Reform India’</w:t>
      </w:r>
      <w:r>
        <w:rPr>
          <w:b w:val="0"/>
        </w:rPr>
        <w:t>,</w:t>
      </w:r>
      <w:r w:rsidRPr="00D559C7">
        <w:rPr>
          <w:b w:val="0"/>
        </w:rPr>
        <w:t xml:space="preserve"> </w:t>
      </w:r>
      <w:r>
        <w:rPr>
          <w:b w:val="0"/>
        </w:rPr>
        <w:t>55.</w:t>
      </w:r>
    </w:p>
  </w:footnote>
  <w:footnote w:id="69">
    <w:p w14:paraId="22855698" w14:textId="2F146604" w:rsidR="004A5F49" w:rsidRPr="005752BD" w:rsidRDefault="004A5F49" w:rsidP="00D67E26">
      <w:pPr>
        <w:pStyle w:val="FootnoteText"/>
        <w:spacing w:line="276" w:lineRule="auto"/>
        <w:rPr>
          <w:rFonts w:cs="Times New Roman"/>
          <w:b w:val="0"/>
        </w:rPr>
      </w:pPr>
      <w:r w:rsidRPr="005752BD">
        <w:rPr>
          <w:rStyle w:val="FootnoteReference"/>
          <w:rFonts w:cs="Times New Roman"/>
          <w:b w:val="0"/>
        </w:rPr>
        <w:footnoteRef/>
      </w:r>
      <w:r w:rsidRPr="005752BD">
        <w:rPr>
          <w:rFonts w:cs="Times New Roman"/>
          <w:b w:val="0"/>
        </w:rPr>
        <w:t>Shull</w:t>
      </w:r>
      <w:r>
        <w:rPr>
          <w:rFonts w:cs="Times New Roman"/>
          <w:b w:val="0"/>
        </w:rPr>
        <w:t xml:space="preserve"> B</w:t>
      </w:r>
      <w:r w:rsidRPr="005752BD">
        <w:rPr>
          <w:rFonts w:cs="Times New Roman"/>
          <w:b w:val="0"/>
        </w:rPr>
        <w:t>, ‘</w:t>
      </w:r>
      <w:r w:rsidRPr="008C18E4">
        <w:rPr>
          <w:rFonts w:cs="Times New Roman"/>
          <w:b w:val="0"/>
        </w:rPr>
        <w:t>Too big to fail in financial crisis: motives, countermeasures and prospects</w:t>
      </w:r>
      <w:r w:rsidRPr="005752BD">
        <w:rPr>
          <w:rFonts w:cs="Times New Roman"/>
          <w:b w:val="0"/>
        </w:rPr>
        <w:t xml:space="preserve">’ Levy </w:t>
      </w:r>
      <w:proofErr w:type="spellStart"/>
      <w:r>
        <w:rPr>
          <w:rFonts w:cs="Times New Roman"/>
          <w:b w:val="0"/>
        </w:rPr>
        <w:t>Economic</w:t>
      </w:r>
      <w:proofErr w:type="spellEnd"/>
      <w:r w:rsidRPr="005752BD">
        <w:rPr>
          <w:rFonts w:cs="Times New Roman"/>
          <w:b w:val="0"/>
        </w:rPr>
        <w:t xml:space="preserve"> Institute, Working paper Number 601, 2010, 11, &lt; </w:t>
      </w:r>
      <w:hyperlink r:id="rId6" w:history="1">
        <w:r w:rsidRPr="005752BD">
          <w:rPr>
            <w:rStyle w:val="Hyperlink"/>
            <w:rFonts w:cs="Times New Roman"/>
            <w:b w:val="0"/>
          </w:rPr>
          <w:t>https://www.econstor.eu/bitstream/10419/57000/1/629700370.pdf</w:t>
        </w:r>
      </w:hyperlink>
      <w:r w:rsidRPr="005752BD">
        <w:rPr>
          <w:rFonts w:cs="Times New Roman"/>
          <w:b w:val="0"/>
        </w:rPr>
        <w:t>&gt; on 10</w:t>
      </w:r>
      <w:r w:rsidRPr="005752BD">
        <w:rPr>
          <w:rFonts w:cs="Times New Roman"/>
          <w:b w:val="0"/>
          <w:vertAlign w:val="superscript"/>
        </w:rPr>
        <w:t>th</w:t>
      </w:r>
      <w:r w:rsidRPr="005752BD">
        <w:rPr>
          <w:rFonts w:cs="Times New Roman"/>
          <w:b w:val="0"/>
        </w:rPr>
        <w:t xml:space="preserve"> December 2020.</w:t>
      </w:r>
    </w:p>
  </w:footnote>
  <w:footnote w:id="70">
    <w:p w14:paraId="74C2A2BD" w14:textId="3CFAECB1" w:rsidR="004A5F49" w:rsidRPr="005752BD" w:rsidRDefault="004A5F49" w:rsidP="00D67E26">
      <w:pPr>
        <w:pStyle w:val="FootnoteText"/>
        <w:spacing w:line="276" w:lineRule="auto"/>
        <w:rPr>
          <w:rFonts w:cs="Times New Roman"/>
          <w:b w:val="0"/>
        </w:rPr>
      </w:pPr>
      <w:r w:rsidRPr="005752BD">
        <w:rPr>
          <w:rStyle w:val="FootnoteReference"/>
          <w:rFonts w:cs="Times New Roman"/>
          <w:b w:val="0"/>
        </w:rPr>
        <w:footnoteRef/>
      </w:r>
      <w:r w:rsidRPr="005752BD">
        <w:rPr>
          <w:rFonts w:cs="Times New Roman"/>
          <w:b w:val="0"/>
        </w:rPr>
        <w:t xml:space="preserve"> </w:t>
      </w:r>
      <w:proofErr w:type="spellStart"/>
      <w:r w:rsidRPr="005752BD">
        <w:rPr>
          <w:rFonts w:cs="Times New Roman"/>
          <w:b w:val="0"/>
        </w:rPr>
        <w:t>Spagnolo</w:t>
      </w:r>
      <w:proofErr w:type="spellEnd"/>
      <w:r w:rsidRPr="005752BD">
        <w:rPr>
          <w:rFonts w:cs="Times New Roman"/>
          <w:b w:val="0"/>
        </w:rPr>
        <w:t xml:space="preserve"> G, </w:t>
      </w:r>
      <w:proofErr w:type="spellStart"/>
      <w:r w:rsidRPr="005752BD">
        <w:rPr>
          <w:rFonts w:cs="Times New Roman"/>
          <w:b w:val="0"/>
        </w:rPr>
        <w:t>Carletti</w:t>
      </w:r>
      <w:proofErr w:type="spellEnd"/>
      <w:r w:rsidRPr="005752BD">
        <w:rPr>
          <w:rFonts w:cs="Times New Roman"/>
          <w:b w:val="0"/>
        </w:rPr>
        <w:t xml:space="preserve"> E, </w:t>
      </w:r>
      <w:proofErr w:type="spellStart"/>
      <w:r w:rsidRPr="005752BD">
        <w:rPr>
          <w:rFonts w:cs="Times New Roman"/>
          <w:b w:val="0"/>
        </w:rPr>
        <w:t>Ongena</w:t>
      </w:r>
      <w:proofErr w:type="spellEnd"/>
      <w:r w:rsidRPr="005752BD">
        <w:rPr>
          <w:rFonts w:cs="Times New Roman"/>
          <w:b w:val="0"/>
        </w:rPr>
        <w:t xml:space="preserve"> S and </w:t>
      </w:r>
      <w:proofErr w:type="spellStart"/>
      <w:r w:rsidRPr="005752BD">
        <w:rPr>
          <w:rFonts w:cs="Times New Roman"/>
          <w:b w:val="0"/>
        </w:rPr>
        <w:t>Siedlarek</w:t>
      </w:r>
      <w:proofErr w:type="spellEnd"/>
      <w:r w:rsidRPr="005752BD">
        <w:rPr>
          <w:rFonts w:cs="Times New Roman"/>
          <w:b w:val="0"/>
        </w:rPr>
        <w:t xml:space="preserve"> J, ‘The impacts of stricter merger legislation on bank mergers and acquisitions: Too-Big-To-Fail and competition’ Centre for Economic Policy Research, Financial Economics and Industrial </w:t>
      </w:r>
      <w:proofErr w:type="spellStart"/>
      <w:r w:rsidRPr="005752BD">
        <w:rPr>
          <w:rFonts w:cs="Times New Roman"/>
          <w:b w:val="0"/>
        </w:rPr>
        <w:t>Organisation</w:t>
      </w:r>
      <w:proofErr w:type="spellEnd"/>
      <w:r w:rsidRPr="005752BD">
        <w:rPr>
          <w:rFonts w:cs="Times New Roman"/>
          <w:b w:val="0"/>
        </w:rPr>
        <w:t xml:space="preserve"> Discussion Paper DP 14449, 2020, 16, </w:t>
      </w:r>
      <w:hyperlink r:id="rId7" w:anchor="d=gs_qabs&amp;u=%23p%3DOMrYl4Z64XEJ" w:history="1">
        <w:r w:rsidRPr="005752BD">
          <w:rPr>
            <w:rStyle w:val="Hyperlink"/>
            <w:rFonts w:cs="Times New Roman"/>
            <w:b w:val="0"/>
          </w:rPr>
          <w:t>https://scholar.google.com/scholar?hl=en&amp;as_sdt=0%2C5&amp;q=Mergers+and+creation+of+Too+big+too+Fail&amp;btnG=#d=gs_qabs&amp;u=%23p%3DOMrYl4Z64XEJ</w:t>
        </w:r>
      </w:hyperlink>
      <w:r w:rsidRPr="005752BD">
        <w:rPr>
          <w:rFonts w:cs="Times New Roman"/>
          <w:b w:val="0"/>
        </w:rPr>
        <w:t xml:space="preserve"> on 7</w:t>
      </w:r>
      <w:r w:rsidRPr="005752BD">
        <w:rPr>
          <w:rFonts w:cs="Times New Roman"/>
          <w:b w:val="0"/>
          <w:vertAlign w:val="superscript"/>
        </w:rPr>
        <w:t>th</w:t>
      </w:r>
      <w:r w:rsidRPr="005752BD">
        <w:rPr>
          <w:rFonts w:cs="Times New Roman"/>
          <w:b w:val="0"/>
        </w:rPr>
        <w:t xml:space="preserve"> December 2020.</w:t>
      </w:r>
    </w:p>
  </w:footnote>
  <w:footnote w:id="71">
    <w:p w14:paraId="193914B7" w14:textId="7B36C239" w:rsidR="004A5F49" w:rsidRPr="005752BD" w:rsidRDefault="004A5F49" w:rsidP="00D67E26">
      <w:pPr>
        <w:pStyle w:val="FootnoteText"/>
        <w:spacing w:line="276" w:lineRule="auto"/>
      </w:pPr>
      <w:r w:rsidRPr="005752BD">
        <w:rPr>
          <w:rStyle w:val="FootnoteReference"/>
        </w:rPr>
        <w:footnoteRef/>
      </w:r>
      <w:r w:rsidRPr="005752BD">
        <w:t xml:space="preserve"> </w:t>
      </w:r>
      <w:proofErr w:type="spellStart"/>
      <w:r w:rsidRPr="005752BD">
        <w:rPr>
          <w:rFonts w:cs="Times New Roman"/>
          <w:b w:val="0"/>
        </w:rPr>
        <w:t>Spagnolo</w:t>
      </w:r>
      <w:proofErr w:type="spellEnd"/>
      <w:r w:rsidRPr="005752BD">
        <w:rPr>
          <w:rFonts w:cs="Times New Roman"/>
          <w:b w:val="0"/>
        </w:rPr>
        <w:t xml:space="preserve"> G, </w:t>
      </w:r>
      <w:proofErr w:type="spellStart"/>
      <w:r w:rsidRPr="005752BD">
        <w:rPr>
          <w:rFonts w:cs="Times New Roman"/>
          <w:b w:val="0"/>
        </w:rPr>
        <w:t>Carletti</w:t>
      </w:r>
      <w:proofErr w:type="spellEnd"/>
      <w:r w:rsidRPr="005752BD">
        <w:rPr>
          <w:rFonts w:cs="Times New Roman"/>
          <w:b w:val="0"/>
        </w:rPr>
        <w:t xml:space="preserve"> E, </w:t>
      </w:r>
      <w:proofErr w:type="spellStart"/>
      <w:r w:rsidRPr="005752BD">
        <w:rPr>
          <w:rFonts w:cs="Times New Roman"/>
          <w:b w:val="0"/>
        </w:rPr>
        <w:t>Ongena</w:t>
      </w:r>
      <w:proofErr w:type="spellEnd"/>
      <w:r w:rsidRPr="005752BD">
        <w:rPr>
          <w:rFonts w:cs="Times New Roman"/>
          <w:b w:val="0"/>
        </w:rPr>
        <w:t xml:space="preserve"> S and </w:t>
      </w:r>
      <w:proofErr w:type="spellStart"/>
      <w:r w:rsidRPr="005752BD">
        <w:rPr>
          <w:rFonts w:cs="Times New Roman"/>
          <w:b w:val="0"/>
        </w:rPr>
        <w:t>Siedlarek</w:t>
      </w:r>
      <w:proofErr w:type="spellEnd"/>
      <w:r w:rsidRPr="005752BD">
        <w:rPr>
          <w:rFonts w:cs="Times New Roman"/>
          <w:b w:val="0"/>
        </w:rPr>
        <w:t xml:space="preserve"> J, ‘The impacts of stricter merger legislation on bank mergers and acquisitions: Too-Big-To-Fail and competition’</w:t>
      </w:r>
      <w:r>
        <w:rPr>
          <w:rFonts w:cs="Times New Roman"/>
          <w:b w:val="0"/>
        </w:rPr>
        <w:t xml:space="preserve"> 18.</w:t>
      </w:r>
    </w:p>
  </w:footnote>
  <w:footnote w:id="72">
    <w:p w14:paraId="5738327F" w14:textId="0CE2F40E" w:rsidR="004A5F49" w:rsidRPr="005752BD" w:rsidRDefault="004A5F49" w:rsidP="00D67E26">
      <w:pPr>
        <w:pStyle w:val="FootnoteText"/>
        <w:spacing w:line="276" w:lineRule="auto"/>
        <w:rPr>
          <w:rFonts w:cs="Times New Roman"/>
          <w:b w:val="0"/>
        </w:rPr>
      </w:pPr>
      <w:r w:rsidRPr="005752BD">
        <w:rPr>
          <w:rStyle w:val="FootnoteReference"/>
          <w:rFonts w:cs="Times New Roman"/>
          <w:b w:val="0"/>
        </w:rPr>
        <w:footnoteRef/>
      </w:r>
      <w:r w:rsidRPr="005752BD">
        <w:rPr>
          <w:rFonts w:cs="Times New Roman"/>
          <w:b w:val="0"/>
        </w:rPr>
        <w:t>Shull</w:t>
      </w:r>
      <w:r>
        <w:rPr>
          <w:rFonts w:cs="Times New Roman"/>
          <w:b w:val="0"/>
        </w:rPr>
        <w:t xml:space="preserve"> B</w:t>
      </w:r>
      <w:r w:rsidRPr="005752BD">
        <w:rPr>
          <w:rFonts w:cs="Times New Roman"/>
          <w:b w:val="0"/>
        </w:rPr>
        <w:t>, ‘</w:t>
      </w:r>
      <w:r w:rsidRPr="008C18E4">
        <w:rPr>
          <w:rFonts w:cs="Times New Roman"/>
          <w:b w:val="0"/>
        </w:rPr>
        <w:t>Too big to fail in financial crisis: motives, countermeasures and prospects’</w:t>
      </w:r>
      <w:r w:rsidRPr="005752BD">
        <w:rPr>
          <w:rFonts w:cs="Times New Roman"/>
          <w:b w:val="0"/>
        </w:rPr>
        <w:t>, 12.</w:t>
      </w:r>
    </w:p>
  </w:footnote>
  <w:footnote w:id="73">
    <w:p w14:paraId="5CA2F8E0" w14:textId="18BEB679" w:rsidR="004A5F49" w:rsidRPr="00A02E4F" w:rsidRDefault="004A5F49" w:rsidP="00D67E26">
      <w:pPr>
        <w:pStyle w:val="NormalWeb"/>
        <w:spacing w:line="276" w:lineRule="auto"/>
        <w:rPr>
          <w:b w:val="0"/>
          <w:sz w:val="20"/>
          <w:szCs w:val="20"/>
        </w:rPr>
      </w:pPr>
      <w:r w:rsidRPr="005752BD">
        <w:rPr>
          <w:rStyle w:val="FootnoteReference"/>
          <w:b w:val="0"/>
          <w:sz w:val="20"/>
          <w:szCs w:val="20"/>
        </w:rPr>
        <w:footnoteRef/>
      </w:r>
      <w:r w:rsidRPr="005752BD">
        <w:rPr>
          <w:b w:val="0"/>
          <w:sz w:val="20"/>
          <w:szCs w:val="20"/>
        </w:rPr>
        <w:t xml:space="preserve"> </w:t>
      </w:r>
      <w:proofErr w:type="spellStart"/>
      <w:r w:rsidRPr="005752BD">
        <w:rPr>
          <w:b w:val="0"/>
          <w:color w:val="000000"/>
          <w:sz w:val="20"/>
          <w:szCs w:val="20"/>
        </w:rPr>
        <w:t>Mutuku</w:t>
      </w:r>
      <w:proofErr w:type="spellEnd"/>
      <w:r w:rsidRPr="005752BD">
        <w:rPr>
          <w:b w:val="0"/>
          <w:color w:val="000000"/>
          <w:sz w:val="20"/>
          <w:szCs w:val="20"/>
        </w:rPr>
        <w:t xml:space="preserve"> N, </w:t>
      </w:r>
      <w:r>
        <w:rPr>
          <w:b w:val="0"/>
          <w:color w:val="000000"/>
          <w:sz w:val="20"/>
          <w:szCs w:val="20"/>
        </w:rPr>
        <w:t>‘</w:t>
      </w:r>
      <w:r w:rsidRPr="005752BD">
        <w:rPr>
          <w:b w:val="0"/>
          <w:color w:val="000000"/>
          <w:sz w:val="20"/>
          <w:szCs w:val="20"/>
        </w:rPr>
        <w:t xml:space="preserve">Case for Consolidated Financial Sector Regulation in </w:t>
      </w:r>
      <w:proofErr w:type="spellStart"/>
      <w:r w:rsidRPr="005752BD">
        <w:rPr>
          <w:b w:val="0"/>
          <w:color w:val="000000"/>
          <w:sz w:val="20"/>
          <w:szCs w:val="20"/>
        </w:rPr>
        <w:t>Kenya</w:t>
      </w:r>
      <w:r>
        <w:rPr>
          <w:b w:val="0"/>
          <w:color w:val="000000"/>
          <w:sz w:val="20"/>
          <w:szCs w:val="20"/>
        </w:rPr>
        <w:t>’</w:t>
      </w:r>
      <w:r w:rsidRPr="005752BD">
        <w:rPr>
          <w:b w:val="0"/>
          <w:color w:val="000000"/>
          <w:sz w:val="20"/>
          <w:szCs w:val="20"/>
        </w:rPr>
        <w:t>RBA</w:t>
      </w:r>
      <w:proofErr w:type="spellEnd"/>
      <w:r w:rsidRPr="005752BD">
        <w:rPr>
          <w:b w:val="0"/>
          <w:color w:val="000000"/>
          <w:sz w:val="20"/>
          <w:szCs w:val="20"/>
        </w:rPr>
        <w:t xml:space="preserve"> Research Papers, 2011, 16.</w:t>
      </w:r>
    </w:p>
  </w:footnote>
  <w:footnote w:id="74">
    <w:p w14:paraId="733292DF" w14:textId="7992F352"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42(2),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color w:val="000000"/>
        </w:rPr>
        <w:t>.</w:t>
      </w:r>
    </w:p>
  </w:footnote>
  <w:footnote w:id="75">
    <w:p w14:paraId="76396B9F" w14:textId="5F9F33CC"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43,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color w:val="000000"/>
        </w:rPr>
        <w:t>.</w:t>
      </w:r>
    </w:p>
  </w:footnote>
  <w:footnote w:id="76">
    <w:p w14:paraId="13E2A149" w14:textId="1FBAE2E5"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49(1),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color w:val="000000"/>
        </w:rPr>
        <w:t>.</w:t>
      </w:r>
    </w:p>
  </w:footnote>
  <w:footnote w:id="77">
    <w:p w14:paraId="78521DFF" w14:textId="676AF168"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44, </w:t>
      </w:r>
      <w:r w:rsidRPr="00D559C7">
        <w:rPr>
          <w:rFonts w:cs="Times New Roman"/>
          <w:b w:val="0"/>
          <w:i/>
          <w:color w:val="000000"/>
        </w:rPr>
        <w:t>Competition Act</w:t>
      </w:r>
      <w:r w:rsidRPr="00A02E4F">
        <w:rPr>
          <w:rFonts w:cs="Times New Roman"/>
          <w:b w:val="0"/>
          <w:color w:val="000000"/>
        </w:rPr>
        <w:t xml:space="preserve">, </w:t>
      </w:r>
      <w:r w:rsidRPr="00EC6C9F">
        <w:rPr>
          <w:rFonts w:cs="Times New Roman"/>
          <w:b w:val="0"/>
          <w:iCs/>
          <w:color w:val="000000"/>
        </w:rPr>
        <w:t>(Act No. 12 of 2010</w:t>
      </w:r>
      <w:r w:rsidRPr="00EC6C9F">
        <w:rPr>
          <w:rFonts w:cs="Times New Roman"/>
          <w:b w:val="0"/>
          <w:color w:val="000000"/>
        </w:rPr>
        <w:t>)</w:t>
      </w:r>
      <w:r>
        <w:rPr>
          <w:rFonts w:cs="Times New Roman"/>
          <w:b w:val="0"/>
          <w:color w:val="000000"/>
        </w:rPr>
        <w:t>.</w:t>
      </w:r>
    </w:p>
  </w:footnote>
  <w:footnote w:id="78">
    <w:p w14:paraId="0155AD7C" w14:textId="46148321"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47,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rPr>
        <w:t>.</w:t>
      </w:r>
    </w:p>
  </w:footnote>
  <w:footnote w:id="79">
    <w:p w14:paraId="4EED2C9D" w14:textId="7E54BCA3"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48,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rPr>
        <w:t>.</w:t>
      </w:r>
    </w:p>
  </w:footnote>
  <w:footnote w:id="80">
    <w:p w14:paraId="7BD55036" w14:textId="0B28592C"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49(2), </w:t>
      </w:r>
      <w:r w:rsidRPr="00EC6C9F">
        <w:rPr>
          <w:rFonts w:cs="Times New Roman"/>
          <w:b w:val="0"/>
          <w:i/>
          <w:iCs/>
          <w:color w:val="000000"/>
        </w:rPr>
        <w:t>Competition Ac</w:t>
      </w:r>
      <w:r>
        <w:rPr>
          <w:rFonts w:cs="Times New Roman"/>
          <w:b w:val="0"/>
          <w:i/>
          <w:iCs/>
          <w:color w:val="000000"/>
        </w:rPr>
        <w:t xml:space="preserve">t </w:t>
      </w:r>
      <w:r w:rsidRPr="00EC6C9F">
        <w:rPr>
          <w:rFonts w:cs="Times New Roman"/>
          <w:b w:val="0"/>
          <w:iCs/>
          <w:color w:val="000000"/>
        </w:rPr>
        <w:t>(Act No. 12 of 2010</w:t>
      </w:r>
      <w:r w:rsidRPr="00EC6C9F">
        <w:rPr>
          <w:rFonts w:cs="Times New Roman"/>
          <w:b w:val="0"/>
          <w:color w:val="000000"/>
        </w:rPr>
        <w:t>)</w:t>
      </w:r>
      <w:r>
        <w:rPr>
          <w:rFonts w:cs="Times New Roman"/>
          <w:b w:val="0"/>
        </w:rPr>
        <w:t>.</w:t>
      </w:r>
    </w:p>
  </w:footnote>
  <w:footnote w:id="81">
    <w:p w14:paraId="7647BD96" w14:textId="1AFDCB2D"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934, </w:t>
      </w:r>
      <w:r w:rsidRPr="00EC6C9F">
        <w:rPr>
          <w:rFonts w:cs="Times New Roman"/>
          <w:b w:val="0"/>
          <w:i/>
          <w:color w:val="000000"/>
        </w:rPr>
        <w:t>Companies Act</w:t>
      </w:r>
      <w:r w:rsidRPr="00A02E4F">
        <w:rPr>
          <w:rFonts w:cs="Times New Roman"/>
          <w:b w:val="0"/>
          <w:color w:val="000000"/>
        </w:rPr>
        <w:t xml:space="preserve">, </w:t>
      </w:r>
      <w:r>
        <w:rPr>
          <w:rFonts w:cs="Times New Roman"/>
          <w:b w:val="0"/>
          <w:color w:val="000000"/>
        </w:rPr>
        <w:t xml:space="preserve">(Act </w:t>
      </w:r>
      <w:r w:rsidRPr="00A02E4F">
        <w:rPr>
          <w:rFonts w:cs="Times New Roman"/>
          <w:b w:val="0"/>
          <w:color w:val="000000"/>
        </w:rPr>
        <w:t>No</w:t>
      </w:r>
      <w:r>
        <w:rPr>
          <w:rFonts w:cs="Times New Roman"/>
          <w:b w:val="0"/>
          <w:color w:val="000000"/>
        </w:rPr>
        <w:t>.</w:t>
      </w:r>
      <w:r w:rsidRPr="00A02E4F">
        <w:rPr>
          <w:rFonts w:cs="Times New Roman"/>
          <w:b w:val="0"/>
          <w:color w:val="000000"/>
        </w:rPr>
        <w:t xml:space="preserve"> 17 of 2015</w:t>
      </w:r>
      <w:r>
        <w:rPr>
          <w:rFonts w:cs="Times New Roman"/>
          <w:b w:val="0"/>
          <w:color w:val="000000"/>
        </w:rPr>
        <w:t>)</w:t>
      </w:r>
      <w:r w:rsidRPr="00A02E4F">
        <w:rPr>
          <w:rFonts w:cs="Times New Roman"/>
          <w:b w:val="0"/>
          <w:color w:val="000000"/>
        </w:rPr>
        <w:t>.</w:t>
      </w:r>
    </w:p>
  </w:footnote>
  <w:footnote w:id="82">
    <w:p w14:paraId="394122B9" w14:textId="7E7E0A35"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Section 935</w:t>
      </w:r>
      <w:r w:rsidRPr="00EC6C9F">
        <w:rPr>
          <w:rFonts w:cs="Times New Roman"/>
          <w:b w:val="0"/>
          <w:i/>
          <w:color w:val="000000"/>
        </w:rPr>
        <w:t>, Companies Act</w:t>
      </w:r>
      <w:r w:rsidRPr="00A02E4F">
        <w:rPr>
          <w:rFonts w:cs="Times New Roman"/>
          <w:b w:val="0"/>
          <w:color w:val="000000"/>
        </w:rPr>
        <w:t xml:space="preserve">, </w:t>
      </w:r>
      <w:r>
        <w:rPr>
          <w:rFonts w:cs="Times New Roman"/>
          <w:b w:val="0"/>
          <w:color w:val="000000"/>
        </w:rPr>
        <w:t xml:space="preserve">(Act </w:t>
      </w:r>
      <w:r w:rsidRPr="00A02E4F">
        <w:rPr>
          <w:rFonts w:cs="Times New Roman"/>
          <w:b w:val="0"/>
          <w:color w:val="000000"/>
        </w:rPr>
        <w:t>No</w:t>
      </w:r>
      <w:r>
        <w:rPr>
          <w:rFonts w:cs="Times New Roman"/>
          <w:b w:val="0"/>
          <w:color w:val="000000"/>
        </w:rPr>
        <w:t>.</w:t>
      </w:r>
      <w:r w:rsidRPr="00A02E4F">
        <w:rPr>
          <w:rFonts w:cs="Times New Roman"/>
          <w:b w:val="0"/>
          <w:color w:val="000000"/>
        </w:rPr>
        <w:t xml:space="preserve"> 17 of 2015</w:t>
      </w:r>
      <w:r>
        <w:rPr>
          <w:rFonts w:cs="Times New Roman"/>
          <w:b w:val="0"/>
          <w:color w:val="000000"/>
        </w:rPr>
        <w:t>)</w:t>
      </w:r>
      <w:r w:rsidRPr="00A02E4F">
        <w:rPr>
          <w:rFonts w:cs="Times New Roman"/>
          <w:b w:val="0"/>
          <w:color w:val="000000"/>
        </w:rPr>
        <w:t>.</w:t>
      </w:r>
    </w:p>
  </w:footnote>
  <w:footnote w:id="83">
    <w:p w14:paraId="63945CCB" w14:textId="794C7D90" w:rsidR="004A5F49" w:rsidRPr="00EC6C9F" w:rsidRDefault="004A5F49" w:rsidP="00EC6C9F">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proofErr w:type="spellStart"/>
      <w:r w:rsidRPr="00A02E4F">
        <w:rPr>
          <w:b w:val="0"/>
          <w:color w:val="000000"/>
          <w:sz w:val="20"/>
          <w:szCs w:val="20"/>
        </w:rPr>
        <w:t>Nanyama</w:t>
      </w:r>
      <w:proofErr w:type="spellEnd"/>
      <w:r w:rsidRPr="00A02E4F">
        <w:rPr>
          <w:b w:val="0"/>
          <w:color w:val="000000"/>
          <w:sz w:val="20"/>
          <w:szCs w:val="20"/>
        </w:rPr>
        <w:t xml:space="preserve"> M.M, ‘Evaluating the Legal Framework Governing Mergers and Acquisitions of Commercial Banks in Kenya,’ Unpublished LLM Thesis, University of Nairobi, Nairobi, 2017, 35.</w:t>
      </w:r>
    </w:p>
  </w:footnote>
  <w:footnote w:id="84">
    <w:p w14:paraId="4DB8BF39" w14:textId="067A04C9"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proofErr w:type="spellStart"/>
      <w:r w:rsidRPr="00A02E4F">
        <w:rPr>
          <w:b w:val="0"/>
          <w:color w:val="000000"/>
          <w:sz w:val="20"/>
          <w:szCs w:val="20"/>
        </w:rPr>
        <w:t>Nanyama</w:t>
      </w:r>
      <w:proofErr w:type="spellEnd"/>
      <w:r w:rsidRPr="00A02E4F">
        <w:rPr>
          <w:b w:val="0"/>
          <w:color w:val="000000"/>
          <w:sz w:val="20"/>
          <w:szCs w:val="20"/>
        </w:rPr>
        <w:t xml:space="preserve"> M.M, ‘Evaluating the Legal Framework Governing Mergers and Acquisitions of Commercial Banks in Kenya,’, 35.</w:t>
      </w:r>
    </w:p>
  </w:footnote>
  <w:footnote w:id="85">
    <w:p w14:paraId="438CC1A0" w14:textId="545DFE54"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r w:rsidRPr="00A02E4F">
        <w:rPr>
          <w:b w:val="0"/>
          <w:color w:val="000000"/>
          <w:sz w:val="20"/>
          <w:szCs w:val="20"/>
        </w:rPr>
        <w:t xml:space="preserve">Section 9, </w:t>
      </w:r>
      <w:r w:rsidRPr="00EC6C9F">
        <w:rPr>
          <w:b w:val="0"/>
          <w:i/>
          <w:color w:val="000000"/>
          <w:sz w:val="20"/>
          <w:szCs w:val="20"/>
        </w:rPr>
        <w:t>The Banking Act</w:t>
      </w:r>
      <w:r>
        <w:rPr>
          <w:b w:val="0"/>
          <w:color w:val="000000"/>
          <w:sz w:val="20"/>
          <w:szCs w:val="20"/>
        </w:rPr>
        <w:t xml:space="preserve"> (</w:t>
      </w:r>
      <w:r w:rsidRPr="00A02E4F">
        <w:rPr>
          <w:b w:val="0"/>
          <w:color w:val="000000"/>
          <w:sz w:val="20"/>
          <w:szCs w:val="20"/>
        </w:rPr>
        <w:t>CAP 488</w:t>
      </w:r>
      <w:r>
        <w:rPr>
          <w:b w:val="0"/>
          <w:color w:val="000000"/>
          <w:sz w:val="20"/>
          <w:szCs w:val="20"/>
        </w:rPr>
        <w:t>).</w:t>
      </w:r>
    </w:p>
  </w:footnote>
  <w:footnote w:id="86">
    <w:p w14:paraId="09ED01C0" w14:textId="77777777"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CBK Prudential Guidelines on Mergers, Amalgamations, Transfers of Assets and Liabilities, CBK/PG/12.</w:t>
      </w:r>
    </w:p>
  </w:footnote>
  <w:footnote w:id="87">
    <w:p w14:paraId="6468E86E" w14:textId="77777777"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Rule 3.1.2, </w:t>
      </w:r>
      <w:r w:rsidRPr="00A02E4F">
        <w:rPr>
          <w:rFonts w:cs="Times New Roman"/>
          <w:b w:val="0"/>
          <w:i/>
          <w:iCs/>
          <w:color w:val="000000"/>
        </w:rPr>
        <w:t>CBK Prudential Guidelines on Mergers, Amalgamations, Transfers of Assets and Liabilities</w:t>
      </w:r>
      <w:r w:rsidRPr="00A02E4F">
        <w:rPr>
          <w:rFonts w:cs="Times New Roman"/>
          <w:b w:val="0"/>
          <w:color w:val="000000"/>
        </w:rPr>
        <w:t>, CBK/PG/12.</w:t>
      </w:r>
    </w:p>
  </w:footnote>
  <w:footnote w:id="88">
    <w:p w14:paraId="27A9C151" w14:textId="77777777"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Rule 3.1.3,</w:t>
      </w:r>
      <w:r w:rsidRPr="00A02E4F">
        <w:rPr>
          <w:rFonts w:cs="Times New Roman"/>
          <w:b w:val="0"/>
          <w:i/>
          <w:iCs/>
          <w:color w:val="000000"/>
        </w:rPr>
        <w:t xml:space="preserve"> CBK Prudential Guidelines on Mergers, Amalgamations, Transfers of Assets and Liabilities</w:t>
      </w:r>
      <w:r w:rsidRPr="00A02E4F">
        <w:rPr>
          <w:rFonts w:cs="Times New Roman"/>
          <w:b w:val="0"/>
          <w:color w:val="000000"/>
        </w:rPr>
        <w:t>, CBK/PG/12.</w:t>
      </w:r>
    </w:p>
  </w:footnote>
  <w:footnote w:id="89">
    <w:p w14:paraId="366A15D8" w14:textId="77777777"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r w:rsidRPr="00A02E4F">
        <w:rPr>
          <w:b w:val="0"/>
          <w:color w:val="000000"/>
          <w:sz w:val="20"/>
          <w:szCs w:val="20"/>
        </w:rPr>
        <w:t xml:space="preserve">Rule 3.2, </w:t>
      </w:r>
      <w:r w:rsidRPr="00A02E4F">
        <w:rPr>
          <w:b w:val="0"/>
          <w:i/>
          <w:iCs/>
          <w:color w:val="000000"/>
          <w:sz w:val="20"/>
          <w:szCs w:val="20"/>
        </w:rPr>
        <w:t>CBK Prudential Guidelines on Mergers, Amalgamations, Transfers of Assets and Liabilities</w:t>
      </w:r>
      <w:r w:rsidRPr="00A02E4F">
        <w:rPr>
          <w:b w:val="0"/>
          <w:color w:val="000000"/>
          <w:sz w:val="20"/>
          <w:szCs w:val="20"/>
        </w:rPr>
        <w:t>, CBK/PG/12.</w:t>
      </w:r>
    </w:p>
  </w:footnote>
  <w:footnote w:id="90">
    <w:p w14:paraId="1ED4DC02" w14:textId="4E61DBD7"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proofErr w:type="spellStart"/>
      <w:r w:rsidRPr="00A02E4F">
        <w:rPr>
          <w:b w:val="0"/>
          <w:color w:val="000000"/>
          <w:sz w:val="20"/>
          <w:szCs w:val="20"/>
        </w:rPr>
        <w:t>Nanyama</w:t>
      </w:r>
      <w:proofErr w:type="spellEnd"/>
      <w:r w:rsidRPr="00A02E4F">
        <w:rPr>
          <w:b w:val="0"/>
          <w:color w:val="000000"/>
          <w:sz w:val="20"/>
          <w:szCs w:val="20"/>
        </w:rPr>
        <w:t xml:space="preserve"> M.M, Evaluating the Legal Framework Governing Mergers and Acquisitions of Commercial Banks in Kenya,</w:t>
      </w:r>
      <w:r>
        <w:rPr>
          <w:b w:val="0"/>
          <w:color w:val="000000"/>
          <w:sz w:val="20"/>
          <w:szCs w:val="20"/>
        </w:rPr>
        <w:t xml:space="preserve"> 36.</w:t>
      </w:r>
    </w:p>
  </w:footnote>
  <w:footnote w:id="91">
    <w:p w14:paraId="6708F8B7" w14:textId="77777777" w:rsidR="004A5F49" w:rsidRPr="00A02E4F" w:rsidRDefault="004A5F49" w:rsidP="00636AF0">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37, </w:t>
      </w:r>
      <w:r w:rsidRPr="00636AF0">
        <w:rPr>
          <w:rFonts w:cs="Times New Roman"/>
          <w:b w:val="0"/>
          <w:i/>
          <w:color w:val="000000"/>
        </w:rPr>
        <w:t>The East African Community Competition Act</w:t>
      </w:r>
      <w:r w:rsidRPr="00A02E4F">
        <w:rPr>
          <w:rFonts w:cs="Times New Roman"/>
          <w:b w:val="0"/>
          <w:color w:val="000000"/>
        </w:rPr>
        <w:t>, (2006).</w:t>
      </w:r>
    </w:p>
  </w:footnote>
  <w:footnote w:id="92">
    <w:p w14:paraId="5E3A62F7" w14:textId="77777777" w:rsidR="004A5F49" w:rsidRPr="00A02E4F" w:rsidRDefault="004A5F49" w:rsidP="00636AF0">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11, </w:t>
      </w:r>
      <w:r w:rsidRPr="00636AF0">
        <w:rPr>
          <w:rFonts w:cs="Times New Roman"/>
          <w:b w:val="0"/>
          <w:i/>
          <w:color w:val="000000"/>
        </w:rPr>
        <w:t>The East African Community Competition Act</w:t>
      </w:r>
      <w:r w:rsidRPr="00A02E4F">
        <w:rPr>
          <w:rFonts w:cs="Times New Roman"/>
          <w:b w:val="0"/>
          <w:color w:val="000000"/>
        </w:rPr>
        <w:t>, (2006).</w:t>
      </w:r>
    </w:p>
  </w:footnote>
  <w:footnote w:id="93">
    <w:p w14:paraId="00F37972" w14:textId="5DE343B1" w:rsidR="004A5F49" w:rsidRPr="00A02E4F" w:rsidRDefault="004A5F49" w:rsidP="00636AF0">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r w:rsidRPr="00A02E4F">
        <w:rPr>
          <w:b w:val="0"/>
          <w:color w:val="000000"/>
          <w:sz w:val="20"/>
          <w:szCs w:val="20"/>
        </w:rPr>
        <w:t xml:space="preserve">Section 11(3), </w:t>
      </w:r>
      <w:r w:rsidRPr="00636AF0">
        <w:rPr>
          <w:b w:val="0"/>
          <w:i/>
          <w:color w:val="000000"/>
          <w:sz w:val="20"/>
          <w:szCs w:val="20"/>
        </w:rPr>
        <w:t>The East African Community Competition Act</w:t>
      </w:r>
      <w:r w:rsidRPr="00A02E4F">
        <w:rPr>
          <w:b w:val="0"/>
          <w:color w:val="000000"/>
          <w:sz w:val="20"/>
          <w:szCs w:val="20"/>
        </w:rPr>
        <w:t>, (2006).</w:t>
      </w:r>
    </w:p>
  </w:footnote>
  <w:footnote w:id="94">
    <w:p w14:paraId="1786CA7B" w14:textId="2A37768D" w:rsidR="004A5F49" w:rsidRPr="00A02E4F" w:rsidRDefault="004A5F49" w:rsidP="00636AF0">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r w:rsidRPr="00A02E4F">
        <w:rPr>
          <w:rFonts w:cs="Times New Roman"/>
          <w:b w:val="0"/>
          <w:color w:val="000000"/>
        </w:rPr>
        <w:t xml:space="preserve">Section 12, </w:t>
      </w:r>
      <w:r w:rsidRPr="00636AF0">
        <w:rPr>
          <w:rFonts w:cs="Times New Roman"/>
          <w:b w:val="0"/>
          <w:i/>
          <w:color w:val="000000"/>
        </w:rPr>
        <w:t>The East African Community Competition Act</w:t>
      </w:r>
      <w:r w:rsidRPr="00A02E4F">
        <w:rPr>
          <w:rFonts w:cs="Times New Roman"/>
          <w:b w:val="0"/>
          <w:color w:val="000000"/>
        </w:rPr>
        <w:t>, (2006).</w:t>
      </w:r>
    </w:p>
  </w:footnote>
  <w:footnote w:id="95">
    <w:p w14:paraId="02EF8107" w14:textId="77777777" w:rsidR="004A5F49" w:rsidRPr="00A02E4F" w:rsidRDefault="004A5F49" w:rsidP="00636AF0">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r w:rsidRPr="00A02E4F">
        <w:rPr>
          <w:b w:val="0"/>
          <w:color w:val="000000"/>
          <w:sz w:val="20"/>
          <w:szCs w:val="20"/>
        </w:rPr>
        <w:t xml:space="preserve">Section 13(1), </w:t>
      </w:r>
      <w:r w:rsidRPr="00636AF0">
        <w:rPr>
          <w:b w:val="0"/>
          <w:i/>
          <w:color w:val="000000"/>
          <w:sz w:val="20"/>
          <w:szCs w:val="20"/>
        </w:rPr>
        <w:t>The East African Community Competition Act</w:t>
      </w:r>
      <w:r w:rsidRPr="00A02E4F">
        <w:rPr>
          <w:b w:val="0"/>
          <w:color w:val="000000"/>
          <w:sz w:val="20"/>
          <w:szCs w:val="20"/>
        </w:rPr>
        <w:t>, (2006).</w:t>
      </w:r>
    </w:p>
  </w:footnote>
  <w:footnote w:id="96">
    <w:p w14:paraId="72DC19A7" w14:textId="705CAD87" w:rsidR="004A5F49" w:rsidRDefault="004A5F49" w:rsidP="00636AF0">
      <w:pPr>
        <w:pStyle w:val="FootnoteText"/>
        <w:spacing w:line="276" w:lineRule="auto"/>
      </w:pPr>
      <w:r>
        <w:rPr>
          <w:rStyle w:val="FootnoteReference"/>
        </w:rPr>
        <w:footnoteRef/>
      </w:r>
      <w:r>
        <w:t xml:space="preserve"> </w:t>
      </w:r>
      <w:r w:rsidRPr="00636AF0">
        <w:rPr>
          <w:b w:val="0"/>
        </w:rPr>
        <w:t xml:space="preserve">Rule 23 (4), </w:t>
      </w:r>
      <w:r w:rsidRPr="00636AF0">
        <w:rPr>
          <w:b w:val="0"/>
          <w:i/>
        </w:rPr>
        <w:t>COMESA Competition Rules</w:t>
      </w:r>
      <w:r w:rsidRPr="00636AF0">
        <w:rPr>
          <w:b w:val="0"/>
        </w:rPr>
        <w:t xml:space="preserve"> (2004)</w:t>
      </w:r>
      <w:r>
        <w:rPr>
          <w:b w:val="0"/>
        </w:rPr>
        <w:t>.</w:t>
      </w:r>
    </w:p>
  </w:footnote>
  <w:footnote w:id="97">
    <w:p w14:paraId="229F16D2" w14:textId="568AA205" w:rsidR="004A5F49" w:rsidRDefault="004A5F49" w:rsidP="00636AF0">
      <w:pPr>
        <w:pStyle w:val="FootnoteText"/>
        <w:spacing w:line="276" w:lineRule="auto"/>
      </w:pPr>
      <w:r>
        <w:rPr>
          <w:rStyle w:val="FootnoteReference"/>
        </w:rPr>
        <w:footnoteRef/>
      </w:r>
      <w:r>
        <w:t xml:space="preserve"> </w:t>
      </w:r>
      <w:r w:rsidRPr="00636AF0">
        <w:rPr>
          <w:b w:val="0"/>
        </w:rPr>
        <w:t xml:space="preserve">Rule 23 (4), </w:t>
      </w:r>
      <w:r w:rsidRPr="00636AF0">
        <w:rPr>
          <w:b w:val="0"/>
          <w:i/>
        </w:rPr>
        <w:t>COMESA Competition Rules</w:t>
      </w:r>
      <w:r w:rsidRPr="00636AF0">
        <w:rPr>
          <w:b w:val="0"/>
        </w:rPr>
        <w:t xml:space="preserve"> (2004)</w:t>
      </w:r>
      <w:r>
        <w:rPr>
          <w:b w:val="0"/>
        </w:rPr>
        <w:t>.</w:t>
      </w:r>
    </w:p>
  </w:footnote>
  <w:footnote w:id="98">
    <w:p w14:paraId="501B7592" w14:textId="7FB7A556" w:rsidR="004A5F49" w:rsidRDefault="004A5F49">
      <w:pPr>
        <w:pStyle w:val="FootnoteText"/>
      </w:pPr>
      <w:r>
        <w:rPr>
          <w:rStyle w:val="FootnoteReference"/>
        </w:rPr>
        <w:footnoteRef/>
      </w:r>
      <w:r>
        <w:t xml:space="preserve"> </w:t>
      </w:r>
      <w:r w:rsidRPr="00636AF0">
        <w:rPr>
          <w:b w:val="0"/>
        </w:rPr>
        <w:t xml:space="preserve">Rule 23 (4), </w:t>
      </w:r>
      <w:r w:rsidRPr="00636AF0">
        <w:rPr>
          <w:b w:val="0"/>
          <w:i/>
        </w:rPr>
        <w:t>COMESA Competition Rules</w:t>
      </w:r>
      <w:r w:rsidRPr="00636AF0">
        <w:rPr>
          <w:b w:val="0"/>
        </w:rPr>
        <w:t xml:space="preserve"> (2004)</w:t>
      </w:r>
      <w:r>
        <w:rPr>
          <w:b w:val="0"/>
        </w:rPr>
        <w:t>.</w:t>
      </w:r>
    </w:p>
  </w:footnote>
  <w:footnote w:id="99">
    <w:p w14:paraId="7B060CF1" w14:textId="34A44090" w:rsidR="004A5F49" w:rsidRPr="002C4B88" w:rsidRDefault="004A5F49" w:rsidP="002C4B88">
      <w:pPr>
        <w:pStyle w:val="FootnoteText"/>
        <w:spacing w:line="276" w:lineRule="auto"/>
      </w:pPr>
      <w:r>
        <w:rPr>
          <w:rStyle w:val="FootnoteReference"/>
        </w:rPr>
        <w:footnoteRef/>
      </w:r>
      <w:r>
        <w:t xml:space="preserve"> </w:t>
      </w:r>
      <w:r w:rsidRPr="002C4B88">
        <w:rPr>
          <w:b w:val="0"/>
        </w:rPr>
        <w:t xml:space="preserve">Central Bank of Kenya ‘Mergers &amp; Acquisitions’ Central Bank of Kenya, </w:t>
      </w:r>
      <w:proofErr w:type="spellStart"/>
      <w:r w:rsidRPr="002C4B88">
        <w:rPr>
          <w:b w:val="0"/>
        </w:rPr>
        <w:t>n.d.</w:t>
      </w:r>
      <w:proofErr w:type="spellEnd"/>
      <w:r w:rsidRPr="002C4B88">
        <w:rPr>
          <w:b w:val="0"/>
        </w:rPr>
        <w:t xml:space="preserve"> </w:t>
      </w:r>
      <w:hyperlink r:id="rId8" w:history="1">
        <w:r w:rsidRPr="002C4B88">
          <w:rPr>
            <w:rStyle w:val="Hyperlink"/>
            <w:b w:val="0"/>
          </w:rPr>
          <w:t>https://www.centralbank.go.ke/commercial-banks/mergers-and-acquisitions/</w:t>
        </w:r>
      </w:hyperlink>
      <w:r w:rsidRPr="002C4B88">
        <w:rPr>
          <w:b w:val="0"/>
        </w:rPr>
        <w:t xml:space="preserve"> on 4</w:t>
      </w:r>
      <w:r w:rsidRPr="002C4B88">
        <w:rPr>
          <w:b w:val="0"/>
          <w:vertAlign w:val="superscript"/>
        </w:rPr>
        <w:t>th</w:t>
      </w:r>
      <w:r w:rsidRPr="002C4B88">
        <w:rPr>
          <w:b w:val="0"/>
        </w:rPr>
        <w:t xml:space="preserve"> December 2020.</w:t>
      </w:r>
    </w:p>
  </w:footnote>
  <w:footnote w:id="100">
    <w:p w14:paraId="370DF249" w14:textId="37FE5A4F" w:rsidR="004A5F49" w:rsidRPr="002C4B88" w:rsidRDefault="004A5F49" w:rsidP="002C4B88">
      <w:pPr>
        <w:pStyle w:val="FootnoteText"/>
        <w:spacing w:line="276" w:lineRule="auto"/>
      </w:pPr>
      <w:r w:rsidRPr="002C4B88">
        <w:rPr>
          <w:rStyle w:val="FootnoteReference"/>
        </w:rPr>
        <w:footnoteRef/>
      </w:r>
      <w:r w:rsidRPr="002C4B88">
        <w:t xml:space="preserve"> </w:t>
      </w:r>
      <w:r w:rsidRPr="002C4B88">
        <w:rPr>
          <w:b w:val="0"/>
        </w:rPr>
        <w:t xml:space="preserve">Central Bank of Kenya ‘Mergers &amp; Acquisitions’ Central Bank of Kenya, </w:t>
      </w:r>
      <w:proofErr w:type="spellStart"/>
      <w:r w:rsidRPr="002C4B88">
        <w:rPr>
          <w:b w:val="0"/>
        </w:rPr>
        <w:t>n.d.</w:t>
      </w:r>
      <w:proofErr w:type="spellEnd"/>
      <w:r w:rsidRPr="002C4B88">
        <w:rPr>
          <w:b w:val="0"/>
        </w:rPr>
        <w:t xml:space="preserve"> </w:t>
      </w:r>
      <w:hyperlink r:id="rId9" w:history="1">
        <w:r w:rsidRPr="002C4B88">
          <w:rPr>
            <w:rStyle w:val="Hyperlink"/>
            <w:b w:val="0"/>
          </w:rPr>
          <w:t>https://www.centralbank.go.ke/commercial-banks/mergers-and-acquisitions/</w:t>
        </w:r>
      </w:hyperlink>
      <w:r w:rsidRPr="002C4B88">
        <w:rPr>
          <w:b w:val="0"/>
        </w:rPr>
        <w:t xml:space="preserve"> on 4</w:t>
      </w:r>
      <w:r w:rsidRPr="002C4B88">
        <w:rPr>
          <w:b w:val="0"/>
          <w:vertAlign w:val="superscript"/>
        </w:rPr>
        <w:t>th</w:t>
      </w:r>
      <w:r w:rsidRPr="002C4B88">
        <w:rPr>
          <w:b w:val="0"/>
        </w:rPr>
        <w:t xml:space="preserve"> December 2020.</w:t>
      </w:r>
    </w:p>
  </w:footnote>
  <w:footnote w:id="101">
    <w:p w14:paraId="2AE404BF" w14:textId="3258D779" w:rsidR="004A5F49" w:rsidRDefault="004A5F49" w:rsidP="006524F4">
      <w:pPr>
        <w:pStyle w:val="FootnoteText"/>
        <w:spacing w:line="276" w:lineRule="auto"/>
      </w:pPr>
      <w:r>
        <w:rPr>
          <w:rStyle w:val="FootnoteReference"/>
        </w:rPr>
        <w:footnoteRef/>
      </w:r>
      <w:r>
        <w:t xml:space="preserve"> </w:t>
      </w:r>
      <w:r w:rsidRPr="002C4B88">
        <w:rPr>
          <w:b w:val="0"/>
        </w:rPr>
        <w:t xml:space="preserve">Central Bank of Kenya ‘Mergers &amp; Acquisitions’ Central Bank of Kenya, </w:t>
      </w:r>
      <w:proofErr w:type="spellStart"/>
      <w:r w:rsidRPr="002C4B88">
        <w:rPr>
          <w:b w:val="0"/>
        </w:rPr>
        <w:t>n.d.</w:t>
      </w:r>
      <w:proofErr w:type="spellEnd"/>
      <w:r w:rsidRPr="002C4B88">
        <w:rPr>
          <w:b w:val="0"/>
        </w:rPr>
        <w:t xml:space="preserve"> </w:t>
      </w:r>
      <w:hyperlink r:id="rId10" w:history="1">
        <w:r w:rsidRPr="002C4B88">
          <w:rPr>
            <w:rStyle w:val="Hyperlink"/>
            <w:b w:val="0"/>
          </w:rPr>
          <w:t>https://www.centralbank.go.ke/commercial-banks/mergers-and-acquisitions/</w:t>
        </w:r>
      </w:hyperlink>
      <w:r w:rsidRPr="002C4B88">
        <w:rPr>
          <w:b w:val="0"/>
        </w:rPr>
        <w:t xml:space="preserve"> on 4</w:t>
      </w:r>
      <w:r w:rsidRPr="002C4B88">
        <w:rPr>
          <w:b w:val="0"/>
          <w:vertAlign w:val="superscript"/>
        </w:rPr>
        <w:t>th</w:t>
      </w:r>
      <w:r w:rsidRPr="002C4B88">
        <w:rPr>
          <w:b w:val="0"/>
        </w:rPr>
        <w:t xml:space="preserve"> December 2020.</w:t>
      </w:r>
    </w:p>
  </w:footnote>
  <w:footnote w:id="102">
    <w:p w14:paraId="34596439" w14:textId="6657FC2A" w:rsidR="004A5F49" w:rsidRPr="002C4B88" w:rsidRDefault="004A5F49" w:rsidP="00A31927">
      <w:pPr>
        <w:pStyle w:val="FootnoteText"/>
        <w:spacing w:line="276" w:lineRule="auto"/>
        <w:rPr>
          <w:rFonts w:cs="Times New Roman"/>
          <w:b w:val="0"/>
        </w:rPr>
      </w:pPr>
      <w:r w:rsidRPr="002C4B88">
        <w:rPr>
          <w:rStyle w:val="FootnoteReference"/>
          <w:rFonts w:cs="Times New Roman"/>
          <w:b w:val="0"/>
        </w:rPr>
        <w:footnoteRef/>
      </w:r>
      <w:proofErr w:type="spellStart"/>
      <w:r>
        <w:rPr>
          <w:rFonts w:cs="Times New Roman"/>
          <w:b w:val="0"/>
        </w:rPr>
        <w:t>Chepngenoh</w:t>
      </w:r>
      <w:proofErr w:type="spellEnd"/>
      <w:r>
        <w:rPr>
          <w:rFonts w:cs="Times New Roman"/>
          <w:b w:val="0"/>
        </w:rPr>
        <w:t xml:space="preserve"> F and </w:t>
      </w:r>
      <w:proofErr w:type="spellStart"/>
      <w:r>
        <w:rPr>
          <w:rFonts w:cs="Times New Roman"/>
          <w:b w:val="0"/>
        </w:rPr>
        <w:t>Muriu</w:t>
      </w:r>
      <w:proofErr w:type="spellEnd"/>
      <w:r>
        <w:rPr>
          <w:rFonts w:cs="Times New Roman"/>
          <w:b w:val="0"/>
        </w:rPr>
        <w:t xml:space="preserve"> P ‘Does Risk-Taking Behavior Matter for Bank Efficiency’ 1550. </w:t>
      </w:r>
    </w:p>
  </w:footnote>
  <w:footnote w:id="103">
    <w:p w14:paraId="3B177B5E" w14:textId="161EE24D" w:rsidR="004A5F49" w:rsidRPr="002C4B88" w:rsidRDefault="004A5F49" w:rsidP="002C4B88">
      <w:pPr>
        <w:pStyle w:val="FootnoteText"/>
        <w:spacing w:line="276" w:lineRule="auto"/>
      </w:pPr>
      <w:r w:rsidRPr="002C4B88">
        <w:rPr>
          <w:rStyle w:val="FootnoteReference"/>
        </w:rPr>
        <w:footnoteRef/>
      </w:r>
      <w:r w:rsidRPr="002C4B88">
        <w:t xml:space="preserve"> </w:t>
      </w:r>
      <w:r>
        <w:rPr>
          <w:rFonts w:cs="Times New Roman"/>
          <w:b w:val="0"/>
          <w:color w:val="000000"/>
        </w:rPr>
        <w:t xml:space="preserve">Halima R and </w:t>
      </w:r>
      <w:proofErr w:type="spellStart"/>
      <w:r>
        <w:rPr>
          <w:rFonts w:cs="Times New Roman"/>
          <w:b w:val="0"/>
          <w:color w:val="000000"/>
        </w:rPr>
        <w:t>Wepukhulu</w:t>
      </w:r>
      <w:proofErr w:type="spellEnd"/>
      <w:r>
        <w:rPr>
          <w:rFonts w:cs="Times New Roman"/>
          <w:b w:val="0"/>
          <w:color w:val="000000"/>
        </w:rPr>
        <w:t xml:space="preserve"> J ‘Effect of Financial Innovation on Financial Performance of Tier One Commercial Banks in Kenya’ 182.</w:t>
      </w:r>
    </w:p>
  </w:footnote>
  <w:footnote w:id="104">
    <w:p w14:paraId="018007C8" w14:textId="48A7EEFE" w:rsidR="004A5F49" w:rsidRDefault="004A5F49">
      <w:pPr>
        <w:pStyle w:val="FootnoteText"/>
      </w:pPr>
      <w:r>
        <w:rPr>
          <w:rStyle w:val="FootnoteReference"/>
        </w:rPr>
        <w:footnoteRef/>
      </w:r>
      <w:r>
        <w:t xml:space="preserve"> </w:t>
      </w:r>
      <w:proofErr w:type="spellStart"/>
      <w:r>
        <w:t>O</w:t>
      </w:r>
      <w:r>
        <w:rPr>
          <w:rFonts w:cs="Times New Roman"/>
          <w:b w:val="0"/>
          <w:color w:val="000000"/>
        </w:rPr>
        <w:t>uma</w:t>
      </w:r>
      <w:proofErr w:type="spellEnd"/>
      <w:r>
        <w:rPr>
          <w:rFonts w:cs="Times New Roman"/>
          <w:b w:val="0"/>
          <w:color w:val="000000"/>
        </w:rPr>
        <w:t xml:space="preserve"> P, ‘</w:t>
      </w:r>
      <w:r w:rsidRPr="002C4B88">
        <w:rPr>
          <w:rFonts w:cs="Times New Roman"/>
          <w:b w:val="0"/>
          <w:color w:val="000000"/>
        </w:rPr>
        <w:t>Increasing Bank Mergers’ Business Daily, 15 August 2019, 12.</w:t>
      </w:r>
    </w:p>
  </w:footnote>
  <w:footnote w:id="105">
    <w:p w14:paraId="5C590FB1" w14:textId="03DDA380" w:rsidR="004A5F49" w:rsidRPr="00A02E4F" w:rsidRDefault="004A5F49" w:rsidP="005752BD">
      <w:pPr>
        <w:pStyle w:val="FootnoteText"/>
        <w:spacing w:line="276" w:lineRule="auto"/>
        <w:rPr>
          <w:rFonts w:cs="Times New Roman"/>
          <w:b w:val="0"/>
        </w:rPr>
      </w:pPr>
      <w:r w:rsidRPr="00A02E4F">
        <w:rPr>
          <w:rStyle w:val="FootnoteReference"/>
          <w:rFonts w:cs="Times New Roman"/>
          <w:b w:val="0"/>
        </w:rPr>
        <w:footnoteRef/>
      </w:r>
      <w:r w:rsidRPr="00A02E4F">
        <w:rPr>
          <w:rFonts w:cs="Times New Roman"/>
          <w:b w:val="0"/>
        </w:rPr>
        <w:t xml:space="preserve"> </w:t>
      </w:r>
      <w:proofErr w:type="spellStart"/>
      <w:r w:rsidRPr="00A02E4F">
        <w:rPr>
          <w:rFonts w:cs="Times New Roman"/>
          <w:b w:val="0"/>
          <w:color w:val="000000"/>
        </w:rPr>
        <w:t>Otuki</w:t>
      </w:r>
      <w:proofErr w:type="spellEnd"/>
      <w:r w:rsidRPr="00A02E4F">
        <w:rPr>
          <w:rFonts w:cs="Times New Roman"/>
          <w:b w:val="0"/>
          <w:color w:val="000000"/>
        </w:rPr>
        <w:t xml:space="preserve"> N, ‘NIC and CBA Merger’ Daily Nation 2 October 2019, 14</w:t>
      </w:r>
      <w:r>
        <w:rPr>
          <w:rFonts w:cs="Times New Roman"/>
          <w:b w:val="0"/>
          <w:color w:val="000000"/>
        </w:rPr>
        <w:t>.</w:t>
      </w:r>
    </w:p>
  </w:footnote>
  <w:footnote w:id="106">
    <w:p w14:paraId="769AF938" w14:textId="084034FA" w:rsidR="004A5F49" w:rsidRPr="00F65284" w:rsidRDefault="004A5F49" w:rsidP="00F65284">
      <w:pPr>
        <w:pStyle w:val="FootnoteText"/>
        <w:spacing w:line="276" w:lineRule="auto"/>
        <w:rPr>
          <w:rFonts w:cs="Times New Roman"/>
          <w:b w:val="0"/>
        </w:rPr>
      </w:pPr>
      <w:r>
        <w:rPr>
          <w:rStyle w:val="FootnoteReference"/>
        </w:rPr>
        <w:footnoteRef/>
      </w:r>
      <w:r>
        <w:t xml:space="preserve"> </w:t>
      </w:r>
      <w:proofErr w:type="spellStart"/>
      <w:r>
        <w:rPr>
          <w:rFonts w:cs="Times New Roman"/>
          <w:b w:val="0"/>
        </w:rPr>
        <w:t>Chepngenoh</w:t>
      </w:r>
      <w:proofErr w:type="spellEnd"/>
      <w:r>
        <w:rPr>
          <w:rFonts w:cs="Times New Roman"/>
          <w:b w:val="0"/>
        </w:rPr>
        <w:t xml:space="preserve"> F and </w:t>
      </w:r>
      <w:proofErr w:type="spellStart"/>
      <w:r>
        <w:rPr>
          <w:rFonts w:cs="Times New Roman"/>
          <w:b w:val="0"/>
        </w:rPr>
        <w:t>Muriu</w:t>
      </w:r>
      <w:proofErr w:type="spellEnd"/>
      <w:r>
        <w:rPr>
          <w:rFonts w:cs="Times New Roman"/>
          <w:b w:val="0"/>
        </w:rPr>
        <w:t xml:space="preserve"> P ‘Does Risk-Taking Behavior Matter for Bank Efficiency’ 1549. </w:t>
      </w:r>
    </w:p>
  </w:footnote>
  <w:footnote w:id="107">
    <w:p w14:paraId="3DBE436A" w14:textId="3EFCCCA7" w:rsidR="004A5F49" w:rsidRPr="006524F4" w:rsidRDefault="004A5F49" w:rsidP="006524F4">
      <w:pPr>
        <w:pStyle w:val="FootnoteText"/>
        <w:spacing w:line="276" w:lineRule="auto"/>
        <w:rPr>
          <w:rFonts w:cs="Times New Roman"/>
          <w:b w:val="0"/>
        </w:rPr>
      </w:pPr>
      <w:r>
        <w:rPr>
          <w:rStyle w:val="FootnoteReference"/>
        </w:rPr>
        <w:footnoteRef/>
      </w:r>
      <w:r>
        <w:t xml:space="preserve"> </w:t>
      </w:r>
      <w:proofErr w:type="spellStart"/>
      <w:r w:rsidRPr="00A02E4F">
        <w:rPr>
          <w:rFonts w:cs="Times New Roman"/>
          <w:b w:val="0"/>
          <w:color w:val="000000"/>
        </w:rPr>
        <w:t>Otuki</w:t>
      </w:r>
      <w:proofErr w:type="spellEnd"/>
      <w:r w:rsidRPr="00A02E4F">
        <w:rPr>
          <w:rFonts w:cs="Times New Roman"/>
          <w:b w:val="0"/>
          <w:color w:val="000000"/>
        </w:rPr>
        <w:t xml:space="preserve"> N, ‘NIC and CBA Merger’ Daily Nation 2 October 2019, 14</w:t>
      </w:r>
      <w:r>
        <w:rPr>
          <w:rFonts w:cs="Times New Roman"/>
          <w:b w:val="0"/>
          <w:color w:val="000000"/>
        </w:rPr>
        <w:t>.</w:t>
      </w:r>
    </w:p>
  </w:footnote>
  <w:footnote w:id="108">
    <w:p w14:paraId="5E8D08DE" w14:textId="4F97C927" w:rsidR="004A5F49" w:rsidRDefault="004A5F49">
      <w:pPr>
        <w:pStyle w:val="FootnoteText"/>
      </w:pPr>
      <w:r>
        <w:rPr>
          <w:rStyle w:val="FootnoteReference"/>
        </w:rPr>
        <w:footnoteRef/>
      </w:r>
      <w:r>
        <w:t xml:space="preserve"> </w:t>
      </w:r>
      <w:proofErr w:type="spellStart"/>
      <w:r>
        <w:rPr>
          <w:rFonts w:cs="Times New Roman"/>
          <w:b w:val="0"/>
        </w:rPr>
        <w:t>Chepngenoh</w:t>
      </w:r>
      <w:proofErr w:type="spellEnd"/>
      <w:r>
        <w:rPr>
          <w:rFonts w:cs="Times New Roman"/>
          <w:b w:val="0"/>
        </w:rPr>
        <w:t xml:space="preserve"> F and </w:t>
      </w:r>
      <w:proofErr w:type="spellStart"/>
      <w:r>
        <w:rPr>
          <w:rFonts w:cs="Times New Roman"/>
          <w:b w:val="0"/>
        </w:rPr>
        <w:t>Muriu</w:t>
      </w:r>
      <w:proofErr w:type="spellEnd"/>
      <w:r>
        <w:rPr>
          <w:rFonts w:cs="Times New Roman"/>
          <w:b w:val="0"/>
        </w:rPr>
        <w:t xml:space="preserve"> P ‘Does Risk-Taking Behavior Matter for Bank Efficiency’ 1549.</w:t>
      </w:r>
    </w:p>
  </w:footnote>
  <w:footnote w:id="109">
    <w:p w14:paraId="479C4FD7" w14:textId="77777777"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proofErr w:type="spellStart"/>
      <w:r w:rsidRPr="00A02E4F">
        <w:rPr>
          <w:b w:val="0"/>
          <w:color w:val="000000"/>
          <w:sz w:val="20"/>
          <w:szCs w:val="20"/>
        </w:rPr>
        <w:t>Ilako</w:t>
      </w:r>
      <w:proofErr w:type="spellEnd"/>
      <w:r w:rsidRPr="00A02E4F">
        <w:rPr>
          <w:b w:val="0"/>
          <w:color w:val="000000"/>
          <w:sz w:val="20"/>
          <w:szCs w:val="20"/>
        </w:rPr>
        <w:t xml:space="preserve"> C, ‘CBK, Treasury Greenlight CBA-NIC Merger’ Star Newspaper, 29 September 2019 - &lt; </w:t>
      </w:r>
      <w:hyperlink r:id="rId11" w:history="1">
        <w:r w:rsidRPr="00A02E4F">
          <w:rPr>
            <w:b w:val="0"/>
            <w:color w:val="1155CC"/>
            <w:sz w:val="20"/>
            <w:szCs w:val="20"/>
            <w:u w:val="single"/>
          </w:rPr>
          <w:t>https://www.the-star.co.ke/business/kenya/2019-09-29-cbk-treasury-green-light-cba-nic-merger/</w:t>
        </w:r>
      </w:hyperlink>
      <w:r w:rsidRPr="00A02E4F">
        <w:rPr>
          <w:b w:val="0"/>
          <w:color w:val="000000"/>
          <w:sz w:val="20"/>
          <w:szCs w:val="20"/>
        </w:rPr>
        <w:t xml:space="preserve"> &gt; on 11 February 2020.</w:t>
      </w:r>
    </w:p>
  </w:footnote>
  <w:footnote w:id="110">
    <w:p w14:paraId="52AFBF53" w14:textId="1E11B942"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r w:rsidRPr="00A02E4F">
        <w:rPr>
          <w:b w:val="0"/>
          <w:color w:val="000000"/>
          <w:sz w:val="20"/>
          <w:szCs w:val="20"/>
        </w:rPr>
        <w:t>Central Bank of Kenya, ‘</w:t>
      </w:r>
      <w:r w:rsidRPr="00E02CE3">
        <w:rPr>
          <w:b w:val="0"/>
          <w:iCs/>
          <w:color w:val="000000"/>
          <w:sz w:val="20"/>
          <w:szCs w:val="20"/>
        </w:rPr>
        <w:t>Press Release- Merger of Commercial Bank of Africa Limited and NIC Group PLC</w:t>
      </w:r>
      <w:r w:rsidRPr="00A02E4F">
        <w:rPr>
          <w:b w:val="0"/>
          <w:i/>
          <w:iCs/>
          <w:color w:val="000000"/>
          <w:sz w:val="20"/>
          <w:szCs w:val="20"/>
        </w:rPr>
        <w:t>’</w:t>
      </w:r>
      <w:r>
        <w:rPr>
          <w:b w:val="0"/>
          <w:color w:val="000000"/>
          <w:sz w:val="20"/>
          <w:szCs w:val="20"/>
        </w:rPr>
        <w:t xml:space="preserve"> 2019</w:t>
      </w:r>
      <w:r w:rsidRPr="00A02E4F">
        <w:rPr>
          <w:b w:val="0"/>
          <w:color w:val="000000"/>
          <w:sz w:val="20"/>
          <w:szCs w:val="20"/>
        </w:rPr>
        <w:t>.</w:t>
      </w:r>
    </w:p>
  </w:footnote>
  <w:footnote w:id="111">
    <w:p w14:paraId="3B4BB349" w14:textId="77777777" w:rsidR="004A5F49" w:rsidRPr="00A02E4F" w:rsidRDefault="004A5F49" w:rsidP="005752BD">
      <w:pPr>
        <w:pStyle w:val="NormalWeb"/>
        <w:spacing w:line="276" w:lineRule="auto"/>
        <w:rPr>
          <w:b w:val="0"/>
          <w:sz w:val="20"/>
          <w:szCs w:val="20"/>
        </w:rPr>
      </w:pPr>
      <w:r w:rsidRPr="00A02E4F">
        <w:rPr>
          <w:rStyle w:val="FootnoteReference"/>
          <w:b w:val="0"/>
          <w:sz w:val="20"/>
          <w:szCs w:val="20"/>
        </w:rPr>
        <w:footnoteRef/>
      </w:r>
      <w:r w:rsidRPr="00A02E4F">
        <w:rPr>
          <w:b w:val="0"/>
          <w:sz w:val="20"/>
          <w:szCs w:val="20"/>
        </w:rPr>
        <w:t xml:space="preserve"> </w:t>
      </w:r>
      <w:proofErr w:type="spellStart"/>
      <w:r w:rsidRPr="00A02E4F">
        <w:rPr>
          <w:b w:val="0"/>
          <w:color w:val="000000"/>
          <w:sz w:val="20"/>
          <w:szCs w:val="20"/>
        </w:rPr>
        <w:t>Indeje</w:t>
      </w:r>
      <w:proofErr w:type="spellEnd"/>
      <w:r w:rsidRPr="00A02E4F">
        <w:rPr>
          <w:b w:val="0"/>
          <w:color w:val="000000"/>
          <w:sz w:val="20"/>
          <w:szCs w:val="20"/>
        </w:rPr>
        <w:t xml:space="preserve"> D, ‘Central Bank of Kenya, Treasury Approves Name Change of NIC and CBA Following Bank Merger’ </w:t>
      </w:r>
      <w:proofErr w:type="spellStart"/>
      <w:r w:rsidRPr="00A02E4F">
        <w:rPr>
          <w:b w:val="0"/>
          <w:color w:val="000000"/>
          <w:sz w:val="20"/>
          <w:szCs w:val="20"/>
        </w:rPr>
        <w:t>Khusko</w:t>
      </w:r>
      <w:proofErr w:type="spellEnd"/>
      <w:r w:rsidRPr="00A02E4F">
        <w:rPr>
          <w:b w:val="0"/>
          <w:color w:val="000000"/>
          <w:sz w:val="20"/>
          <w:szCs w:val="20"/>
        </w:rPr>
        <w:t xml:space="preserve">, 27 September 2019, - &lt; </w:t>
      </w:r>
      <w:hyperlink r:id="rId12" w:history="1">
        <w:r w:rsidRPr="00A02E4F">
          <w:rPr>
            <w:b w:val="0"/>
            <w:color w:val="1155CC"/>
            <w:sz w:val="20"/>
            <w:szCs w:val="20"/>
            <w:u w:val="single"/>
          </w:rPr>
          <w:t>https://khusoko.com/2019/09/27/central-bank-of-kenya-treasury-approves-name-change-of-nic-and-cba-following-bank-merger/</w:t>
        </w:r>
      </w:hyperlink>
      <w:r w:rsidRPr="00A02E4F">
        <w:rPr>
          <w:b w:val="0"/>
          <w:color w:val="000000"/>
          <w:sz w:val="20"/>
          <w:szCs w:val="20"/>
        </w:rPr>
        <w:t xml:space="preserve"> &gt; on 12 February 2020.</w:t>
      </w:r>
    </w:p>
  </w:footnote>
  <w:footnote w:id="112">
    <w:p w14:paraId="7993A51E" w14:textId="097BF296" w:rsidR="004A5F49" w:rsidRPr="00791773" w:rsidRDefault="004A5F49" w:rsidP="00AA32E2">
      <w:pPr>
        <w:pStyle w:val="NormalWeb"/>
        <w:spacing w:line="276" w:lineRule="auto"/>
        <w:rPr>
          <w:b w:val="0"/>
          <w:sz w:val="20"/>
          <w:szCs w:val="20"/>
        </w:rPr>
      </w:pPr>
      <w:r w:rsidRPr="00791773">
        <w:rPr>
          <w:rStyle w:val="FootnoteReference"/>
          <w:b w:val="0"/>
          <w:sz w:val="20"/>
          <w:szCs w:val="20"/>
        </w:rPr>
        <w:footnoteRef/>
      </w:r>
      <w:r w:rsidRPr="00791773">
        <w:rPr>
          <w:b w:val="0"/>
          <w:sz w:val="20"/>
          <w:szCs w:val="20"/>
        </w:rPr>
        <w:t xml:space="preserve"> </w:t>
      </w:r>
      <w:r w:rsidRPr="00791773">
        <w:rPr>
          <w:b w:val="0"/>
          <w:color w:val="000000"/>
          <w:sz w:val="20"/>
          <w:szCs w:val="20"/>
        </w:rPr>
        <w:t xml:space="preserve">Competition Authority of Kenya, </w:t>
      </w:r>
      <w:r w:rsidRPr="00791773">
        <w:rPr>
          <w:b w:val="0"/>
          <w:i/>
          <w:iCs/>
          <w:color w:val="000000"/>
          <w:sz w:val="20"/>
          <w:szCs w:val="20"/>
        </w:rPr>
        <w:t>‘The Proposed Merger Between Commercial Bank of Africa Limited and NIC Group PLC’</w:t>
      </w:r>
      <w:r w:rsidRPr="00791773">
        <w:rPr>
          <w:b w:val="0"/>
          <w:color w:val="000000"/>
          <w:sz w:val="20"/>
          <w:szCs w:val="20"/>
        </w:rPr>
        <w:t xml:space="preserve"> 2019, 1.</w:t>
      </w:r>
    </w:p>
  </w:footnote>
  <w:footnote w:id="113">
    <w:p w14:paraId="64E9485D" w14:textId="33DB7D29" w:rsidR="004A5F49" w:rsidRPr="00791773" w:rsidRDefault="004A5F49">
      <w:pPr>
        <w:pStyle w:val="FootnoteText"/>
        <w:rPr>
          <w:b w:val="0"/>
        </w:rPr>
      </w:pPr>
      <w:r w:rsidRPr="00791773">
        <w:rPr>
          <w:rStyle w:val="FootnoteReference"/>
          <w:b w:val="0"/>
        </w:rPr>
        <w:footnoteRef/>
      </w:r>
      <w:r w:rsidRPr="00791773">
        <w:rPr>
          <w:b w:val="0"/>
        </w:rPr>
        <w:t xml:space="preserve"> </w:t>
      </w:r>
      <w:r w:rsidRPr="00791773">
        <w:rPr>
          <w:b w:val="0"/>
          <w:color w:val="000000"/>
        </w:rPr>
        <w:t xml:space="preserve">Competition Authority of Kenya, </w:t>
      </w:r>
      <w:r w:rsidRPr="00791773">
        <w:rPr>
          <w:b w:val="0"/>
          <w:i/>
          <w:iCs/>
          <w:color w:val="000000"/>
        </w:rPr>
        <w:t>‘The Proposed Merger Between Commercial Bank of Africa Limited and NIC Group PLC’</w:t>
      </w:r>
      <w:r w:rsidRPr="00791773">
        <w:rPr>
          <w:b w:val="0"/>
          <w:color w:val="000000"/>
        </w:rPr>
        <w:t xml:space="preserve"> 2019, 1.</w:t>
      </w:r>
    </w:p>
  </w:footnote>
  <w:footnote w:id="114">
    <w:p w14:paraId="5D4E627D" w14:textId="4664BAC5" w:rsidR="004A5F49" w:rsidRPr="00791773" w:rsidRDefault="004A5F49">
      <w:pPr>
        <w:pStyle w:val="FootnoteText"/>
        <w:rPr>
          <w:b w:val="0"/>
        </w:rPr>
      </w:pPr>
      <w:r w:rsidRPr="00791773">
        <w:rPr>
          <w:rStyle w:val="FootnoteReference"/>
          <w:b w:val="0"/>
        </w:rPr>
        <w:footnoteRef/>
      </w:r>
      <w:r w:rsidRPr="00791773">
        <w:rPr>
          <w:b w:val="0"/>
        </w:rPr>
        <w:t xml:space="preserve"> </w:t>
      </w:r>
      <w:proofErr w:type="spellStart"/>
      <w:r w:rsidRPr="00791773">
        <w:rPr>
          <w:b w:val="0"/>
        </w:rPr>
        <w:t>Gakii</w:t>
      </w:r>
      <w:proofErr w:type="spellEnd"/>
      <w:r w:rsidRPr="00791773">
        <w:rPr>
          <w:b w:val="0"/>
        </w:rPr>
        <w:t xml:space="preserve"> M ‘Staff cushioned for one year in CBA-NIC merger’ The Star, 14</w:t>
      </w:r>
      <w:r w:rsidRPr="00791773">
        <w:rPr>
          <w:b w:val="0"/>
          <w:vertAlign w:val="superscript"/>
        </w:rPr>
        <w:t>th</w:t>
      </w:r>
      <w:r w:rsidRPr="00791773">
        <w:rPr>
          <w:b w:val="0"/>
        </w:rPr>
        <w:t xml:space="preserve"> May 2019, 3.</w:t>
      </w:r>
    </w:p>
  </w:footnote>
  <w:footnote w:id="115">
    <w:p w14:paraId="476FBEDF" w14:textId="3F21645A" w:rsidR="004A5F49" w:rsidRDefault="004A5F49">
      <w:pPr>
        <w:pStyle w:val="FootnoteText"/>
      </w:pPr>
      <w:r w:rsidRPr="00791773">
        <w:rPr>
          <w:rStyle w:val="FootnoteReference"/>
          <w:b w:val="0"/>
        </w:rPr>
        <w:footnoteRef/>
      </w:r>
      <w:r w:rsidRPr="00791773">
        <w:rPr>
          <w:b w:val="0"/>
        </w:rPr>
        <w:t xml:space="preserve"> </w:t>
      </w:r>
      <w:proofErr w:type="spellStart"/>
      <w:r w:rsidRPr="00791773">
        <w:rPr>
          <w:b w:val="0"/>
        </w:rPr>
        <w:t>Gakii</w:t>
      </w:r>
      <w:proofErr w:type="spellEnd"/>
      <w:r w:rsidRPr="00791773">
        <w:rPr>
          <w:b w:val="0"/>
        </w:rPr>
        <w:t xml:space="preserve"> M ‘Staff cushioned for one year in CBA-NIC merger’ The Star, 14</w:t>
      </w:r>
      <w:r w:rsidRPr="00791773">
        <w:rPr>
          <w:b w:val="0"/>
          <w:vertAlign w:val="superscript"/>
        </w:rPr>
        <w:t>th</w:t>
      </w:r>
      <w:r w:rsidRPr="00791773">
        <w:rPr>
          <w:b w:val="0"/>
        </w:rPr>
        <w:t xml:space="preserve"> May 2019, 3.</w:t>
      </w:r>
      <w:r>
        <w:t xml:space="preserve"> </w:t>
      </w:r>
    </w:p>
  </w:footnote>
  <w:footnote w:id="116">
    <w:p w14:paraId="7F5EC3FE" w14:textId="6C1CDC2C" w:rsidR="004A5F49" w:rsidRDefault="004A5F49">
      <w:pPr>
        <w:pStyle w:val="FootnoteText"/>
      </w:pPr>
      <w:r>
        <w:rPr>
          <w:rStyle w:val="FootnoteReference"/>
        </w:rPr>
        <w:footnoteRef/>
      </w:r>
      <w:r>
        <w:t xml:space="preserve"> </w:t>
      </w:r>
      <w:proofErr w:type="spellStart"/>
      <w:r>
        <w:rPr>
          <w:b w:val="0"/>
        </w:rPr>
        <w:t>Juma</w:t>
      </w:r>
      <w:proofErr w:type="spellEnd"/>
      <w:r>
        <w:rPr>
          <w:b w:val="0"/>
        </w:rPr>
        <w:t xml:space="preserve"> V, ‘The top shareholders in CBA-NIC bank merger’ Business Daily, 12</w:t>
      </w:r>
      <w:r w:rsidRPr="00930E1A">
        <w:rPr>
          <w:b w:val="0"/>
          <w:vertAlign w:val="superscript"/>
        </w:rPr>
        <w:t>th</w:t>
      </w:r>
      <w:r>
        <w:rPr>
          <w:b w:val="0"/>
        </w:rPr>
        <w:t xml:space="preserve"> February 2019, 2.</w:t>
      </w:r>
    </w:p>
  </w:footnote>
  <w:footnote w:id="117">
    <w:p w14:paraId="14D573E7" w14:textId="52484FE3" w:rsidR="004A5F49" w:rsidRDefault="004A5F49">
      <w:pPr>
        <w:pStyle w:val="FootnoteText"/>
      </w:pPr>
      <w:r>
        <w:rPr>
          <w:rStyle w:val="FootnoteReference"/>
        </w:rPr>
        <w:footnoteRef/>
      </w:r>
      <w:r>
        <w:t xml:space="preserve"> </w:t>
      </w:r>
      <w:proofErr w:type="spellStart"/>
      <w:r>
        <w:rPr>
          <w:b w:val="0"/>
        </w:rPr>
        <w:t>Juma</w:t>
      </w:r>
      <w:proofErr w:type="spellEnd"/>
      <w:r>
        <w:rPr>
          <w:b w:val="0"/>
        </w:rPr>
        <w:t xml:space="preserve"> V, ‘The top shareholders in CBA-NIC bank merger’ Business Daily, 12</w:t>
      </w:r>
      <w:r w:rsidRPr="00930E1A">
        <w:rPr>
          <w:b w:val="0"/>
          <w:vertAlign w:val="superscript"/>
        </w:rPr>
        <w:t>th</w:t>
      </w:r>
      <w:r>
        <w:rPr>
          <w:b w:val="0"/>
        </w:rPr>
        <w:t xml:space="preserve"> February 2019, 2.</w:t>
      </w:r>
    </w:p>
  </w:footnote>
  <w:footnote w:id="118">
    <w:p w14:paraId="24D8EDD0" w14:textId="3B2D9400" w:rsidR="004A5F49" w:rsidRDefault="004A5F49">
      <w:pPr>
        <w:pStyle w:val="FootnoteText"/>
      </w:pPr>
      <w:r>
        <w:rPr>
          <w:rStyle w:val="FootnoteReference"/>
        </w:rPr>
        <w:footnoteRef/>
      </w:r>
      <w:r>
        <w:t xml:space="preserve"> </w:t>
      </w:r>
      <w:proofErr w:type="spellStart"/>
      <w:r>
        <w:rPr>
          <w:b w:val="0"/>
        </w:rPr>
        <w:t>Juma</w:t>
      </w:r>
      <w:proofErr w:type="spellEnd"/>
      <w:r>
        <w:rPr>
          <w:b w:val="0"/>
        </w:rPr>
        <w:t xml:space="preserve"> V, ‘The top shareholders in CBA-NIC bank merger’ Business Daily, 12</w:t>
      </w:r>
      <w:r w:rsidRPr="00930E1A">
        <w:rPr>
          <w:b w:val="0"/>
          <w:vertAlign w:val="superscript"/>
        </w:rPr>
        <w:t>th</w:t>
      </w:r>
      <w:r>
        <w:rPr>
          <w:b w:val="0"/>
        </w:rPr>
        <w:t xml:space="preserve"> February 2019, 2.</w:t>
      </w:r>
    </w:p>
  </w:footnote>
  <w:footnote w:id="119">
    <w:p w14:paraId="4D0702C3" w14:textId="311C425F" w:rsidR="004A5F49" w:rsidRDefault="004A5F49">
      <w:pPr>
        <w:pStyle w:val="FootnoteText"/>
      </w:pPr>
      <w:r>
        <w:rPr>
          <w:rStyle w:val="FootnoteReference"/>
        </w:rPr>
        <w:footnoteRef/>
      </w:r>
      <w:r>
        <w:t xml:space="preserve"> </w:t>
      </w:r>
      <w:proofErr w:type="spellStart"/>
      <w:r>
        <w:rPr>
          <w:b w:val="0"/>
        </w:rPr>
        <w:t>Juma</w:t>
      </w:r>
      <w:proofErr w:type="spellEnd"/>
      <w:r>
        <w:rPr>
          <w:b w:val="0"/>
        </w:rPr>
        <w:t xml:space="preserve"> V, ‘The top shareholders in CBA-NIC bank merger’ Business Daily, 12</w:t>
      </w:r>
      <w:r w:rsidRPr="00930E1A">
        <w:rPr>
          <w:b w:val="0"/>
          <w:vertAlign w:val="superscript"/>
        </w:rPr>
        <w:t>th</w:t>
      </w:r>
      <w:r>
        <w:rPr>
          <w:b w:val="0"/>
        </w:rPr>
        <w:t xml:space="preserve"> February 2019, 2.</w:t>
      </w:r>
    </w:p>
  </w:footnote>
  <w:footnote w:id="120">
    <w:p w14:paraId="14ACCAAD" w14:textId="7ABCC6D8" w:rsidR="00207F45" w:rsidRPr="00207F45" w:rsidRDefault="00207F45" w:rsidP="00207F45">
      <w:pPr>
        <w:spacing w:line="240" w:lineRule="auto"/>
        <w:rPr>
          <w:rFonts w:cs="Times New Roman"/>
          <w:color w:val="000000"/>
          <w:szCs w:val="24"/>
        </w:rPr>
      </w:pPr>
      <w:r>
        <w:rPr>
          <w:rStyle w:val="FootnoteReference"/>
        </w:rPr>
        <w:footnoteRef/>
      </w:r>
      <w:r>
        <w:t xml:space="preserve"> </w:t>
      </w:r>
      <w:proofErr w:type="spellStart"/>
      <w:r w:rsidRPr="00207F45">
        <w:rPr>
          <w:rFonts w:cs="Times New Roman"/>
          <w:sz w:val="20"/>
          <w:szCs w:val="20"/>
        </w:rPr>
        <w:t>Mutai</w:t>
      </w:r>
      <w:proofErr w:type="spellEnd"/>
      <w:r w:rsidRPr="00207F45">
        <w:rPr>
          <w:rFonts w:cs="Times New Roman"/>
          <w:sz w:val="20"/>
          <w:szCs w:val="20"/>
        </w:rPr>
        <w:t xml:space="preserve"> E, ‘Kenya’s debt repayment down KES 199 billion on cheaper loans’ Business Daily, 28 October 2020.</w:t>
      </w:r>
    </w:p>
  </w:footnote>
  <w:footnote w:id="121">
    <w:p w14:paraId="13FE9BBF" w14:textId="5C9CFFA4" w:rsidR="004A5F49" w:rsidRPr="005F5360" w:rsidRDefault="004A5F49" w:rsidP="00207F45">
      <w:pPr>
        <w:pStyle w:val="FootnoteText"/>
        <w:rPr>
          <w:b w:val="0"/>
        </w:rPr>
      </w:pPr>
      <w:r w:rsidRPr="005F5360">
        <w:rPr>
          <w:rStyle w:val="FootnoteReference"/>
          <w:b w:val="0"/>
        </w:rPr>
        <w:footnoteRef/>
      </w:r>
      <w:r w:rsidRPr="005F5360">
        <w:rPr>
          <w:b w:val="0"/>
        </w:rPr>
        <w:t xml:space="preserve"> Morrison A, ‘Systemic Risks and the too-big-to-fail’ problem’ 27(3) </w:t>
      </w:r>
      <w:r w:rsidRPr="005F5360">
        <w:rPr>
          <w:b w:val="0"/>
          <w:i/>
        </w:rPr>
        <w:t xml:space="preserve">Oxford Review of Economic Policy, </w:t>
      </w:r>
      <w:r w:rsidRPr="005F5360">
        <w:rPr>
          <w:b w:val="0"/>
        </w:rPr>
        <w:t>2011, 502.</w:t>
      </w:r>
    </w:p>
  </w:footnote>
  <w:footnote w:id="122">
    <w:p w14:paraId="727ADA74" w14:textId="6EE5E159" w:rsidR="004A5F49" w:rsidRPr="005F5360" w:rsidRDefault="004A5F49" w:rsidP="005F5360">
      <w:pPr>
        <w:pStyle w:val="FootnoteText"/>
        <w:spacing w:line="276" w:lineRule="auto"/>
        <w:rPr>
          <w:b w:val="0"/>
        </w:rPr>
      </w:pPr>
      <w:r w:rsidRPr="005F5360">
        <w:rPr>
          <w:rStyle w:val="FootnoteReference"/>
          <w:b w:val="0"/>
        </w:rPr>
        <w:footnoteRef/>
      </w:r>
      <w:r w:rsidRPr="005F5360">
        <w:rPr>
          <w:b w:val="0"/>
        </w:rPr>
        <w:t xml:space="preserve"> </w:t>
      </w:r>
      <w:proofErr w:type="spellStart"/>
      <w:r w:rsidRPr="005F5360">
        <w:rPr>
          <w:b w:val="0"/>
        </w:rPr>
        <w:t>Mutai</w:t>
      </w:r>
      <w:proofErr w:type="spellEnd"/>
      <w:r w:rsidRPr="005F5360">
        <w:rPr>
          <w:b w:val="0"/>
        </w:rPr>
        <w:t xml:space="preserve"> E, ‘Kenya’s debt repayment</w:t>
      </w:r>
      <w:r>
        <w:rPr>
          <w:b w:val="0"/>
        </w:rPr>
        <w:t xml:space="preserve"> down KES 199 billion on </w:t>
      </w:r>
      <w:r w:rsidRPr="005F5360">
        <w:rPr>
          <w:b w:val="0"/>
        </w:rPr>
        <w:t>cheaper loans’ Business Daily, 2</w:t>
      </w:r>
      <w:r>
        <w:rPr>
          <w:b w:val="0"/>
        </w:rPr>
        <w:t xml:space="preserve">8 </w:t>
      </w:r>
      <w:r w:rsidRPr="005F5360">
        <w:rPr>
          <w:b w:val="0"/>
        </w:rPr>
        <w:t>October 2020, 6.</w:t>
      </w:r>
    </w:p>
  </w:footnote>
  <w:footnote w:id="123">
    <w:p w14:paraId="58394221" w14:textId="451F1E1E" w:rsidR="004A5F49" w:rsidRPr="005F5360" w:rsidRDefault="004A5F49" w:rsidP="005F5360">
      <w:pPr>
        <w:pStyle w:val="FootnoteText"/>
        <w:spacing w:line="276" w:lineRule="auto"/>
        <w:rPr>
          <w:rFonts w:cs="Times New Roman"/>
          <w:b w:val="0"/>
        </w:rPr>
      </w:pPr>
      <w:r w:rsidRPr="005F5360">
        <w:rPr>
          <w:rStyle w:val="FootnoteReference"/>
          <w:rFonts w:cs="Times New Roman"/>
          <w:b w:val="0"/>
        </w:rPr>
        <w:footnoteRef/>
      </w:r>
      <w:r>
        <w:rPr>
          <w:rFonts w:cs="Times New Roman"/>
          <w:b w:val="0"/>
        </w:rPr>
        <w:t xml:space="preserve"> Stern G, </w:t>
      </w:r>
      <w:proofErr w:type="gramStart"/>
      <w:r w:rsidRPr="005F5360">
        <w:rPr>
          <w:rFonts w:cs="Times New Roman"/>
          <w:b w:val="0"/>
          <w:i/>
        </w:rPr>
        <w:t>Too</w:t>
      </w:r>
      <w:proofErr w:type="gramEnd"/>
      <w:r w:rsidRPr="005F5360">
        <w:rPr>
          <w:rFonts w:cs="Times New Roman"/>
          <w:b w:val="0"/>
          <w:i/>
        </w:rPr>
        <w:t xml:space="preserve"> big to fail: the hazards of bank bailouts</w:t>
      </w:r>
      <w:r w:rsidRPr="005F5360">
        <w:rPr>
          <w:rFonts w:cs="Times New Roman"/>
          <w:b w:val="0"/>
        </w:rPr>
        <w:t>, Brookings Institution Press, 2009, 21.</w:t>
      </w:r>
    </w:p>
  </w:footnote>
  <w:footnote w:id="124">
    <w:p w14:paraId="35DC1FC0" w14:textId="23E7D291" w:rsidR="004A5F49" w:rsidRDefault="004A5F49">
      <w:pPr>
        <w:pStyle w:val="FootnoteText"/>
      </w:pPr>
      <w:r>
        <w:rPr>
          <w:rStyle w:val="FootnoteReference"/>
        </w:rPr>
        <w:footnoteRef/>
      </w:r>
      <w:r>
        <w:t xml:space="preserve"> </w:t>
      </w:r>
      <w:r>
        <w:rPr>
          <w:rFonts w:cs="Times New Roman"/>
          <w:b w:val="0"/>
        </w:rPr>
        <w:t xml:space="preserve">Stern G, </w:t>
      </w:r>
      <w:proofErr w:type="gramStart"/>
      <w:r w:rsidRPr="005F5360">
        <w:rPr>
          <w:rFonts w:cs="Times New Roman"/>
          <w:b w:val="0"/>
          <w:i/>
        </w:rPr>
        <w:t>Too</w:t>
      </w:r>
      <w:proofErr w:type="gramEnd"/>
      <w:r w:rsidRPr="005F5360">
        <w:rPr>
          <w:rFonts w:cs="Times New Roman"/>
          <w:b w:val="0"/>
          <w:i/>
        </w:rPr>
        <w:t xml:space="preserve"> big to fail: the hazards of bank bailouts</w:t>
      </w:r>
      <w:r w:rsidRPr="005F5360">
        <w:rPr>
          <w:rFonts w:cs="Times New Roman"/>
          <w:b w:val="0"/>
        </w:rPr>
        <w:t>, 21.</w:t>
      </w:r>
    </w:p>
  </w:footnote>
  <w:footnote w:id="125">
    <w:p w14:paraId="65FCA637" w14:textId="02A77249" w:rsidR="004A5F49" w:rsidRPr="001458E5" w:rsidRDefault="004A5F49">
      <w:pPr>
        <w:pStyle w:val="FootnoteText"/>
        <w:rPr>
          <w:b w:val="0"/>
        </w:rPr>
      </w:pPr>
      <w:r>
        <w:rPr>
          <w:rStyle w:val="FootnoteReference"/>
        </w:rPr>
        <w:footnoteRef/>
      </w:r>
      <w:r>
        <w:t xml:space="preserve"> </w:t>
      </w:r>
      <w:proofErr w:type="spellStart"/>
      <w:r w:rsidRPr="001458E5">
        <w:rPr>
          <w:b w:val="0"/>
        </w:rPr>
        <w:t>Halme</w:t>
      </w:r>
      <w:proofErr w:type="spellEnd"/>
      <w:r w:rsidRPr="001458E5">
        <w:rPr>
          <w:b w:val="0"/>
        </w:rPr>
        <w:t xml:space="preserve"> L, </w:t>
      </w:r>
      <w:proofErr w:type="spellStart"/>
      <w:r w:rsidRPr="001458E5">
        <w:rPr>
          <w:b w:val="0"/>
        </w:rPr>
        <w:t>Hawkesby</w:t>
      </w:r>
      <w:proofErr w:type="spellEnd"/>
      <w:r w:rsidRPr="001458E5">
        <w:rPr>
          <w:b w:val="0"/>
        </w:rPr>
        <w:t xml:space="preserve"> C</w:t>
      </w:r>
      <w:r>
        <w:rPr>
          <w:b w:val="0"/>
        </w:rPr>
        <w:t xml:space="preserve">, Healey J, </w:t>
      </w:r>
      <w:proofErr w:type="spellStart"/>
      <w:r>
        <w:rPr>
          <w:b w:val="0"/>
        </w:rPr>
        <w:t>Saapar</w:t>
      </w:r>
      <w:proofErr w:type="spellEnd"/>
      <w:r>
        <w:rPr>
          <w:b w:val="0"/>
        </w:rPr>
        <w:t xml:space="preserve"> and </w:t>
      </w:r>
      <w:proofErr w:type="spellStart"/>
      <w:r>
        <w:rPr>
          <w:b w:val="0"/>
        </w:rPr>
        <w:t>Soussa</w:t>
      </w:r>
      <w:proofErr w:type="spellEnd"/>
      <w:r>
        <w:rPr>
          <w:b w:val="0"/>
        </w:rPr>
        <w:t xml:space="preserve"> F, </w:t>
      </w:r>
      <w:r w:rsidRPr="001458E5">
        <w:rPr>
          <w:b w:val="0"/>
          <w:i/>
        </w:rPr>
        <w:t>Financial Stability and Central Banks: Selected Issues for Financial Safety Nets and Market Discipline</w:t>
      </w:r>
      <w:r>
        <w:rPr>
          <w:b w:val="0"/>
          <w:i/>
        </w:rPr>
        <w:t xml:space="preserve">, </w:t>
      </w:r>
      <w:r w:rsidRPr="001458E5">
        <w:rPr>
          <w:b w:val="0"/>
        </w:rPr>
        <w:t>Center for Central Banking Studies</w:t>
      </w:r>
      <w:r>
        <w:rPr>
          <w:b w:val="0"/>
        </w:rPr>
        <w:t>, London 2000,11.</w:t>
      </w:r>
    </w:p>
  </w:footnote>
  <w:footnote w:id="126">
    <w:p w14:paraId="4F94D0D9" w14:textId="1B331F7B" w:rsidR="004A5F49" w:rsidRDefault="004A5F49">
      <w:pPr>
        <w:pStyle w:val="FootnoteText"/>
      </w:pPr>
      <w:r>
        <w:rPr>
          <w:rStyle w:val="FootnoteReference"/>
        </w:rPr>
        <w:footnoteRef/>
      </w:r>
      <w:r>
        <w:t xml:space="preserve"> </w:t>
      </w:r>
      <w:proofErr w:type="spellStart"/>
      <w:r w:rsidRPr="00112E3D">
        <w:rPr>
          <w:b w:val="0"/>
        </w:rPr>
        <w:t>Obura</w:t>
      </w:r>
      <w:proofErr w:type="spellEnd"/>
      <w:r w:rsidRPr="00112E3D">
        <w:rPr>
          <w:b w:val="0"/>
        </w:rPr>
        <w:t xml:space="preserve"> F, ‘What Kenyan youth look into before choosing a bank’ The Standard digital, 30</w:t>
      </w:r>
      <w:r w:rsidRPr="00112E3D">
        <w:rPr>
          <w:b w:val="0"/>
          <w:vertAlign w:val="superscript"/>
        </w:rPr>
        <w:t>th</w:t>
      </w:r>
      <w:r w:rsidRPr="00112E3D">
        <w:rPr>
          <w:b w:val="0"/>
        </w:rPr>
        <w:t xml:space="preserve"> </w:t>
      </w:r>
      <w:r>
        <w:rPr>
          <w:b w:val="0"/>
        </w:rPr>
        <w:t>J</w:t>
      </w:r>
      <w:r w:rsidRPr="00112E3D">
        <w:rPr>
          <w:b w:val="0"/>
        </w:rPr>
        <w:t xml:space="preserve">une 2015 </w:t>
      </w:r>
      <w:hyperlink r:id="rId13" w:history="1">
        <w:r w:rsidRPr="00CF1ED1">
          <w:rPr>
            <w:rStyle w:val="Hyperlink"/>
            <w:b w:val="0"/>
          </w:rPr>
          <w:t>https://www.google.com/amp/s/www.standardmedia.co.ke/amp/business/article/2000167545/what-kenyan-youth-look-into-before-choosing-a-bank</w:t>
        </w:r>
      </w:hyperlink>
      <w:r>
        <w:rPr>
          <w:b w:val="0"/>
        </w:rPr>
        <w:t xml:space="preserve"> </w:t>
      </w:r>
      <w:r w:rsidRPr="00112E3D">
        <w:rPr>
          <w:b w:val="0"/>
        </w:rPr>
        <w:t>on 10</w:t>
      </w:r>
      <w:r w:rsidRPr="00112E3D">
        <w:rPr>
          <w:b w:val="0"/>
          <w:vertAlign w:val="superscript"/>
        </w:rPr>
        <w:t>th</w:t>
      </w:r>
      <w:r w:rsidRPr="00112E3D">
        <w:rPr>
          <w:b w:val="0"/>
        </w:rPr>
        <w:t xml:space="preserve"> January 2021</w:t>
      </w:r>
      <w:r>
        <w:t>.</w:t>
      </w:r>
    </w:p>
  </w:footnote>
  <w:footnote w:id="127">
    <w:p w14:paraId="6701F6B2" w14:textId="4D38B6AC" w:rsidR="004A5F49" w:rsidRDefault="004A5F49" w:rsidP="007852F8">
      <w:pPr>
        <w:pStyle w:val="FootnoteText"/>
        <w:spacing w:line="276" w:lineRule="auto"/>
        <w:jc w:val="left"/>
      </w:pPr>
      <w:r>
        <w:rPr>
          <w:rStyle w:val="FootnoteReference"/>
        </w:rPr>
        <w:footnoteRef/>
      </w:r>
      <w:r>
        <w:t xml:space="preserve"> </w:t>
      </w:r>
      <w:proofErr w:type="spellStart"/>
      <w:r w:rsidRPr="001458E5">
        <w:rPr>
          <w:b w:val="0"/>
        </w:rPr>
        <w:t>Halme</w:t>
      </w:r>
      <w:proofErr w:type="spellEnd"/>
      <w:r w:rsidRPr="001458E5">
        <w:rPr>
          <w:b w:val="0"/>
        </w:rPr>
        <w:t xml:space="preserve"> L</w:t>
      </w:r>
      <w:r>
        <w:rPr>
          <w:b w:val="0"/>
        </w:rPr>
        <w:t xml:space="preserve"> </w:t>
      </w:r>
      <w:r>
        <w:rPr>
          <w:b w:val="0"/>
          <w:i/>
        </w:rPr>
        <w:t xml:space="preserve">et al, </w:t>
      </w:r>
      <w:r w:rsidRPr="001458E5">
        <w:rPr>
          <w:b w:val="0"/>
          <w:i/>
        </w:rPr>
        <w:t>Financial Stability and Central Banks: Selected Issues for Financial Safety Nets and Market Discipline</w:t>
      </w:r>
      <w:r>
        <w:rPr>
          <w:b w:val="0"/>
        </w:rPr>
        <w:t>,12.</w:t>
      </w:r>
    </w:p>
  </w:footnote>
  <w:footnote w:id="128">
    <w:p w14:paraId="1B64C90D" w14:textId="726BF1C6" w:rsidR="004A5F49" w:rsidRPr="00D1111E" w:rsidRDefault="004A5F49" w:rsidP="007852F8">
      <w:pPr>
        <w:pStyle w:val="FootnoteText"/>
        <w:spacing w:line="276" w:lineRule="auto"/>
        <w:jc w:val="left"/>
        <w:rPr>
          <w:b w:val="0"/>
          <w:i/>
        </w:rPr>
      </w:pPr>
      <w:r>
        <w:rPr>
          <w:rStyle w:val="FootnoteReference"/>
        </w:rPr>
        <w:footnoteRef/>
      </w:r>
      <w:r>
        <w:t xml:space="preserve"> </w:t>
      </w:r>
      <w:r>
        <w:rPr>
          <w:b w:val="0"/>
        </w:rPr>
        <w:t xml:space="preserve">Miller S, ‘The Global Banking Sector: Corruption, Institutional Purpose and Economic Justice’ 37(1) </w:t>
      </w:r>
      <w:r>
        <w:rPr>
          <w:b w:val="0"/>
          <w:i/>
        </w:rPr>
        <w:t xml:space="preserve">Business and Professional Ethics Journal, </w:t>
      </w:r>
      <w:r w:rsidRPr="00D1111E">
        <w:rPr>
          <w:b w:val="0"/>
        </w:rPr>
        <w:t>2018</w:t>
      </w:r>
      <w:r>
        <w:rPr>
          <w:b w:val="0"/>
        </w:rPr>
        <w:t>, 14.</w:t>
      </w:r>
    </w:p>
  </w:footnote>
  <w:footnote w:id="129">
    <w:p w14:paraId="6F6B7422" w14:textId="3F460586" w:rsidR="004A5F49" w:rsidRDefault="004A5F49" w:rsidP="007852F8">
      <w:pPr>
        <w:pStyle w:val="FootnoteText"/>
        <w:spacing w:line="276" w:lineRule="auto"/>
        <w:jc w:val="left"/>
      </w:pPr>
      <w:r>
        <w:rPr>
          <w:rStyle w:val="FootnoteReference"/>
        </w:rPr>
        <w:footnoteRef/>
      </w:r>
      <w:r>
        <w:t xml:space="preserve"> </w:t>
      </w:r>
      <w:r>
        <w:rPr>
          <w:b w:val="0"/>
        </w:rPr>
        <w:t>Miller S, ‘The Global Banking Sector: Corruption, Institutional Purpose and Economic Justice’14.</w:t>
      </w:r>
    </w:p>
  </w:footnote>
  <w:footnote w:id="130">
    <w:p w14:paraId="318046C5" w14:textId="4121BD38" w:rsidR="004A5F49" w:rsidRPr="00C50CD7" w:rsidRDefault="004A5F49" w:rsidP="007852F8">
      <w:pPr>
        <w:pStyle w:val="FootnoteText"/>
        <w:spacing w:line="276" w:lineRule="auto"/>
        <w:jc w:val="left"/>
        <w:rPr>
          <w:i/>
        </w:rPr>
      </w:pPr>
      <w:r>
        <w:rPr>
          <w:rStyle w:val="FootnoteReference"/>
        </w:rPr>
        <w:footnoteRef/>
      </w:r>
      <w:r w:rsidRPr="00C50CD7">
        <w:rPr>
          <w:b w:val="0"/>
        </w:rPr>
        <w:t>Miller S, ‘T</w:t>
      </w:r>
      <w:r>
        <w:rPr>
          <w:b w:val="0"/>
        </w:rPr>
        <w:t>r</w:t>
      </w:r>
      <w:r w:rsidRPr="00C50CD7">
        <w:rPr>
          <w:b w:val="0"/>
        </w:rPr>
        <w:t xml:space="preserve">ust Me…I’m a (systematically Important) bank! Institutional corruption, market based- industries and financial benchmarks’ 8(4) </w:t>
      </w:r>
      <w:r w:rsidRPr="00C50CD7">
        <w:rPr>
          <w:b w:val="0"/>
          <w:i/>
        </w:rPr>
        <w:t>Law and Financial Markets Review, 2014, 322.</w:t>
      </w:r>
    </w:p>
  </w:footnote>
  <w:footnote w:id="131">
    <w:p w14:paraId="66FAEB83" w14:textId="51E2ED56" w:rsidR="004A5F49" w:rsidRDefault="004A5F49" w:rsidP="007852F8">
      <w:pPr>
        <w:pStyle w:val="FootnoteText"/>
        <w:spacing w:line="276" w:lineRule="auto"/>
        <w:jc w:val="left"/>
      </w:pPr>
      <w:r>
        <w:rPr>
          <w:rStyle w:val="FootnoteReference"/>
        </w:rPr>
        <w:footnoteRef/>
      </w:r>
      <w:r>
        <w:t xml:space="preserve"> </w:t>
      </w:r>
      <w:r w:rsidRPr="00C50CD7">
        <w:rPr>
          <w:b w:val="0"/>
        </w:rPr>
        <w:t>Miller S, ‘T</w:t>
      </w:r>
      <w:r>
        <w:rPr>
          <w:b w:val="0"/>
        </w:rPr>
        <w:t>r</w:t>
      </w:r>
      <w:r w:rsidRPr="00C50CD7">
        <w:rPr>
          <w:b w:val="0"/>
        </w:rPr>
        <w:t>ust Me…I’m a (systematically Important) bank! Institutional corruption, market based- industries and financial benchmarks’</w:t>
      </w:r>
      <w:r>
        <w:rPr>
          <w:b w:val="0"/>
        </w:rPr>
        <w:t xml:space="preserve"> </w:t>
      </w:r>
      <w:r w:rsidRPr="00C50CD7">
        <w:rPr>
          <w:b w:val="0"/>
          <w:i/>
        </w:rPr>
        <w:t>322</w:t>
      </w:r>
    </w:p>
  </w:footnote>
  <w:footnote w:id="132">
    <w:p w14:paraId="0A24E956" w14:textId="6EF57A45" w:rsidR="004A5F49" w:rsidRPr="00A02E4F" w:rsidRDefault="004A5F49" w:rsidP="007852F8">
      <w:pPr>
        <w:pStyle w:val="FootnoteText"/>
        <w:spacing w:line="276" w:lineRule="auto"/>
        <w:jc w:val="left"/>
        <w:rPr>
          <w:rFonts w:cs="Times New Roman"/>
          <w:b w:val="0"/>
        </w:rPr>
      </w:pPr>
      <w:r w:rsidRPr="00A02E4F">
        <w:rPr>
          <w:rStyle w:val="FootnoteReference"/>
          <w:rFonts w:cs="Times New Roman"/>
          <w:b w:val="0"/>
        </w:rPr>
        <w:footnoteRef/>
      </w:r>
      <w:r w:rsidRPr="00A02E4F">
        <w:rPr>
          <w:rFonts w:cs="Times New Roman"/>
          <w:b w:val="0"/>
        </w:rPr>
        <w:t xml:space="preserve"> R. Hardi</w:t>
      </w:r>
      <w:r>
        <w:rPr>
          <w:rFonts w:cs="Times New Roman"/>
          <w:b w:val="0"/>
        </w:rPr>
        <w:t>ng, ‘</w:t>
      </w:r>
      <w:r w:rsidRPr="00A02E4F">
        <w:rPr>
          <w:rFonts w:cs="Times New Roman"/>
          <w:b w:val="0"/>
        </w:rPr>
        <w:t>Problems of banks seen as too big to fail still unsolved’, Financial Times, 2014,4.</w:t>
      </w:r>
    </w:p>
  </w:footnote>
  <w:footnote w:id="133">
    <w:p w14:paraId="45182CBB" w14:textId="77777777" w:rsidR="004A5F49" w:rsidRPr="00A02E4F" w:rsidRDefault="004A5F49" w:rsidP="007852F8">
      <w:pPr>
        <w:pStyle w:val="FootnoteText"/>
        <w:spacing w:line="276" w:lineRule="auto"/>
        <w:jc w:val="left"/>
        <w:rPr>
          <w:rFonts w:cs="Times New Roman"/>
          <w:b w:val="0"/>
        </w:rPr>
      </w:pPr>
      <w:r w:rsidRPr="00A02E4F">
        <w:rPr>
          <w:rStyle w:val="FootnoteReference"/>
          <w:rFonts w:cs="Times New Roman"/>
          <w:b w:val="0"/>
        </w:rPr>
        <w:footnoteRef/>
      </w:r>
      <w:r w:rsidRPr="00A02E4F">
        <w:rPr>
          <w:rFonts w:cs="Times New Roman"/>
          <w:b w:val="0"/>
          <w:i/>
        </w:rPr>
        <w:t xml:space="preserve"> United States V HSBC USA </w:t>
      </w:r>
      <w:r w:rsidRPr="00A02E4F">
        <w:rPr>
          <w:rFonts w:cs="Times New Roman"/>
          <w:b w:val="0"/>
        </w:rPr>
        <w:t>(2013), United States Court of Appeals.</w:t>
      </w:r>
    </w:p>
  </w:footnote>
  <w:footnote w:id="134">
    <w:p w14:paraId="4B78ED61" w14:textId="77777777" w:rsidR="004A5F49" w:rsidRPr="00A02E4F" w:rsidRDefault="004A5F49" w:rsidP="007852F8">
      <w:pPr>
        <w:pStyle w:val="FootnoteText"/>
        <w:spacing w:line="276" w:lineRule="auto"/>
        <w:jc w:val="left"/>
        <w:rPr>
          <w:rFonts w:cs="Times New Roman"/>
        </w:rPr>
      </w:pPr>
      <w:r w:rsidRPr="00A02E4F">
        <w:rPr>
          <w:rStyle w:val="FootnoteReference"/>
          <w:rFonts w:cs="Times New Roman"/>
        </w:rPr>
        <w:footnoteRef/>
      </w:r>
      <w:r w:rsidRPr="00A02E4F">
        <w:rPr>
          <w:rFonts w:cs="Times New Roman"/>
        </w:rPr>
        <w:t xml:space="preserve"> </w:t>
      </w:r>
      <w:r w:rsidRPr="00A02E4F">
        <w:rPr>
          <w:rFonts w:cs="Times New Roman"/>
          <w:b w:val="0"/>
          <w:i/>
        </w:rPr>
        <w:t>United States of America v Standard Chartered</w:t>
      </w:r>
      <w:r w:rsidRPr="00A02E4F">
        <w:rPr>
          <w:rFonts w:cs="Times New Roman"/>
        </w:rPr>
        <w:t xml:space="preserve"> </w:t>
      </w:r>
      <w:r w:rsidRPr="00A02E4F">
        <w:rPr>
          <w:rFonts w:cs="Times New Roman"/>
          <w:b w:val="0"/>
          <w:i/>
        </w:rPr>
        <w:t xml:space="preserve">Bank </w:t>
      </w:r>
      <w:r w:rsidRPr="00A02E4F">
        <w:rPr>
          <w:rFonts w:cs="Times New Roman"/>
          <w:b w:val="0"/>
        </w:rPr>
        <w:t>(2012)</w:t>
      </w:r>
      <w:r w:rsidRPr="00A02E4F">
        <w:rPr>
          <w:rFonts w:cs="Times New Roman"/>
        </w:rPr>
        <w:t xml:space="preserve">, </w:t>
      </w:r>
      <w:r w:rsidRPr="00A02E4F">
        <w:rPr>
          <w:rFonts w:cs="Times New Roman"/>
          <w:b w:val="0"/>
        </w:rPr>
        <w:t>United States District court of Colombia.</w:t>
      </w:r>
    </w:p>
  </w:footnote>
  <w:footnote w:id="135">
    <w:p w14:paraId="16A73411" w14:textId="4900DA19" w:rsidR="004A5F49" w:rsidRPr="00866905" w:rsidRDefault="004A5F49" w:rsidP="00866905">
      <w:pPr>
        <w:pStyle w:val="FootnoteText"/>
        <w:spacing w:line="276" w:lineRule="auto"/>
        <w:jc w:val="left"/>
        <w:rPr>
          <w:b w:val="0"/>
        </w:rPr>
      </w:pPr>
      <w:r w:rsidRPr="00866905">
        <w:rPr>
          <w:rStyle w:val="FootnoteReference"/>
          <w:b w:val="0"/>
        </w:rPr>
        <w:footnoteRef/>
      </w:r>
      <w:r w:rsidRPr="00866905">
        <w:rPr>
          <w:b w:val="0"/>
        </w:rPr>
        <w:t xml:space="preserve"> Miller S, ‘The Global Banking Sector: Corruption, Institutional Purpose and Economic Justice’14.</w:t>
      </w:r>
    </w:p>
  </w:footnote>
  <w:footnote w:id="136">
    <w:p w14:paraId="7F8C75EC" w14:textId="539124E8" w:rsidR="004A5F49" w:rsidRPr="00866905" w:rsidRDefault="004A5F49" w:rsidP="00866905">
      <w:pPr>
        <w:pStyle w:val="FootnoteText"/>
        <w:spacing w:line="276" w:lineRule="auto"/>
        <w:jc w:val="left"/>
        <w:rPr>
          <w:rFonts w:cs="Times New Roman"/>
          <w:b w:val="0"/>
        </w:rPr>
      </w:pPr>
      <w:r w:rsidRPr="00866905">
        <w:rPr>
          <w:rStyle w:val="FootnoteReference"/>
          <w:rFonts w:cs="Times New Roman"/>
          <w:b w:val="0"/>
        </w:rPr>
        <w:footnoteRef/>
      </w:r>
      <w:r w:rsidRPr="00866905">
        <w:rPr>
          <w:rFonts w:cs="Times New Roman"/>
          <w:b w:val="0"/>
        </w:rPr>
        <w:t xml:space="preserve"> </w:t>
      </w:r>
      <w:proofErr w:type="spellStart"/>
      <w:r w:rsidRPr="00866905">
        <w:rPr>
          <w:rFonts w:cs="Times New Roman"/>
          <w:b w:val="0"/>
        </w:rPr>
        <w:t>Corton</w:t>
      </w:r>
      <w:proofErr w:type="spellEnd"/>
      <w:r w:rsidRPr="00866905">
        <w:rPr>
          <w:rFonts w:cs="Times New Roman"/>
          <w:b w:val="0"/>
        </w:rPr>
        <w:t xml:space="preserve"> G and </w:t>
      </w:r>
      <w:proofErr w:type="spellStart"/>
      <w:r w:rsidRPr="00866905">
        <w:rPr>
          <w:rFonts w:cs="Times New Roman"/>
          <w:b w:val="0"/>
        </w:rPr>
        <w:t>Santommero</w:t>
      </w:r>
      <w:proofErr w:type="spellEnd"/>
      <w:r w:rsidRPr="00866905">
        <w:rPr>
          <w:rFonts w:cs="Times New Roman"/>
          <w:b w:val="0"/>
        </w:rPr>
        <w:t xml:space="preserve"> A, ‘Market discipline and bank subordinated debt.’ 22(1) </w:t>
      </w:r>
      <w:r w:rsidRPr="00866905">
        <w:rPr>
          <w:rFonts w:cs="Times New Roman"/>
          <w:b w:val="0"/>
          <w:i/>
        </w:rPr>
        <w:t>Journal of money, credit and banking</w:t>
      </w:r>
      <w:r w:rsidRPr="00866905">
        <w:rPr>
          <w:rFonts w:cs="Times New Roman"/>
          <w:b w:val="0"/>
        </w:rPr>
        <w:t>, 2013, 119.</w:t>
      </w:r>
    </w:p>
  </w:footnote>
  <w:footnote w:id="137">
    <w:p w14:paraId="63577DA4" w14:textId="32BD1905" w:rsidR="004A5F49" w:rsidRPr="00866905" w:rsidRDefault="004A5F49" w:rsidP="00866905">
      <w:pPr>
        <w:pStyle w:val="FootnoteText"/>
        <w:spacing w:line="276" w:lineRule="auto"/>
        <w:rPr>
          <w:b w:val="0"/>
          <w:i/>
        </w:rPr>
      </w:pPr>
      <w:r w:rsidRPr="00866905">
        <w:rPr>
          <w:rStyle w:val="FootnoteReference"/>
          <w:rFonts w:cs="Times New Roman"/>
          <w:b w:val="0"/>
        </w:rPr>
        <w:footnoteRef/>
      </w:r>
      <w:r w:rsidRPr="00866905">
        <w:rPr>
          <w:rFonts w:cs="Times New Roman"/>
          <w:b w:val="0"/>
        </w:rPr>
        <w:t>Arthur E, ’Turning a blind eye:</w:t>
      </w:r>
      <w:r w:rsidRPr="00866905">
        <w:rPr>
          <w:rFonts w:cs="Times New Roman"/>
          <w:b w:val="0"/>
          <w:i/>
        </w:rPr>
        <w:t xml:space="preserve"> </w:t>
      </w:r>
      <w:r w:rsidRPr="00866905">
        <w:rPr>
          <w:rFonts w:cs="Times New Roman"/>
          <w:b w:val="0"/>
        </w:rPr>
        <w:t>Why Washington keeps giving into Wall street</w:t>
      </w:r>
      <w:r w:rsidRPr="00866905">
        <w:rPr>
          <w:rFonts w:cs="Times New Roman"/>
          <w:b w:val="0"/>
          <w:i/>
        </w:rPr>
        <w:t xml:space="preserve">,’ </w:t>
      </w:r>
      <w:r w:rsidRPr="00866905">
        <w:rPr>
          <w:rFonts w:cs="Times New Roman"/>
          <w:b w:val="0"/>
        </w:rPr>
        <w:t>81(4)</w:t>
      </w:r>
      <w:r w:rsidRPr="00866905">
        <w:rPr>
          <w:rFonts w:cs="Times New Roman"/>
          <w:b w:val="0"/>
          <w:i/>
        </w:rPr>
        <w:t xml:space="preserve"> University of Cincinnati Law Review</w:t>
      </w:r>
      <w:r w:rsidRPr="00866905">
        <w:rPr>
          <w:rFonts w:cs="Times New Roman"/>
          <w:b w:val="0"/>
        </w:rPr>
        <w:t>, 2013</w:t>
      </w:r>
      <w:r>
        <w:rPr>
          <w:rFonts w:cs="Times New Roman"/>
          <w:b w:val="0"/>
        </w:rPr>
        <w:t>, 34.</w:t>
      </w:r>
    </w:p>
  </w:footnote>
  <w:footnote w:id="138">
    <w:p w14:paraId="5E094EF2" w14:textId="470A653D" w:rsidR="004A5F49" w:rsidRPr="00866905" w:rsidRDefault="004A5F49" w:rsidP="00866905">
      <w:pPr>
        <w:pStyle w:val="FootnoteText"/>
        <w:spacing w:line="276" w:lineRule="auto"/>
        <w:rPr>
          <w:b w:val="0"/>
          <w:i/>
        </w:rPr>
      </w:pPr>
      <w:r w:rsidRPr="00866905">
        <w:rPr>
          <w:rStyle w:val="FootnoteReference"/>
          <w:b w:val="0"/>
        </w:rPr>
        <w:footnoteRef/>
      </w:r>
      <w:r w:rsidRPr="00866905">
        <w:rPr>
          <w:b w:val="0"/>
        </w:rPr>
        <w:t xml:space="preserve">Alfonso G, Santos J and </w:t>
      </w:r>
      <w:proofErr w:type="spellStart"/>
      <w:r w:rsidRPr="00866905">
        <w:rPr>
          <w:b w:val="0"/>
        </w:rPr>
        <w:t>Traina</w:t>
      </w:r>
      <w:proofErr w:type="spellEnd"/>
      <w:r w:rsidRPr="00866905">
        <w:rPr>
          <w:b w:val="0"/>
        </w:rPr>
        <w:t xml:space="preserve"> J, ‘Do ‘Too-Big-To-Fail’ Banks Take on more risk’ </w:t>
      </w:r>
      <w:r w:rsidRPr="00866905">
        <w:rPr>
          <w:b w:val="0"/>
          <w:i/>
        </w:rPr>
        <w:t xml:space="preserve">Economic Policy Review, </w:t>
      </w:r>
      <w:r w:rsidRPr="00866905">
        <w:rPr>
          <w:b w:val="0"/>
        </w:rPr>
        <w:t>2014</w:t>
      </w:r>
      <w:r w:rsidRPr="00866905">
        <w:rPr>
          <w:b w:val="0"/>
          <w:i/>
        </w:rPr>
        <w:t>, 17.</w:t>
      </w:r>
    </w:p>
  </w:footnote>
  <w:footnote w:id="139">
    <w:p w14:paraId="1972774B" w14:textId="74DAA255" w:rsidR="004A5F49" w:rsidRDefault="004A5F49" w:rsidP="00866905">
      <w:pPr>
        <w:pStyle w:val="FootnoteText"/>
        <w:spacing w:line="276" w:lineRule="auto"/>
      </w:pPr>
      <w:r w:rsidRPr="00866905">
        <w:rPr>
          <w:rStyle w:val="FootnoteReference"/>
          <w:b w:val="0"/>
        </w:rPr>
        <w:footnoteRef/>
      </w:r>
      <w:r w:rsidRPr="00866905">
        <w:rPr>
          <w:b w:val="0"/>
        </w:rPr>
        <w:t xml:space="preserve">Alfonso G, Santos J and </w:t>
      </w:r>
      <w:proofErr w:type="spellStart"/>
      <w:r w:rsidRPr="00866905">
        <w:rPr>
          <w:b w:val="0"/>
        </w:rPr>
        <w:t>Traina</w:t>
      </w:r>
      <w:proofErr w:type="spellEnd"/>
      <w:r w:rsidRPr="00866905">
        <w:rPr>
          <w:b w:val="0"/>
        </w:rPr>
        <w:t xml:space="preserve"> J, ‘Do ‘Too-Big-To-Fail’ Banks Take on more risk’ </w:t>
      </w:r>
      <w:r w:rsidRPr="00866905">
        <w:rPr>
          <w:b w:val="0"/>
          <w:i/>
        </w:rPr>
        <w:t>Economic Policy Review,</w:t>
      </w:r>
      <w:r w:rsidRPr="00866905">
        <w:rPr>
          <w:b w:val="0"/>
        </w:rPr>
        <w:t xml:space="preserve"> 2014, 17.</w:t>
      </w:r>
    </w:p>
  </w:footnote>
  <w:footnote w:id="140">
    <w:p w14:paraId="0028F39A" w14:textId="3C344FB9" w:rsidR="004A5F49" w:rsidRPr="00A02E4F" w:rsidRDefault="004A5F49" w:rsidP="00317D09">
      <w:pPr>
        <w:pStyle w:val="FootnoteText"/>
        <w:spacing w:line="276" w:lineRule="auto"/>
        <w:rPr>
          <w:rFonts w:cs="Times New Roman"/>
          <w:b w:val="0"/>
        </w:rPr>
      </w:pPr>
      <w:r w:rsidRPr="00A02E4F">
        <w:rPr>
          <w:rStyle w:val="FootnoteReference"/>
          <w:rFonts w:cs="Times New Roman"/>
        </w:rPr>
        <w:footnoteRef/>
      </w:r>
      <w:r>
        <w:rPr>
          <w:rFonts w:cs="Times New Roman"/>
          <w:b w:val="0"/>
        </w:rPr>
        <w:t xml:space="preserve"> </w:t>
      </w:r>
      <w:proofErr w:type="spellStart"/>
      <w:r w:rsidRPr="00A02E4F">
        <w:rPr>
          <w:rFonts w:cs="Times New Roman"/>
          <w:b w:val="0"/>
        </w:rPr>
        <w:t>McDonell</w:t>
      </w:r>
      <w:proofErr w:type="spellEnd"/>
      <w:r>
        <w:rPr>
          <w:rFonts w:cs="Times New Roman"/>
          <w:b w:val="0"/>
        </w:rPr>
        <w:t xml:space="preserve"> B</w:t>
      </w:r>
      <w:r w:rsidRPr="00A02E4F">
        <w:rPr>
          <w:rFonts w:cs="Times New Roman"/>
          <w:b w:val="0"/>
        </w:rPr>
        <w:t xml:space="preserve">, </w:t>
      </w:r>
      <w:proofErr w:type="gramStart"/>
      <w:r w:rsidRPr="00A02E4F">
        <w:rPr>
          <w:rFonts w:cs="Times New Roman"/>
          <w:b w:val="0"/>
        </w:rPr>
        <w:t>‘ Financial</w:t>
      </w:r>
      <w:proofErr w:type="gramEnd"/>
      <w:r w:rsidRPr="00A02E4F">
        <w:rPr>
          <w:rFonts w:cs="Times New Roman"/>
          <w:b w:val="0"/>
        </w:rPr>
        <w:t xml:space="preserve"> regulation and too big to fail’, 113.</w:t>
      </w:r>
    </w:p>
  </w:footnote>
  <w:footnote w:id="141">
    <w:p w14:paraId="5AF2372C" w14:textId="7125D05E" w:rsidR="004A5F49" w:rsidRDefault="004A5F49" w:rsidP="00317D09">
      <w:pPr>
        <w:pStyle w:val="FootnoteText"/>
        <w:spacing w:line="276" w:lineRule="auto"/>
      </w:pPr>
      <w:r>
        <w:rPr>
          <w:rStyle w:val="FootnoteReference"/>
        </w:rPr>
        <w:footnoteRef/>
      </w:r>
      <w:r>
        <w:t xml:space="preserve"> </w:t>
      </w:r>
      <w:proofErr w:type="spellStart"/>
      <w:r w:rsidRPr="00A121F9">
        <w:rPr>
          <w:b w:val="0"/>
        </w:rPr>
        <w:t>Freixas</w:t>
      </w:r>
      <w:proofErr w:type="spellEnd"/>
      <w:r w:rsidRPr="00A121F9">
        <w:rPr>
          <w:b w:val="0"/>
        </w:rPr>
        <w:t xml:space="preserve"> X and Rochet, ‘Taming Systemically Important Financial Institutions’ 45 (1) Journal of Money, Credit and Banking, 2011, 39.</w:t>
      </w:r>
    </w:p>
  </w:footnote>
  <w:footnote w:id="142">
    <w:p w14:paraId="78732908" w14:textId="77777777" w:rsidR="004A5F49" w:rsidRPr="002C4B88" w:rsidRDefault="004A5F49" w:rsidP="00F72A13">
      <w:pPr>
        <w:pStyle w:val="NormalWeb"/>
        <w:spacing w:line="276" w:lineRule="auto"/>
        <w:rPr>
          <w:b w:val="0"/>
          <w:sz w:val="20"/>
          <w:szCs w:val="20"/>
        </w:rPr>
      </w:pPr>
      <w:r w:rsidRPr="002C4B88">
        <w:rPr>
          <w:rStyle w:val="FootnoteReference"/>
          <w:b w:val="0"/>
          <w:sz w:val="20"/>
          <w:szCs w:val="20"/>
        </w:rPr>
        <w:footnoteRef/>
      </w:r>
      <w:r w:rsidRPr="002C4B88">
        <w:rPr>
          <w:b w:val="0"/>
          <w:sz w:val="20"/>
          <w:szCs w:val="20"/>
        </w:rPr>
        <w:t xml:space="preserve"> </w:t>
      </w:r>
      <w:r w:rsidRPr="002C4B88">
        <w:rPr>
          <w:b w:val="0"/>
          <w:color w:val="000000"/>
          <w:sz w:val="20"/>
          <w:szCs w:val="20"/>
        </w:rPr>
        <w:t>&lt;</w:t>
      </w:r>
      <w:hyperlink r:id="rId14" w:history="1">
        <w:r w:rsidRPr="002C4B88">
          <w:rPr>
            <w:b w:val="0"/>
            <w:color w:val="1155CC"/>
            <w:sz w:val="20"/>
            <w:szCs w:val="20"/>
            <w:u w:val="single"/>
          </w:rPr>
          <w:t>https://www.mumakanjama.com/index.php/team/64-legal-framework-for-mergers-in-kenya</w:t>
        </w:r>
      </w:hyperlink>
      <w:r w:rsidRPr="002C4B88">
        <w:rPr>
          <w:b w:val="0"/>
          <w:color w:val="000000"/>
          <w:sz w:val="20"/>
          <w:szCs w:val="20"/>
        </w:rPr>
        <w:t xml:space="preserve">&gt;Muma &amp; </w:t>
      </w:r>
      <w:proofErr w:type="spellStart"/>
      <w:r w:rsidRPr="002C4B88">
        <w:rPr>
          <w:b w:val="0"/>
          <w:color w:val="000000"/>
          <w:sz w:val="20"/>
          <w:szCs w:val="20"/>
        </w:rPr>
        <w:t>Kanjama</w:t>
      </w:r>
      <w:proofErr w:type="spellEnd"/>
      <w:r w:rsidRPr="002C4B88">
        <w:rPr>
          <w:b w:val="0"/>
          <w:color w:val="000000"/>
          <w:sz w:val="20"/>
          <w:szCs w:val="20"/>
        </w:rPr>
        <w:t xml:space="preserve"> Advocates, on 15 </w:t>
      </w:r>
      <w:r>
        <w:rPr>
          <w:b w:val="0"/>
          <w:color w:val="000000"/>
          <w:sz w:val="20"/>
          <w:szCs w:val="20"/>
        </w:rPr>
        <w:t xml:space="preserve">November </w:t>
      </w:r>
      <w:r w:rsidRPr="002C4B88">
        <w:rPr>
          <w:b w:val="0"/>
          <w:color w:val="000000"/>
          <w:sz w:val="20"/>
          <w:szCs w:val="20"/>
        </w:rPr>
        <w:t>2020.</w:t>
      </w:r>
    </w:p>
  </w:footnote>
  <w:footnote w:id="143">
    <w:p w14:paraId="74FA0932" w14:textId="77777777" w:rsidR="004A5F49" w:rsidRPr="00A02E4F" w:rsidRDefault="004A5F49" w:rsidP="00F72A13">
      <w:pPr>
        <w:pStyle w:val="NormalWeb"/>
        <w:spacing w:line="276" w:lineRule="auto"/>
        <w:rPr>
          <w:b w:val="0"/>
          <w:sz w:val="20"/>
          <w:szCs w:val="20"/>
        </w:rPr>
      </w:pPr>
      <w:r w:rsidRPr="00A02E4F">
        <w:rPr>
          <w:rStyle w:val="FootnoteReference"/>
          <w:b w:val="0"/>
          <w:sz w:val="20"/>
          <w:szCs w:val="20"/>
        </w:rPr>
        <w:footnoteRef/>
      </w:r>
      <w:r w:rsidRPr="00A02E4F">
        <w:rPr>
          <w:b w:val="0"/>
          <w:color w:val="000000"/>
          <w:sz w:val="20"/>
          <w:szCs w:val="20"/>
        </w:rPr>
        <w:t> </w:t>
      </w:r>
      <w:r w:rsidRPr="00A02E4F">
        <w:rPr>
          <w:b w:val="0"/>
          <w:i/>
          <w:iCs/>
          <w:color w:val="000000"/>
          <w:sz w:val="20"/>
          <w:szCs w:val="20"/>
        </w:rPr>
        <w:t xml:space="preserve">Evans </w:t>
      </w:r>
      <w:proofErr w:type="spellStart"/>
      <w:r w:rsidRPr="00A02E4F">
        <w:rPr>
          <w:b w:val="0"/>
          <w:i/>
          <w:iCs/>
          <w:color w:val="000000"/>
          <w:sz w:val="20"/>
          <w:szCs w:val="20"/>
        </w:rPr>
        <w:t>Aseto</w:t>
      </w:r>
      <w:proofErr w:type="spellEnd"/>
      <w:r w:rsidRPr="00A02E4F">
        <w:rPr>
          <w:b w:val="0"/>
          <w:i/>
          <w:iCs/>
          <w:color w:val="000000"/>
          <w:sz w:val="20"/>
          <w:szCs w:val="20"/>
        </w:rPr>
        <w:t xml:space="preserve"> &amp; another v National Bank of Kenya &amp; another; Central Bank of Kenya &amp; another</w:t>
      </w:r>
      <w:r>
        <w:rPr>
          <w:b w:val="0"/>
          <w:i/>
          <w:iCs/>
          <w:color w:val="000000"/>
          <w:sz w:val="20"/>
          <w:szCs w:val="20"/>
        </w:rPr>
        <w:t xml:space="preserve"> </w:t>
      </w:r>
      <w:r w:rsidRPr="00A02E4F">
        <w:rPr>
          <w:b w:val="0"/>
          <w:i/>
          <w:iCs/>
          <w:color w:val="000000"/>
          <w:sz w:val="20"/>
          <w:szCs w:val="20"/>
        </w:rPr>
        <w:t>(interested parties)</w:t>
      </w:r>
      <w:r>
        <w:rPr>
          <w:b w:val="0"/>
          <w:i/>
          <w:iCs/>
          <w:color w:val="000000"/>
          <w:sz w:val="20"/>
          <w:szCs w:val="20"/>
        </w:rPr>
        <w:t xml:space="preserve"> </w:t>
      </w:r>
      <w:r w:rsidRPr="00A02E4F">
        <w:rPr>
          <w:b w:val="0"/>
          <w:color w:val="000000"/>
          <w:sz w:val="20"/>
          <w:szCs w:val="20"/>
        </w:rPr>
        <w:t xml:space="preserve">[2019] </w:t>
      </w:r>
      <w:proofErr w:type="spellStart"/>
      <w:r w:rsidRPr="00A02E4F">
        <w:rPr>
          <w:b w:val="0"/>
          <w:color w:val="000000"/>
          <w:sz w:val="20"/>
          <w:szCs w:val="20"/>
        </w:rPr>
        <w:t>eKLR</w:t>
      </w:r>
      <w:proofErr w:type="spellEnd"/>
      <w:r w:rsidRPr="00A02E4F">
        <w:rPr>
          <w:b w:val="0"/>
          <w:color w:val="000000"/>
          <w:sz w:val="20"/>
          <w:szCs w:val="20"/>
        </w:rPr>
        <w:t>.</w:t>
      </w:r>
    </w:p>
  </w:footnote>
  <w:footnote w:id="144">
    <w:p w14:paraId="072500D7" w14:textId="4D6C728C" w:rsidR="004A5F49" w:rsidRDefault="004A5F49" w:rsidP="00317D09">
      <w:pPr>
        <w:pStyle w:val="FootnoteText"/>
        <w:spacing w:line="276" w:lineRule="auto"/>
      </w:pPr>
      <w:r>
        <w:rPr>
          <w:rStyle w:val="FootnoteReference"/>
        </w:rPr>
        <w:footnoteRef/>
      </w:r>
      <w:r>
        <w:t xml:space="preserve"> </w:t>
      </w:r>
      <w:proofErr w:type="spellStart"/>
      <w:r w:rsidRPr="00A121F9">
        <w:rPr>
          <w:b w:val="0"/>
        </w:rPr>
        <w:t>Freixas</w:t>
      </w:r>
      <w:proofErr w:type="spellEnd"/>
      <w:r w:rsidRPr="00A121F9">
        <w:rPr>
          <w:b w:val="0"/>
        </w:rPr>
        <w:t xml:space="preserve"> X and Rochet, ‘Taming Systemically Important Financial Institutions’ </w:t>
      </w:r>
      <w:r>
        <w:rPr>
          <w:b w:val="0"/>
        </w:rPr>
        <w:t>41</w:t>
      </w:r>
      <w:r w:rsidRPr="00A121F9">
        <w:rPr>
          <w:b w:val="0"/>
        </w:rPr>
        <w:t>.</w:t>
      </w:r>
    </w:p>
  </w:footnote>
  <w:footnote w:id="145">
    <w:p w14:paraId="10890102" w14:textId="29362F02" w:rsidR="004A5F49" w:rsidRPr="00A02E4F" w:rsidRDefault="004A5F49" w:rsidP="00BE2849">
      <w:pPr>
        <w:pStyle w:val="FootnoteText"/>
        <w:spacing w:line="360" w:lineRule="auto"/>
        <w:rPr>
          <w:rFonts w:cs="Times New Roman"/>
          <w:b w:val="0"/>
        </w:rPr>
      </w:pPr>
      <w:r w:rsidRPr="00A02E4F">
        <w:rPr>
          <w:rStyle w:val="FootnoteReference"/>
          <w:rFonts w:cs="Times New Roman"/>
        </w:rPr>
        <w:footnoteRef/>
      </w:r>
      <w:r>
        <w:rPr>
          <w:rFonts w:cs="Times New Roman"/>
          <w:b w:val="0"/>
        </w:rPr>
        <w:t xml:space="preserve"> </w:t>
      </w:r>
      <w:proofErr w:type="spellStart"/>
      <w:r w:rsidRPr="0074353C">
        <w:rPr>
          <w:b w:val="0"/>
        </w:rPr>
        <w:t>Umlauft</w:t>
      </w:r>
      <w:proofErr w:type="spellEnd"/>
      <w:r w:rsidRPr="0074353C">
        <w:rPr>
          <w:b w:val="0"/>
        </w:rPr>
        <w:t xml:space="preserve"> T ‘The paradoxical genesis of Too-Big-T</w:t>
      </w:r>
      <w:r>
        <w:rPr>
          <w:b w:val="0"/>
        </w:rPr>
        <w:t>o-</w:t>
      </w:r>
      <w:r w:rsidRPr="0074353C">
        <w:rPr>
          <w:b w:val="0"/>
        </w:rPr>
        <w:t>Fail: How Distrust Towards Banks led to TBTF</w:t>
      </w:r>
      <w:r>
        <w:rPr>
          <w:b w:val="0"/>
        </w:rPr>
        <w:t>’ 12</w:t>
      </w:r>
      <w:r w:rsidRPr="00A02E4F">
        <w:rPr>
          <w:rFonts w:cs="Times New Roman"/>
          <w:b w:val="0"/>
          <w:i/>
        </w:rPr>
        <w:t xml:space="preserve">. </w:t>
      </w:r>
    </w:p>
  </w:footnote>
  <w:footnote w:id="146">
    <w:p w14:paraId="7939B207" w14:textId="338A7D31" w:rsidR="004A5F49" w:rsidRDefault="004A5F49" w:rsidP="00BE2849">
      <w:pPr>
        <w:pStyle w:val="FootnoteText"/>
        <w:spacing w:line="360" w:lineRule="auto"/>
      </w:pPr>
      <w:r>
        <w:rPr>
          <w:rStyle w:val="FootnoteReference"/>
        </w:rPr>
        <w:footnoteRef/>
      </w:r>
      <w:r>
        <w:t xml:space="preserve"> </w:t>
      </w:r>
      <w:proofErr w:type="spellStart"/>
      <w:r w:rsidRPr="0074353C">
        <w:rPr>
          <w:b w:val="0"/>
        </w:rPr>
        <w:t>Umlauft</w:t>
      </w:r>
      <w:proofErr w:type="spellEnd"/>
      <w:r w:rsidRPr="0074353C">
        <w:rPr>
          <w:b w:val="0"/>
        </w:rPr>
        <w:t xml:space="preserve"> T ‘The paradoxical genesis of Too-Big-T</w:t>
      </w:r>
      <w:r>
        <w:rPr>
          <w:b w:val="0"/>
        </w:rPr>
        <w:t>o-</w:t>
      </w:r>
      <w:r w:rsidRPr="0074353C">
        <w:rPr>
          <w:b w:val="0"/>
        </w:rPr>
        <w:t>Fail: How Distrust Towards Banks led to TBTF’</w:t>
      </w:r>
      <w:r>
        <w:rPr>
          <w:b w:val="0"/>
        </w:rPr>
        <w:t xml:space="preserve"> 12.</w:t>
      </w:r>
    </w:p>
  </w:footnote>
  <w:footnote w:id="147">
    <w:p w14:paraId="72F8625F" w14:textId="6D4856F0" w:rsidR="004A5F49" w:rsidRPr="00A02E4F" w:rsidRDefault="004A5F49" w:rsidP="00BE2849">
      <w:pPr>
        <w:pStyle w:val="FootnoteText"/>
        <w:spacing w:line="360" w:lineRule="auto"/>
        <w:rPr>
          <w:rFonts w:cs="Times New Roman"/>
          <w:b w:val="0"/>
        </w:rPr>
      </w:pPr>
      <w:r w:rsidRPr="00A02E4F">
        <w:rPr>
          <w:rStyle w:val="FootnoteReference"/>
          <w:rFonts w:cs="Times New Roman"/>
        </w:rPr>
        <w:footnoteRef/>
      </w:r>
      <w:r>
        <w:rPr>
          <w:rFonts w:cs="Times New Roman"/>
          <w:b w:val="0"/>
        </w:rPr>
        <w:t xml:space="preserve"> </w:t>
      </w:r>
      <w:r w:rsidRPr="00A02E4F">
        <w:rPr>
          <w:rFonts w:cs="Times New Roman"/>
          <w:b w:val="0"/>
        </w:rPr>
        <w:t>Shull</w:t>
      </w:r>
      <w:r>
        <w:rPr>
          <w:rFonts w:cs="Times New Roman"/>
          <w:b w:val="0"/>
        </w:rPr>
        <w:t xml:space="preserve"> B</w:t>
      </w:r>
      <w:r w:rsidRPr="00A02E4F">
        <w:rPr>
          <w:rFonts w:cs="Times New Roman"/>
          <w:b w:val="0"/>
        </w:rPr>
        <w:t>. ‘</w:t>
      </w:r>
      <w:r w:rsidRPr="00BE2849">
        <w:rPr>
          <w:rFonts w:cs="Times New Roman"/>
          <w:b w:val="0"/>
        </w:rPr>
        <w:t>Too big to fail in financial crisis: motives, countermeasures and prospects’</w:t>
      </w:r>
      <w:r w:rsidRPr="00A02E4F">
        <w:rPr>
          <w:rFonts w:cs="Times New Roman"/>
          <w:b w:val="0"/>
        </w:rPr>
        <w:t>, 18.</w:t>
      </w:r>
    </w:p>
  </w:footnote>
  <w:footnote w:id="148">
    <w:p w14:paraId="3DE2BCA4" w14:textId="36E9E355" w:rsidR="004A5F49" w:rsidRPr="00BE2849" w:rsidRDefault="004A5F49" w:rsidP="00BE2849">
      <w:pPr>
        <w:pStyle w:val="FootnoteText"/>
        <w:spacing w:line="360" w:lineRule="auto"/>
        <w:rPr>
          <w:rFonts w:cs="Times New Roman"/>
          <w:b w:val="0"/>
        </w:rPr>
      </w:pPr>
      <w:r w:rsidRPr="00A02E4F">
        <w:rPr>
          <w:rStyle w:val="FootnoteReference"/>
          <w:rFonts w:cs="Times New Roman"/>
        </w:rPr>
        <w:footnoteRef/>
      </w:r>
      <w:r>
        <w:rPr>
          <w:rFonts w:cs="Times New Roman"/>
          <w:b w:val="0"/>
        </w:rPr>
        <w:t xml:space="preserve"> </w:t>
      </w:r>
      <w:proofErr w:type="spellStart"/>
      <w:r w:rsidRPr="00A02E4F">
        <w:rPr>
          <w:rFonts w:cs="Times New Roman"/>
          <w:b w:val="0"/>
        </w:rPr>
        <w:t>Buiter</w:t>
      </w:r>
      <w:proofErr w:type="spellEnd"/>
      <w:r>
        <w:rPr>
          <w:rFonts w:cs="Times New Roman"/>
          <w:b w:val="0"/>
        </w:rPr>
        <w:t xml:space="preserve"> W</w:t>
      </w:r>
      <w:r w:rsidRPr="00A02E4F">
        <w:rPr>
          <w:rFonts w:cs="Times New Roman"/>
          <w:b w:val="0"/>
        </w:rPr>
        <w:t>, ‘</w:t>
      </w:r>
      <w:r w:rsidRPr="00BE2849">
        <w:rPr>
          <w:rFonts w:cs="Times New Roman"/>
          <w:b w:val="0"/>
        </w:rPr>
        <w:t>Too big to fail is too big,’ The Financial Times, 24 June 2009, 5.</w:t>
      </w:r>
    </w:p>
  </w:footnote>
  <w:footnote w:id="149">
    <w:p w14:paraId="3E6BA93C" w14:textId="1EB62234" w:rsidR="004A5F49" w:rsidRPr="00BE2849" w:rsidRDefault="004A5F49" w:rsidP="00BE2849">
      <w:pPr>
        <w:pStyle w:val="FootnoteText"/>
        <w:spacing w:line="360" w:lineRule="auto"/>
        <w:rPr>
          <w:rFonts w:cs="Times New Roman"/>
          <w:b w:val="0"/>
        </w:rPr>
      </w:pPr>
      <w:r w:rsidRPr="00BE2849">
        <w:rPr>
          <w:rStyle w:val="FootnoteReference"/>
          <w:rFonts w:cs="Times New Roman"/>
        </w:rPr>
        <w:footnoteRef/>
      </w:r>
      <w:r w:rsidRPr="00BE2849">
        <w:rPr>
          <w:rFonts w:cs="Times New Roman"/>
          <w:b w:val="0"/>
        </w:rPr>
        <w:t xml:space="preserve"> </w:t>
      </w:r>
      <w:proofErr w:type="spellStart"/>
      <w:r w:rsidRPr="00BE2849">
        <w:rPr>
          <w:rFonts w:cs="Times New Roman"/>
          <w:b w:val="0"/>
        </w:rPr>
        <w:t>Buiter</w:t>
      </w:r>
      <w:proofErr w:type="spellEnd"/>
      <w:r w:rsidRPr="00BE2849">
        <w:rPr>
          <w:rFonts w:cs="Times New Roman"/>
          <w:b w:val="0"/>
        </w:rPr>
        <w:t xml:space="preserve"> W, ‘Too big to fail is too big,’ The Financial Times, 24 June 2009, 7.</w:t>
      </w:r>
    </w:p>
  </w:footnote>
  <w:footnote w:id="150">
    <w:p w14:paraId="337B56E4" w14:textId="063D581A" w:rsidR="004A5F49" w:rsidRPr="00F72A13" w:rsidRDefault="004A5F49" w:rsidP="00F72A13">
      <w:pPr>
        <w:pStyle w:val="FootnoteText"/>
        <w:spacing w:line="276" w:lineRule="auto"/>
        <w:jc w:val="left"/>
        <w:rPr>
          <w:rFonts w:cs="Times New Roman"/>
          <w:b w:val="0"/>
        </w:rPr>
      </w:pPr>
      <w:r>
        <w:rPr>
          <w:rStyle w:val="FootnoteReference"/>
        </w:rPr>
        <w:footnoteRef/>
      </w:r>
      <w:r>
        <w:t xml:space="preserve"> </w:t>
      </w:r>
      <w:proofErr w:type="spellStart"/>
      <w:r w:rsidRPr="00866905">
        <w:rPr>
          <w:rFonts w:cs="Times New Roman"/>
          <w:b w:val="0"/>
        </w:rPr>
        <w:t>Corton</w:t>
      </w:r>
      <w:proofErr w:type="spellEnd"/>
      <w:r w:rsidRPr="00866905">
        <w:rPr>
          <w:rFonts w:cs="Times New Roman"/>
          <w:b w:val="0"/>
        </w:rPr>
        <w:t xml:space="preserve"> G and </w:t>
      </w:r>
      <w:proofErr w:type="spellStart"/>
      <w:r w:rsidRPr="00866905">
        <w:rPr>
          <w:rFonts w:cs="Times New Roman"/>
          <w:b w:val="0"/>
        </w:rPr>
        <w:t>Santommero</w:t>
      </w:r>
      <w:proofErr w:type="spellEnd"/>
      <w:r w:rsidRPr="00866905">
        <w:rPr>
          <w:rFonts w:cs="Times New Roman"/>
          <w:b w:val="0"/>
        </w:rPr>
        <w:t xml:space="preserve"> A, ‘Market discipline and bank subordinated debt.’ </w:t>
      </w:r>
      <w:r>
        <w:rPr>
          <w:rFonts w:cs="Times New Roman"/>
          <w:b w:val="0"/>
        </w:rPr>
        <w:t>121</w:t>
      </w:r>
      <w:r w:rsidRPr="00866905">
        <w:rPr>
          <w:rFonts w:cs="Times New Roman"/>
          <w:b w:val="0"/>
        </w:rPr>
        <w:t>.</w:t>
      </w:r>
    </w:p>
  </w:footnote>
  <w:footnote w:id="151">
    <w:p w14:paraId="43482B7A" w14:textId="130B8279" w:rsidR="004A5F49" w:rsidRPr="00BE2849" w:rsidRDefault="004A5F49" w:rsidP="00BE2849">
      <w:pPr>
        <w:pStyle w:val="FootnoteText"/>
        <w:spacing w:line="360" w:lineRule="auto"/>
        <w:rPr>
          <w:rFonts w:cs="Times New Roman"/>
        </w:rPr>
      </w:pPr>
      <w:r w:rsidRPr="00BE2849">
        <w:rPr>
          <w:rStyle w:val="FootnoteReference"/>
          <w:rFonts w:cs="Times New Roman"/>
        </w:rPr>
        <w:footnoteRef/>
      </w:r>
      <w:r w:rsidRPr="00BE2849">
        <w:rPr>
          <w:rFonts w:cs="Times New Roman"/>
          <w:b w:val="0"/>
        </w:rPr>
        <w:t xml:space="preserve"> Shull B, ‘Too big to fail in financial crisis: motives, countermeasures and prospects’ 20.</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C5844"/>
    <w:multiLevelType w:val="hybridMultilevel"/>
    <w:tmpl w:val="ED1AA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E2CC0"/>
    <w:multiLevelType w:val="multilevel"/>
    <w:tmpl w:val="D1EE2F84"/>
    <w:lvl w:ilvl="0">
      <w:start w:val="1"/>
      <w:numFmt w:val="lowerLetter"/>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4572DFB"/>
    <w:multiLevelType w:val="hybridMultilevel"/>
    <w:tmpl w:val="ED1AA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851298"/>
    <w:multiLevelType w:val="multilevel"/>
    <w:tmpl w:val="A42A8E94"/>
    <w:lvl w:ilvl="0">
      <w:start w:val="5"/>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4" w15:restartNumberingAfterBreak="0">
    <w:nsid w:val="05CB608C"/>
    <w:multiLevelType w:val="hybridMultilevel"/>
    <w:tmpl w:val="DF16E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7E4D79"/>
    <w:multiLevelType w:val="hybridMultilevel"/>
    <w:tmpl w:val="7B1E8998"/>
    <w:lvl w:ilvl="0" w:tplc="FFD40C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C37084"/>
    <w:multiLevelType w:val="hybridMultilevel"/>
    <w:tmpl w:val="BCCC5F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30B3C"/>
    <w:multiLevelType w:val="multilevel"/>
    <w:tmpl w:val="5F40A382"/>
    <w:lvl w:ilvl="0">
      <w:start w:val="6"/>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8" w15:restartNumberingAfterBreak="0">
    <w:nsid w:val="0B8A598D"/>
    <w:multiLevelType w:val="hybridMultilevel"/>
    <w:tmpl w:val="FFD4F680"/>
    <w:lvl w:ilvl="0" w:tplc="2106644E">
      <w:start w:val="1"/>
      <w:numFmt w:val="lowerRoman"/>
      <w:lvlText w:val="%1."/>
      <w:lvlJc w:val="left"/>
      <w:pPr>
        <w:ind w:left="1080" w:hanging="720"/>
      </w:pPr>
      <w:rPr>
        <w:rFonts w:hint="default"/>
      </w:rPr>
    </w:lvl>
    <w:lvl w:ilvl="1" w:tplc="27F2C3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C2558C"/>
    <w:multiLevelType w:val="hybridMultilevel"/>
    <w:tmpl w:val="A8DA25CC"/>
    <w:lvl w:ilvl="0" w:tplc="04090019">
      <w:start w:val="1"/>
      <w:numFmt w:val="lowerLetter"/>
      <w:lvlText w:val="%1."/>
      <w:lvlJc w:val="left"/>
      <w:pPr>
        <w:ind w:left="720" w:hanging="360"/>
      </w:pPr>
      <w:rPr>
        <w:rFonts w:hint="default"/>
      </w:rPr>
    </w:lvl>
    <w:lvl w:ilvl="1" w:tplc="77D46D76">
      <w:start w:val="1"/>
      <w:numFmt w:val="decimal"/>
      <w:lvlText w:val="%2."/>
      <w:lvlJc w:val="left"/>
      <w:pPr>
        <w:ind w:left="720" w:hanging="360"/>
      </w:pPr>
      <w:rPr>
        <w:rFonts w:ascii="Times New Roman" w:eastAsiaTheme="minorEastAsia" w:hAnsi="Times New Roman" w:cstheme="minorBidi"/>
      </w:rPr>
    </w:lvl>
    <w:lvl w:ilvl="2" w:tplc="DD84CFD8">
      <w:start w:val="1"/>
      <w:numFmt w:val="decimal"/>
      <w:lvlText w:val="%3."/>
      <w:lvlJc w:val="left"/>
      <w:pPr>
        <w:ind w:left="72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D70677"/>
    <w:multiLevelType w:val="multilevel"/>
    <w:tmpl w:val="503ED6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0C75EC3"/>
    <w:multiLevelType w:val="hybridMultilevel"/>
    <w:tmpl w:val="76A413B6"/>
    <w:lvl w:ilvl="0" w:tplc="93D4D1D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B260C9"/>
    <w:multiLevelType w:val="hybridMultilevel"/>
    <w:tmpl w:val="A8DA25CC"/>
    <w:lvl w:ilvl="0" w:tplc="04090019">
      <w:start w:val="1"/>
      <w:numFmt w:val="lowerLetter"/>
      <w:lvlText w:val="%1."/>
      <w:lvlJc w:val="left"/>
      <w:pPr>
        <w:ind w:left="720" w:hanging="360"/>
      </w:pPr>
      <w:rPr>
        <w:rFonts w:hint="default"/>
      </w:rPr>
    </w:lvl>
    <w:lvl w:ilvl="1" w:tplc="77D46D76">
      <w:start w:val="1"/>
      <w:numFmt w:val="decimal"/>
      <w:lvlText w:val="%2."/>
      <w:lvlJc w:val="left"/>
      <w:pPr>
        <w:ind w:left="720" w:hanging="360"/>
      </w:pPr>
      <w:rPr>
        <w:rFonts w:ascii="Times New Roman" w:eastAsiaTheme="minorEastAsia" w:hAnsi="Times New Roman" w:cstheme="minorBidi"/>
      </w:rPr>
    </w:lvl>
    <w:lvl w:ilvl="2" w:tplc="DD84CFD8">
      <w:start w:val="1"/>
      <w:numFmt w:val="decimal"/>
      <w:lvlText w:val="%3."/>
      <w:lvlJc w:val="left"/>
      <w:pPr>
        <w:ind w:left="72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BF2034"/>
    <w:multiLevelType w:val="multilevel"/>
    <w:tmpl w:val="F372F9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95A585C"/>
    <w:multiLevelType w:val="multilevel"/>
    <w:tmpl w:val="078A777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F301C3D"/>
    <w:multiLevelType w:val="hybridMultilevel"/>
    <w:tmpl w:val="1354EF1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DC5856"/>
    <w:multiLevelType w:val="hybridMultilevel"/>
    <w:tmpl w:val="846820C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0E07BC"/>
    <w:multiLevelType w:val="multilevel"/>
    <w:tmpl w:val="5F40A382"/>
    <w:lvl w:ilvl="0">
      <w:start w:val="6"/>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18" w15:restartNumberingAfterBreak="0">
    <w:nsid w:val="32C44497"/>
    <w:multiLevelType w:val="hybridMultilevel"/>
    <w:tmpl w:val="97F2CE7C"/>
    <w:lvl w:ilvl="0" w:tplc="98C2B9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FE102A"/>
    <w:multiLevelType w:val="hybridMultilevel"/>
    <w:tmpl w:val="A8DA25CC"/>
    <w:lvl w:ilvl="0" w:tplc="04090019">
      <w:start w:val="1"/>
      <w:numFmt w:val="lowerLetter"/>
      <w:lvlText w:val="%1."/>
      <w:lvlJc w:val="left"/>
      <w:pPr>
        <w:ind w:left="720" w:hanging="360"/>
      </w:pPr>
      <w:rPr>
        <w:rFonts w:hint="default"/>
      </w:rPr>
    </w:lvl>
    <w:lvl w:ilvl="1" w:tplc="77D46D76">
      <w:start w:val="1"/>
      <w:numFmt w:val="decimal"/>
      <w:lvlText w:val="%2."/>
      <w:lvlJc w:val="left"/>
      <w:pPr>
        <w:ind w:left="720" w:hanging="360"/>
      </w:pPr>
      <w:rPr>
        <w:rFonts w:ascii="Times New Roman" w:eastAsiaTheme="minorEastAsia" w:hAnsi="Times New Roman" w:cstheme="minorBidi"/>
      </w:rPr>
    </w:lvl>
    <w:lvl w:ilvl="2" w:tplc="DD84CFD8">
      <w:start w:val="1"/>
      <w:numFmt w:val="decimal"/>
      <w:lvlText w:val="%3."/>
      <w:lvlJc w:val="left"/>
      <w:pPr>
        <w:ind w:left="72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357B27"/>
    <w:multiLevelType w:val="hybridMultilevel"/>
    <w:tmpl w:val="BE600C5A"/>
    <w:lvl w:ilvl="0" w:tplc="618CA62E">
      <w:start w:val="1"/>
      <w:numFmt w:val="decimal"/>
      <w:lvlText w:val="%1."/>
      <w:lvlJc w:val="left"/>
      <w:pPr>
        <w:ind w:left="720" w:hanging="360"/>
      </w:pPr>
      <w:rPr>
        <w:rFonts w:hint="default"/>
      </w:rPr>
    </w:lvl>
    <w:lvl w:ilvl="1" w:tplc="04090019">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1" w15:restartNumberingAfterBreak="0">
    <w:nsid w:val="3BAA3B38"/>
    <w:multiLevelType w:val="hybridMultilevel"/>
    <w:tmpl w:val="2932F1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E56E36"/>
    <w:multiLevelType w:val="multilevel"/>
    <w:tmpl w:val="BF8CD164"/>
    <w:lvl w:ilvl="0">
      <w:start w:val="5"/>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23" w15:restartNumberingAfterBreak="0">
    <w:nsid w:val="3D67622B"/>
    <w:multiLevelType w:val="hybridMultilevel"/>
    <w:tmpl w:val="9B44F4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851C5A"/>
    <w:multiLevelType w:val="hybridMultilevel"/>
    <w:tmpl w:val="A78E8F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C3504B"/>
    <w:multiLevelType w:val="multilevel"/>
    <w:tmpl w:val="1318CFA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6560377"/>
    <w:multiLevelType w:val="multilevel"/>
    <w:tmpl w:val="5F40A382"/>
    <w:lvl w:ilvl="0">
      <w:start w:val="6"/>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27" w15:restartNumberingAfterBreak="0">
    <w:nsid w:val="46752C9A"/>
    <w:multiLevelType w:val="multilevel"/>
    <w:tmpl w:val="74D6C254"/>
    <w:lvl w:ilvl="0">
      <w:start w:val="1"/>
      <w:numFmt w:val="decimal"/>
      <w:lvlText w:val="%1"/>
      <w:lvlJc w:val="left"/>
      <w:pPr>
        <w:ind w:left="420" w:hanging="420"/>
      </w:pPr>
      <w:rPr>
        <w:rFonts w:hint="default"/>
      </w:rPr>
    </w:lvl>
    <w:lvl w:ilvl="1">
      <w:start w:val="10"/>
      <w:numFmt w:val="decimal"/>
      <w:lvlText w:val="%1.%2"/>
      <w:lvlJc w:val="left"/>
      <w:pPr>
        <w:ind w:left="480" w:hanging="4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28" w15:restartNumberingAfterBreak="0">
    <w:nsid w:val="49410A1C"/>
    <w:multiLevelType w:val="hybridMultilevel"/>
    <w:tmpl w:val="F30005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CF521FF"/>
    <w:multiLevelType w:val="hybridMultilevel"/>
    <w:tmpl w:val="3D4CF7C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905160"/>
    <w:multiLevelType w:val="multilevel"/>
    <w:tmpl w:val="BF8CD164"/>
    <w:lvl w:ilvl="0">
      <w:start w:val="5"/>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31" w15:restartNumberingAfterBreak="0">
    <w:nsid w:val="521B2910"/>
    <w:multiLevelType w:val="hybridMultilevel"/>
    <w:tmpl w:val="3168CCA2"/>
    <w:lvl w:ilvl="0" w:tplc="02283202">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F166AE"/>
    <w:multiLevelType w:val="hybridMultilevel"/>
    <w:tmpl w:val="26B2D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D33C7C"/>
    <w:multiLevelType w:val="multilevel"/>
    <w:tmpl w:val="20AA8BAC"/>
    <w:lvl w:ilvl="0">
      <w:start w:val="3"/>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5F534F3B"/>
    <w:multiLevelType w:val="multilevel"/>
    <w:tmpl w:val="B150D00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0A55629"/>
    <w:multiLevelType w:val="hybridMultilevel"/>
    <w:tmpl w:val="C05C10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CC2123"/>
    <w:multiLevelType w:val="multilevel"/>
    <w:tmpl w:val="5F40A382"/>
    <w:lvl w:ilvl="0">
      <w:start w:val="6"/>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37" w15:restartNumberingAfterBreak="0">
    <w:nsid w:val="65AD64DF"/>
    <w:multiLevelType w:val="hybridMultilevel"/>
    <w:tmpl w:val="FF5CFA0E"/>
    <w:lvl w:ilvl="0" w:tplc="77D46D76">
      <w:start w:val="1"/>
      <w:numFmt w:val="decimal"/>
      <w:lvlText w:val="%1."/>
      <w:lvlJc w:val="left"/>
      <w:pPr>
        <w:ind w:left="720" w:hanging="360"/>
      </w:pPr>
      <w:rPr>
        <w:rFonts w:ascii="Times New Roman" w:eastAsiaTheme="minorEastAsia"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5F18DD"/>
    <w:multiLevelType w:val="hybridMultilevel"/>
    <w:tmpl w:val="D5D85D4A"/>
    <w:lvl w:ilvl="0" w:tplc="FC88BAAC">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9" w15:restartNumberingAfterBreak="0">
    <w:nsid w:val="6B2B28B0"/>
    <w:multiLevelType w:val="hybridMultilevel"/>
    <w:tmpl w:val="ED4623B8"/>
    <w:lvl w:ilvl="0" w:tplc="FC446B16">
      <w:start w:val="1"/>
      <w:numFmt w:val="lowerLetter"/>
      <w:lvlText w:val="%1."/>
      <w:lvlJc w:val="left"/>
      <w:pPr>
        <w:ind w:left="1080" w:hanging="360"/>
      </w:pPr>
      <w:rPr>
        <w:rFonts w:hint="default"/>
      </w:rPr>
    </w:lvl>
    <w:lvl w:ilvl="1" w:tplc="0409000F">
      <w:start w:val="1"/>
      <w:numFmt w:val="decimal"/>
      <w:lvlText w:val="%2."/>
      <w:lvlJc w:val="left"/>
      <w:pPr>
        <w:ind w:left="99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CA846B8"/>
    <w:multiLevelType w:val="hybridMultilevel"/>
    <w:tmpl w:val="1354EF1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B773A3"/>
    <w:multiLevelType w:val="hybridMultilevel"/>
    <w:tmpl w:val="E71CCB2C"/>
    <w:lvl w:ilvl="0" w:tplc="77D46D76">
      <w:start w:val="1"/>
      <w:numFmt w:val="decimal"/>
      <w:lvlText w:val="%1."/>
      <w:lvlJc w:val="left"/>
      <w:pPr>
        <w:ind w:left="720" w:hanging="360"/>
      </w:pPr>
      <w:rPr>
        <w:rFonts w:ascii="Times New Roman" w:eastAsiaTheme="minorEastAsia"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573D5C"/>
    <w:multiLevelType w:val="hybridMultilevel"/>
    <w:tmpl w:val="1354EF1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0E57B8"/>
    <w:multiLevelType w:val="hybridMultilevel"/>
    <w:tmpl w:val="1354EF1C"/>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A4C7F01"/>
    <w:multiLevelType w:val="hybridMultilevel"/>
    <w:tmpl w:val="411A1488"/>
    <w:lvl w:ilvl="0" w:tplc="DD84CF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1F37B8"/>
    <w:multiLevelType w:val="hybridMultilevel"/>
    <w:tmpl w:val="ACE6A77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C6B6BB2"/>
    <w:multiLevelType w:val="hybridMultilevel"/>
    <w:tmpl w:val="BE600C5A"/>
    <w:lvl w:ilvl="0" w:tplc="618CA62E">
      <w:start w:val="1"/>
      <w:numFmt w:val="decimal"/>
      <w:lvlText w:val="%1."/>
      <w:lvlJc w:val="left"/>
      <w:pPr>
        <w:ind w:left="72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47" w15:restartNumberingAfterBreak="0">
    <w:nsid w:val="7E4A2820"/>
    <w:multiLevelType w:val="hybridMultilevel"/>
    <w:tmpl w:val="59325656"/>
    <w:lvl w:ilvl="0" w:tplc="04090019">
      <w:start w:val="1"/>
      <w:numFmt w:val="low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FE2C7F"/>
    <w:multiLevelType w:val="multilevel"/>
    <w:tmpl w:val="B150D00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10"/>
  </w:num>
  <w:num w:numId="3">
    <w:abstractNumId w:val="13"/>
  </w:num>
  <w:num w:numId="4">
    <w:abstractNumId w:val="43"/>
  </w:num>
  <w:num w:numId="5">
    <w:abstractNumId w:val="27"/>
  </w:num>
  <w:num w:numId="6">
    <w:abstractNumId w:val="47"/>
  </w:num>
  <w:num w:numId="7">
    <w:abstractNumId w:val="16"/>
  </w:num>
  <w:num w:numId="8">
    <w:abstractNumId w:val="20"/>
  </w:num>
  <w:num w:numId="9">
    <w:abstractNumId w:val="9"/>
  </w:num>
  <w:num w:numId="10">
    <w:abstractNumId w:val="3"/>
  </w:num>
  <w:num w:numId="11">
    <w:abstractNumId w:val="18"/>
  </w:num>
  <w:num w:numId="12">
    <w:abstractNumId w:val="39"/>
  </w:num>
  <w:num w:numId="13">
    <w:abstractNumId w:val="8"/>
  </w:num>
  <w:num w:numId="14">
    <w:abstractNumId w:val="24"/>
  </w:num>
  <w:num w:numId="15">
    <w:abstractNumId w:val="44"/>
  </w:num>
  <w:num w:numId="16">
    <w:abstractNumId w:val="5"/>
  </w:num>
  <w:num w:numId="17">
    <w:abstractNumId w:val="23"/>
  </w:num>
  <w:num w:numId="18">
    <w:abstractNumId w:val="30"/>
  </w:num>
  <w:num w:numId="19">
    <w:abstractNumId w:val="17"/>
  </w:num>
  <w:num w:numId="20">
    <w:abstractNumId w:val="12"/>
  </w:num>
  <w:num w:numId="21">
    <w:abstractNumId w:val="41"/>
  </w:num>
  <w:num w:numId="22">
    <w:abstractNumId w:val="34"/>
  </w:num>
  <w:num w:numId="23">
    <w:abstractNumId w:val="48"/>
  </w:num>
  <w:num w:numId="24">
    <w:abstractNumId w:val="6"/>
  </w:num>
  <w:num w:numId="25">
    <w:abstractNumId w:val="4"/>
  </w:num>
  <w:num w:numId="26">
    <w:abstractNumId w:val="32"/>
  </w:num>
  <w:num w:numId="27">
    <w:abstractNumId w:val="35"/>
  </w:num>
  <w:num w:numId="28">
    <w:abstractNumId w:val="26"/>
  </w:num>
  <w:num w:numId="29">
    <w:abstractNumId w:val="19"/>
  </w:num>
  <w:num w:numId="30">
    <w:abstractNumId w:val="7"/>
  </w:num>
  <w:num w:numId="31">
    <w:abstractNumId w:val="36"/>
  </w:num>
  <w:num w:numId="32">
    <w:abstractNumId w:val="25"/>
  </w:num>
  <w:num w:numId="33">
    <w:abstractNumId w:val="38"/>
  </w:num>
  <w:num w:numId="34">
    <w:abstractNumId w:val="46"/>
  </w:num>
  <w:num w:numId="35">
    <w:abstractNumId w:val="0"/>
  </w:num>
  <w:num w:numId="36">
    <w:abstractNumId w:val="37"/>
  </w:num>
  <w:num w:numId="37">
    <w:abstractNumId w:val="14"/>
  </w:num>
  <w:num w:numId="38">
    <w:abstractNumId w:val="31"/>
  </w:num>
  <w:num w:numId="39">
    <w:abstractNumId w:val="29"/>
  </w:num>
  <w:num w:numId="40">
    <w:abstractNumId w:val="2"/>
  </w:num>
  <w:num w:numId="41">
    <w:abstractNumId w:val="11"/>
  </w:num>
  <w:num w:numId="42">
    <w:abstractNumId w:val="21"/>
  </w:num>
  <w:num w:numId="43">
    <w:abstractNumId w:val="45"/>
  </w:num>
  <w:num w:numId="44">
    <w:abstractNumId w:val="28"/>
  </w:num>
  <w:num w:numId="45">
    <w:abstractNumId w:val="33"/>
  </w:num>
  <w:num w:numId="46">
    <w:abstractNumId w:val="22"/>
  </w:num>
  <w:num w:numId="47">
    <w:abstractNumId w:val="42"/>
  </w:num>
  <w:num w:numId="48">
    <w:abstractNumId w:val="15"/>
  </w:num>
  <w:num w:numId="49">
    <w:abstractNumId w:val="4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3D2"/>
    <w:rsid w:val="000019ED"/>
    <w:rsid w:val="00010732"/>
    <w:rsid w:val="0001555D"/>
    <w:rsid w:val="00015592"/>
    <w:rsid w:val="000157A3"/>
    <w:rsid w:val="00022A9A"/>
    <w:rsid w:val="00031B4B"/>
    <w:rsid w:val="00032993"/>
    <w:rsid w:val="00034EB0"/>
    <w:rsid w:val="00040DAD"/>
    <w:rsid w:val="0005128B"/>
    <w:rsid w:val="00055223"/>
    <w:rsid w:val="000554B6"/>
    <w:rsid w:val="00057597"/>
    <w:rsid w:val="00057A52"/>
    <w:rsid w:val="00063BFA"/>
    <w:rsid w:val="00064A5F"/>
    <w:rsid w:val="00064D0F"/>
    <w:rsid w:val="00067A34"/>
    <w:rsid w:val="000840D6"/>
    <w:rsid w:val="00084407"/>
    <w:rsid w:val="000969CA"/>
    <w:rsid w:val="00096C6A"/>
    <w:rsid w:val="000B65FE"/>
    <w:rsid w:val="000C23C9"/>
    <w:rsid w:val="000D4AD6"/>
    <w:rsid w:val="000D6051"/>
    <w:rsid w:val="000E6F94"/>
    <w:rsid w:val="0010640F"/>
    <w:rsid w:val="00110954"/>
    <w:rsid w:val="001125F7"/>
    <w:rsid w:val="00112E3D"/>
    <w:rsid w:val="00115EB0"/>
    <w:rsid w:val="0011631D"/>
    <w:rsid w:val="00117E34"/>
    <w:rsid w:val="00121A4E"/>
    <w:rsid w:val="001270BE"/>
    <w:rsid w:val="001436A1"/>
    <w:rsid w:val="001458E5"/>
    <w:rsid w:val="00161E5F"/>
    <w:rsid w:val="00182E55"/>
    <w:rsid w:val="001A09BA"/>
    <w:rsid w:val="001A6CD9"/>
    <w:rsid w:val="001B3772"/>
    <w:rsid w:val="001D0EBB"/>
    <w:rsid w:val="001D6015"/>
    <w:rsid w:val="001D6B03"/>
    <w:rsid w:val="001E27F0"/>
    <w:rsid w:val="001F308F"/>
    <w:rsid w:val="002036A3"/>
    <w:rsid w:val="00207F45"/>
    <w:rsid w:val="00221450"/>
    <w:rsid w:val="002220DA"/>
    <w:rsid w:val="00223DBD"/>
    <w:rsid w:val="00224481"/>
    <w:rsid w:val="0022690E"/>
    <w:rsid w:val="00226AC1"/>
    <w:rsid w:val="0024149F"/>
    <w:rsid w:val="00251BC5"/>
    <w:rsid w:val="002646DC"/>
    <w:rsid w:val="00284AFD"/>
    <w:rsid w:val="00286E38"/>
    <w:rsid w:val="002A4AB4"/>
    <w:rsid w:val="002B423A"/>
    <w:rsid w:val="002B4407"/>
    <w:rsid w:val="002B4A45"/>
    <w:rsid w:val="002C0249"/>
    <w:rsid w:val="002C4B88"/>
    <w:rsid w:val="002D41E5"/>
    <w:rsid w:val="002D621A"/>
    <w:rsid w:val="002D7780"/>
    <w:rsid w:val="002E0EB7"/>
    <w:rsid w:val="002E5F4B"/>
    <w:rsid w:val="002E6639"/>
    <w:rsid w:val="002E70A1"/>
    <w:rsid w:val="002F0BD3"/>
    <w:rsid w:val="002F5637"/>
    <w:rsid w:val="00304C4E"/>
    <w:rsid w:val="00304D15"/>
    <w:rsid w:val="00305B25"/>
    <w:rsid w:val="00313B34"/>
    <w:rsid w:val="0031528F"/>
    <w:rsid w:val="003179E3"/>
    <w:rsid w:val="00317D09"/>
    <w:rsid w:val="003206CA"/>
    <w:rsid w:val="0032188B"/>
    <w:rsid w:val="0034128A"/>
    <w:rsid w:val="00342EF5"/>
    <w:rsid w:val="00346AF8"/>
    <w:rsid w:val="00351D3A"/>
    <w:rsid w:val="003607B2"/>
    <w:rsid w:val="003670D5"/>
    <w:rsid w:val="00372FBE"/>
    <w:rsid w:val="0037386E"/>
    <w:rsid w:val="003760C6"/>
    <w:rsid w:val="00383C01"/>
    <w:rsid w:val="003A6CAF"/>
    <w:rsid w:val="003B4AC5"/>
    <w:rsid w:val="003B56A8"/>
    <w:rsid w:val="003C03FB"/>
    <w:rsid w:val="003C5763"/>
    <w:rsid w:val="003D3E8A"/>
    <w:rsid w:val="003E733D"/>
    <w:rsid w:val="003F3747"/>
    <w:rsid w:val="00413B5D"/>
    <w:rsid w:val="004200FF"/>
    <w:rsid w:val="0042249F"/>
    <w:rsid w:val="0043298A"/>
    <w:rsid w:val="00465DE0"/>
    <w:rsid w:val="0048080C"/>
    <w:rsid w:val="00483C9A"/>
    <w:rsid w:val="004A026C"/>
    <w:rsid w:val="004A02DC"/>
    <w:rsid w:val="004A5F49"/>
    <w:rsid w:val="004B36B4"/>
    <w:rsid w:val="004B4D72"/>
    <w:rsid w:val="004B59E0"/>
    <w:rsid w:val="004B5E54"/>
    <w:rsid w:val="004B70A7"/>
    <w:rsid w:val="004C62EF"/>
    <w:rsid w:val="004D34D8"/>
    <w:rsid w:val="004E1C57"/>
    <w:rsid w:val="004F304D"/>
    <w:rsid w:val="004F53A5"/>
    <w:rsid w:val="004F7521"/>
    <w:rsid w:val="00513A0B"/>
    <w:rsid w:val="00520D96"/>
    <w:rsid w:val="00521254"/>
    <w:rsid w:val="005354D5"/>
    <w:rsid w:val="0055262C"/>
    <w:rsid w:val="005752BD"/>
    <w:rsid w:val="00576063"/>
    <w:rsid w:val="00586C2A"/>
    <w:rsid w:val="00591F4E"/>
    <w:rsid w:val="005969E4"/>
    <w:rsid w:val="005B66DE"/>
    <w:rsid w:val="005C291D"/>
    <w:rsid w:val="005D3A78"/>
    <w:rsid w:val="005F5360"/>
    <w:rsid w:val="00612715"/>
    <w:rsid w:val="00625D24"/>
    <w:rsid w:val="006354DD"/>
    <w:rsid w:val="00635F22"/>
    <w:rsid w:val="00636AF0"/>
    <w:rsid w:val="00642222"/>
    <w:rsid w:val="006524F4"/>
    <w:rsid w:val="00663821"/>
    <w:rsid w:val="0067009C"/>
    <w:rsid w:val="00680208"/>
    <w:rsid w:val="00681E25"/>
    <w:rsid w:val="0068565D"/>
    <w:rsid w:val="00687633"/>
    <w:rsid w:val="00690BAA"/>
    <w:rsid w:val="00691DFF"/>
    <w:rsid w:val="00692ED7"/>
    <w:rsid w:val="006A35E3"/>
    <w:rsid w:val="006A5DB7"/>
    <w:rsid w:val="006B020A"/>
    <w:rsid w:val="006B38F0"/>
    <w:rsid w:val="006C26CC"/>
    <w:rsid w:val="006D0DF8"/>
    <w:rsid w:val="006D5240"/>
    <w:rsid w:val="006F1A56"/>
    <w:rsid w:val="006F7DFD"/>
    <w:rsid w:val="00700345"/>
    <w:rsid w:val="00714DFE"/>
    <w:rsid w:val="007202E1"/>
    <w:rsid w:val="007235D8"/>
    <w:rsid w:val="00723D83"/>
    <w:rsid w:val="0072437A"/>
    <w:rsid w:val="007321EF"/>
    <w:rsid w:val="00741C43"/>
    <w:rsid w:val="0074353C"/>
    <w:rsid w:val="00743766"/>
    <w:rsid w:val="00767B11"/>
    <w:rsid w:val="0077123F"/>
    <w:rsid w:val="00777BBC"/>
    <w:rsid w:val="00783A0A"/>
    <w:rsid w:val="007852F8"/>
    <w:rsid w:val="00791773"/>
    <w:rsid w:val="007924CB"/>
    <w:rsid w:val="00795954"/>
    <w:rsid w:val="00796584"/>
    <w:rsid w:val="007976C1"/>
    <w:rsid w:val="007B2397"/>
    <w:rsid w:val="007B3ADB"/>
    <w:rsid w:val="007B60E6"/>
    <w:rsid w:val="007D00F4"/>
    <w:rsid w:val="007D1560"/>
    <w:rsid w:val="007D33D2"/>
    <w:rsid w:val="007D5C52"/>
    <w:rsid w:val="007E04A9"/>
    <w:rsid w:val="007E428D"/>
    <w:rsid w:val="007E737C"/>
    <w:rsid w:val="007F5BB0"/>
    <w:rsid w:val="008033ED"/>
    <w:rsid w:val="00817E83"/>
    <w:rsid w:val="008337F5"/>
    <w:rsid w:val="00833F6E"/>
    <w:rsid w:val="008460CC"/>
    <w:rsid w:val="00853C75"/>
    <w:rsid w:val="008546A0"/>
    <w:rsid w:val="008620DD"/>
    <w:rsid w:val="00866905"/>
    <w:rsid w:val="00874D57"/>
    <w:rsid w:val="008810CC"/>
    <w:rsid w:val="00896BD1"/>
    <w:rsid w:val="008A0361"/>
    <w:rsid w:val="008B1B91"/>
    <w:rsid w:val="008C03CC"/>
    <w:rsid w:val="008C18E4"/>
    <w:rsid w:val="008C2ADF"/>
    <w:rsid w:val="008E08FC"/>
    <w:rsid w:val="008E5F7C"/>
    <w:rsid w:val="009014CC"/>
    <w:rsid w:val="00912A2C"/>
    <w:rsid w:val="00915DA3"/>
    <w:rsid w:val="00920248"/>
    <w:rsid w:val="00930E1A"/>
    <w:rsid w:val="00931963"/>
    <w:rsid w:val="00933835"/>
    <w:rsid w:val="00944456"/>
    <w:rsid w:val="00950AA2"/>
    <w:rsid w:val="0095286E"/>
    <w:rsid w:val="009603F8"/>
    <w:rsid w:val="00963758"/>
    <w:rsid w:val="00965C9D"/>
    <w:rsid w:val="009730C6"/>
    <w:rsid w:val="00976DBD"/>
    <w:rsid w:val="009800D0"/>
    <w:rsid w:val="00991F3E"/>
    <w:rsid w:val="00997CA4"/>
    <w:rsid w:val="009C1752"/>
    <w:rsid w:val="009C1E22"/>
    <w:rsid w:val="009C1F73"/>
    <w:rsid w:val="009F463B"/>
    <w:rsid w:val="00A02E4F"/>
    <w:rsid w:val="00A0607C"/>
    <w:rsid w:val="00A121F9"/>
    <w:rsid w:val="00A12758"/>
    <w:rsid w:val="00A27F38"/>
    <w:rsid w:val="00A31927"/>
    <w:rsid w:val="00A350AC"/>
    <w:rsid w:val="00A370A2"/>
    <w:rsid w:val="00A507DE"/>
    <w:rsid w:val="00A627C0"/>
    <w:rsid w:val="00A664BE"/>
    <w:rsid w:val="00A70BD6"/>
    <w:rsid w:val="00A73C53"/>
    <w:rsid w:val="00A84A21"/>
    <w:rsid w:val="00A94126"/>
    <w:rsid w:val="00AA32E2"/>
    <w:rsid w:val="00AA703B"/>
    <w:rsid w:val="00AA7B40"/>
    <w:rsid w:val="00AB4544"/>
    <w:rsid w:val="00AE08C2"/>
    <w:rsid w:val="00AF0453"/>
    <w:rsid w:val="00AF0842"/>
    <w:rsid w:val="00B00A06"/>
    <w:rsid w:val="00B01880"/>
    <w:rsid w:val="00B42697"/>
    <w:rsid w:val="00B441F6"/>
    <w:rsid w:val="00B466E8"/>
    <w:rsid w:val="00B57F21"/>
    <w:rsid w:val="00B652FE"/>
    <w:rsid w:val="00B732BA"/>
    <w:rsid w:val="00B76B6D"/>
    <w:rsid w:val="00B80328"/>
    <w:rsid w:val="00B913C0"/>
    <w:rsid w:val="00B9228C"/>
    <w:rsid w:val="00B939B7"/>
    <w:rsid w:val="00BB3A02"/>
    <w:rsid w:val="00BB3E85"/>
    <w:rsid w:val="00BD3563"/>
    <w:rsid w:val="00BE2849"/>
    <w:rsid w:val="00BF0A4A"/>
    <w:rsid w:val="00C071FC"/>
    <w:rsid w:val="00C115DD"/>
    <w:rsid w:val="00C11D9A"/>
    <w:rsid w:val="00C17161"/>
    <w:rsid w:val="00C25CCC"/>
    <w:rsid w:val="00C26D18"/>
    <w:rsid w:val="00C50CD7"/>
    <w:rsid w:val="00C7001E"/>
    <w:rsid w:val="00C7087B"/>
    <w:rsid w:val="00C75EAD"/>
    <w:rsid w:val="00C7680B"/>
    <w:rsid w:val="00C77110"/>
    <w:rsid w:val="00C77FF3"/>
    <w:rsid w:val="00C94826"/>
    <w:rsid w:val="00CA1995"/>
    <w:rsid w:val="00CA5242"/>
    <w:rsid w:val="00CB09C2"/>
    <w:rsid w:val="00CB0B81"/>
    <w:rsid w:val="00CC400D"/>
    <w:rsid w:val="00CC7644"/>
    <w:rsid w:val="00CD757A"/>
    <w:rsid w:val="00CF3CC4"/>
    <w:rsid w:val="00CF51AE"/>
    <w:rsid w:val="00D1111E"/>
    <w:rsid w:val="00D11213"/>
    <w:rsid w:val="00D17330"/>
    <w:rsid w:val="00D234D8"/>
    <w:rsid w:val="00D237AB"/>
    <w:rsid w:val="00D30FD5"/>
    <w:rsid w:val="00D34627"/>
    <w:rsid w:val="00D40D93"/>
    <w:rsid w:val="00D559C7"/>
    <w:rsid w:val="00D57E54"/>
    <w:rsid w:val="00D655BC"/>
    <w:rsid w:val="00D67E26"/>
    <w:rsid w:val="00D70FCB"/>
    <w:rsid w:val="00D75953"/>
    <w:rsid w:val="00D85FD4"/>
    <w:rsid w:val="00D87408"/>
    <w:rsid w:val="00D902CD"/>
    <w:rsid w:val="00D92BB1"/>
    <w:rsid w:val="00DA3AB3"/>
    <w:rsid w:val="00DA7918"/>
    <w:rsid w:val="00DB2B5C"/>
    <w:rsid w:val="00DC0226"/>
    <w:rsid w:val="00DC5229"/>
    <w:rsid w:val="00DC63F9"/>
    <w:rsid w:val="00DD1240"/>
    <w:rsid w:val="00DF1FDA"/>
    <w:rsid w:val="00DF579B"/>
    <w:rsid w:val="00E01282"/>
    <w:rsid w:val="00E02CE3"/>
    <w:rsid w:val="00E05563"/>
    <w:rsid w:val="00E11193"/>
    <w:rsid w:val="00E24943"/>
    <w:rsid w:val="00E31BF7"/>
    <w:rsid w:val="00E33F96"/>
    <w:rsid w:val="00E35B53"/>
    <w:rsid w:val="00E4138A"/>
    <w:rsid w:val="00E55A98"/>
    <w:rsid w:val="00E612E7"/>
    <w:rsid w:val="00E63D09"/>
    <w:rsid w:val="00E67488"/>
    <w:rsid w:val="00E724F2"/>
    <w:rsid w:val="00E73C2C"/>
    <w:rsid w:val="00E9455F"/>
    <w:rsid w:val="00E976C8"/>
    <w:rsid w:val="00E97978"/>
    <w:rsid w:val="00EB0067"/>
    <w:rsid w:val="00EB563D"/>
    <w:rsid w:val="00EC6C9F"/>
    <w:rsid w:val="00ED0FD9"/>
    <w:rsid w:val="00EE2D9A"/>
    <w:rsid w:val="00EE41F0"/>
    <w:rsid w:val="00EE5A6E"/>
    <w:rsid w:val="00EE6734"/>
    <w:rsid w:val="00EF4D1B"/>
    <w:rsid w:val="00EF59C2"/>
    <w:rsid w:val="00EF69EA"/>
    <w:rsid w:val="00F06CC0"/>
    <w:rsid w:val="00F12884"/>
    <w:rsid w:val="00F12E14"/>
    <w:rsid w:val="00F13600"/>
    <w:rsid w:val="00F32E91"/>
    <w:rsid w:val="00F355C6"/>
    <w:rsid w:val="00F46712"/>
    <w:rsid w:val="00F46B29"/>
    <w:rsid w:val="00F4777D"/>
    <w:rsid w:val="00F56EC4"/>
    <w:rsid w:val="00F57A67"/>
    <w:rsid w:val="00F60EE8"/>
    <w:rsid w:val="00F65284"/>
    <w:rsid w:val="00F70FAC"/>
    <w:rsid w:val="00F72A13"/>
    <w:rsid w:val="00F765BF"/>
    <w:rsid w:val="00F7790D"/>
    <w:rsid w:val="00F83604"/>
    <w:rsid w:val="00FB07EB"/>
    <w:rsid w:val="00FB3678"/>
    <w:rsid w:val="00FB4DD6"/>
    <w:rsid w:val="00FD091F"/>
    <w:rsid w:val="00FD3913"/>
    <w:rsid w:val="00FE6658"/>
    <w:rsid w:val="00FF0CD4"/>
    <w:rsid w:val="00FF155F"/>
    <w:rsid w:val="00FF1765"/>
    <w:rsid w:val="00FF2803"/>
    <w:rsid w:val="00FF4E94"/>
    <w:rsid w:val="00FF6E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8B742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6F94"/>
    <w:pPr>
      <w:spacing w:after="40"/>
      <w:jc w:val="both"/>
    </w:pPr>
    <w:rPr>
      <w:rFonts w:ascii="Times New Roman" w:hAnsi="Times New Roman"/>
      <w:sz w:val="24"/>
    </w:rPr>
  </w:style>
  <w:style w:type="paragraph" w:styleId="Heading1">
    <w:name w:val="heading 1"/>
    <w:basedOn w:val="Normal"/>
    <w:next w:val="Normal"/>
    <w:link w:val="Heading1Char"/>
    <w:uiPriority w:val="9"/>
    <w:qFormat/>
    <w:rsid w:val="00161E5F"/>
    <w:pPr>
      <w:keepNext/>
      <w:keepLines/>
      <w:pageBreakBefore/>
      <w:spacing w:before="120" w:after="0" w:line="360" w:lineRule="auto"/>
      <w:jc w:val="center"/>
      <w:outlineLvl w:val="0"/>
    </w:pPr>
    <w:rPr>
      <w:rFonts w:eastAsiaTheme="majorEastAsia" w:cs="Times New Roman"/>
      <w:b/>
      <w:noProof/>
      <w:color w:val="000000" w:themeColor="text1"/>
      <w:sz w:val="28"/>
      <w:szCs w:val="28"/>
    </w:rPr>
  </w:style>
  <w:style w:type="paragraph" w:styleId="Heading2">
    <w:name w:val="heading 2"/>
    <w:basedOn w:val="Normal"/>
    <w:next w:val="Normal"/>
    <w:link w:val="Heading2Char"/>
    <w:uiPriority w:val="9"/>
    <w:unhideWhenUsed/>
    <w:qFormat/>
    <w:rsid w:val="00161E5F"/>
    <w:pPr>
      <w:keepNext/>
      <w:keepLines/>
      <w:spacing w:before="40" w:after="0" w:line="360" w:lineRule="auto"/>
      <w:jc w:val="left"/>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664BE"/>
    <w:pPr>
      <w:keepNext/>
      <w:keepLines/>
      <w:spacing w:before="40" w:after="0"/>
      <w:outlineLvl w:val="2"/>
    </w:pPr>
    <w:rPr>
      <w:rFonts w:eastAsiaTheme="majorEastAsia" w:cstheme="majorBidi"/>
      <w:color w:val="000000" w:themeColor="text1"/>
      <w:szCs w:val="24"/>
    </w:rPr>
  </w:style>
  <w:style w:type="paragraph" w:styleId="Heading4">
    <w:name w:val="heading 4"/>
    <w:basedOn w:val="Normal"/>
    <w:next w:val="Normal"/>
    <w:link w:val="Heading4Char"/>
    <w:uiPriority w:val="9"/>
    <w:unhideWhenUsed/>
    <w:qFormat/>
    <w:rsid w:val="003B4AC5"/>
    <w:pPr>
      <w:keepNext/>
      <w:keepLines/>
      <w:spacing w:before="40" w:after="0"/>
      <w:outlineLvl w:val="3"/>
    </w:pPr>
    <w:rPr>
      <w:rFonts w:eastAsiaTheme="majorEastAsia" w:cstheme="majorBid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33D2"/>
    <w:rPr>
      <w:color w:val="0000FF"/>
      <w:u w:val="single"/>
    </w:rPr>
  </w:style>
  <w:style w:type="paragraph" w:styleId="FootnoteText">
    <w:name w:val="footnote text"/>
    <w:basedOn w:val="Normal"/>
    <w:link w:val="FootnoteTextChar"/>
    <w:uiPriority w:val="99"/>
    <w:unhideWhenUsed/>
    <w:rsid w:val="007D33D2"/>
    <w:pPr>
      <w:widowControl w:val="0"/>
      <w:suppressAutoHyphens/>
      <w:overflowPunct w:val="0"/>
      <w:autoSpaceDE w:val="0"/>
      <w:autoSpaceDN w:val="0"/>
      <w:spacing w:after="0" w:line="240" w:lineRule="auto"/>
      <w:textAlignment w:val="baseline"/>
    </w:pPr>
    <w:rPr>
      <w:rFonts w:eastAsiaTheme="minorEastAsia"/>
      <w:b/>
      <w:kern w:val="3"/>
      <w:sz w:val="20"/>
      <w:szCs w:val="20"/>
    </w:rPr>
  </w:style>
  <w:style w:type="character" w:customStyle="1" w:styleId="FootnoteTextChar">
    <w:name w:val="Footnote Text Char"/>
    <w:basedOn w:val="DefaultParagraphFont"/>
    <w:link w:val="FootnoteText"/>
    <w:uiPriority w:val="99"/>
    <w:rsid w:val="007D33D2"/>
    <w:rPr>
      <w:rFonts w:ascii="Times New Roman" w:eastAsiaTheme="minorEastAsia" w:hAnsi="Times New Roman"/>
      <w:b/>
      <w:kern w:val="3"/>
      <w:sz w:val="20"/>
      <w:szCs w:val="20"/>
    </w:rPr>
  </w:style>
  <w:style w:type="character" w:styleId="FootnoteReference">
    <w:name w:val="footnote reference"/>
    <w:basedOn w:val="DefaultParagraphFont"/>
    <w:uiPriority w:val="99"/>
    <w:unhideWhenUsed/>
    <w:rsid w:val="007D33D2"/>
    <w:rPr>
      <w:vertAlign w:val="superscript"/>
    </w:rPr>
  </w:style>
  <w:style w:type="character" w:styleId="HTMLCite">
    <w:name w:val="HTML Cite"/>
    <w:basedOn w:val="DefaultParagraphFont"/>
    <w:uiPriority w:val="99"/>
    <w:semiHidden/>
    <w:unhideWhenUsed/>
    <w:rsid w:val="0034128A"/>
    <w:rPr>
      <w:i/>
      <w:iCs/>
    </w:rPr>
  </w:style>
  <w:style w:type="paragraph" w:styleId="NormalWeb">
    <w:name w:val="Normal (Web)"/>
    <w:basedOn w:val="Normal"/>
    <w:uiPriority w:val="99"/>
    <w:unhideWhenUsed/>
    <w:rsid w:val="0034128A"/>
    <w:pPr>
      <w:widowControl w:val="0"/>
      <w:suppressAutoHyphens/>
      <w:overflowPunct w:val="0"/>
      <w:autoSpaceDE w:val="0"/>
      <w:autoSpaceDN w:val="0"/>
      <w:spacing w:after="0" w:line="240" w:lineRule="auto"/>
      <w:textAlignment w:val="baseline"/>
    </w:pPr>
    <w:rPr>
      <w:rFonts w:eastAsiaTheme="minorEastAsia" w:cs="Times New Roman"/>
      <w:b/>
      <w:kern w:val="3"/>
      <w:szCs w:val="24"/>
    </w:rPr>
  </w:style>
  <w:style w:type="paragraph" w:styleId="ListParagraph">
    <w:name w:val="List Paragraph"/>
    <w:basedOn w:val="Normal"/>
    <w:uiPriority w:val="34"/>
    <w:qFormat/>
    <w:rsid w:val="0068565D"/>
    <w:pPr>
      <w:ind w:left="720"/>
      <w:contextualSpacing/>
    </w:pPr>
  </w:style>
  <w:style w:type="character" w:customStyle="1" w:styleId="Heading1Char">
    <w:name w:val="Heading 1 Char"/>
    <w:basedOn w:val="DefaultParagraphFont"/>
    <w:link w:val="Heading1"/>
    <w:uiPriority w:val="9"/>
    <w:rsid w:val="00161E5F"/>
    <w:rPr>
      <w:rFonts w:ascii="Times New Roman" w:eastAsiaTheme="majorEastAsia" w:hAnsi="Times New Roman" w:cs="Times New Roman"/>
      <w:b/>
      <w:noProof/>
      <w:color w:val="000000" w:themeColor="text1"/>
      <w:sz w:val="28"/>
      <w:szCs w:val="28"/>
    </w:rPr>
  </w:style>
  <w:style w:type="character" w:customStyle="1" w:styleId="Heading2Char">
    <w:name w:val="Heading 2 Char"/>
    <w:basedOn w:val="DefaultParagraphFont"/>
    <w:link w:val="Heading2"/>
    <w:uiPriority w:val="9"/>
    <w:rsid w:val="00161E5F"/>
    <w:rPr>
      <w:rFonts w:ascii="Times New Roman" w:eastAsiaTheme="majorEastAsia" w:hAnsi="Times New Roman" w:cstheme="majorBidi"/>
      <w:b/>
      <w:sz w:val="24"/>
      <w:szCs w:val="26"/>
    </w:rPr>
  </w:style>
  <w:style w:type="paragraph" w:styleId="Header">
    <w:name w:val="header"/>
    <w:basedOn w:val="Normal"/>
    <w:link w:val="HeaderChar"/>
    <w:uiPriority w:val="99"/>
    <w:unhideWhenUsed/>
    <w:rsid w:val="00A27F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7F38"/>
  </w:style>
  <w:style w:type="paragraph" w:styleId="Footer">
    <w:name w:val="footer"/>
    <w:basedOn w:val="Normal"/>
    <w:link w:val="FooterChar"/>
    <w:uiPriority w:val="99"/>
    <w:unhideWhenUsed/>
    <w:rsid w:val="00A27F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7F38"/>
  </w:style>
  <w:style w:type="paragraph" w:styleId="TOCHeading">
    <w:name w:val="TOC Heading"/>
    <w:basedOn w:val="Heading1"/>
    <w:next w:val="Normal"/>
    <w:uiPriority w:val="39"/>
    <w:unhideWhenUsed/>
    <w:qFormat/>
    <w:rsid w:val="00777BBC"/>
    <w:pPr>
      <w:pageBreakBefore w:val="0"/>
      <w:spacing w:line="259" w:lineRule="auto"/>
      <w:jc w:val="left"/>
      <w:outlineLvl w:val="9"/>
    </w:pPr>
    <w:rPr>
      <w:rFonts w:asciiTheme="majorHAnsi" w:hAnsiTheme="majorHAnsi"/>
      <w:b w:val="0"/>
      <w:color w:val="2E74B5" w:themeColor="accent1" w:themeShade="BF"/>
      <w:sz w:val="32"/>
    </w:rPr>
  </w:style>
  <w:style w:type="paragraph" w:styleId="TOC2">
    <w:name w:val="toc 2"/>
    <w:basedOn w:val="Normal"/>
    <w:next w:val="Normal"/>
    <w:autoRedefine/>
    <w:uiPriority w:val="39"/>
    <w:unhideWhenUsed/>
    <w:rsid w:val="00777BBC"/>
    <w:pPr>
      <w:spacing w:after="100"/>
      <w:ind w:left="220"/>
    </w:pPr>
    <w:rPr>
      <w:rFonts w:eastAsiaTheme="minorEastAsia" w:cs="Times New Roman"/>
    </w:rPr>
  </w:style>
  <w:style w:type="paragraph" w:styleId="TOC1">
    <w:name w:val="toc 1"/>
    <w:basedOn w:val="Normal"/>
    <w:next w:val="Normal"/>
    <w:autoRedefine/>
    <w:uiPriority w:val="39"/>
    <w:unhideWhenUsed/>
    <w:rsid w:val="007B3ADB"/>
    <w:pPr>
      <w:tabs>
        <w:tab w:val="left" w:pos="720"/>
        <w:tab w:val="right" w:leader="dot" w:pos="9350"/>
      </w:tabs>
      <w:spacing w:after="100"/>
    </w:pPr>
    <w:rPr>
      <w:rFonts w:eastAsiaTheme="majorEastAsia" w:cs="Times New Roman"/>
      <w:b/>
      <w:noProof/>
      <w:kern w:val="3"/>
    </w:rPr>
  </w:style>
  <w:style w:type="paragraph" w:styleId="TOC3">
    <w:name w:val="toc 3"/>
    <w:basedOn w:val="Normal"/>
    <w:next w:val="Normal"/>
    <w:autoRedefine/>
    <w:uiPriority w:val="39"/>
    <w:unhideWhenUsed/>
    <w:rsid w:val="00777BBC"/>
    <w:pPr>
      <w:spacing w:after="100"/>
      <w:ind w:left="440"/>
    </w:pPr>
    <w:rPr>
      <w:rFonts w:eastAsiaTheme="minorEastAsia" w:cs="Times New Roman"/>
    </w:rPr>
  </w:style>
  <w:style w:type="character" w:customStyle="1" w:styleId="Heading3Char">
    <w:name w:val="Heading 3 Char"/>
    <w:basedOn w:val="DefaultParagraphFont"/>
    <w:link w:val="Heading3"/>
    <w:uiPriority w:val="9"/>
    <w:rsid w:val="00A664BE"/>
    <w:rPr>
      <w:rFonts w:ascii="Times New Roman" w:eastAsiaTheme="majorEastAsia" w:hAnsi="Times New Roman" w:cstheme="majorBidi"/>
      <w:color w:val="000000" w:themeColor="text1"/>
      <w:sz w:val="24"/>
      <w:szCs w:val="24"/>
    </w:rPr>
  </w:style>
  <w:style w:type="character" w:customStyle="1" w:styleId="Heading4Char">
    <w:name w:val="Heading 4 Char"/>
    <w:basedOn w:val="DefaultParagraphFont"/>
    <w:link w:val="Heading4"/>
    <w:uiPriority w:val="9"/>
    <w:rsid w:val="003B4AC5"/>
    <w:rPr>
      <w:rFonts w:ascii="Times New Roman" w:eastAsiaTheme="majorEastAsia" w:hAnsi="Times New Roman" w:cstheme="majorBidi"/>
      <w:iCs/>
      <w:color w:val="000000" w:themeColor="text1"/>
      <w:sz w:val="24"/>
    </w:rPr>
  </w:style>
  <w:style w:type="character" w:styleId="FollowedHyperlink">
    <w:name w:val="FollowedHyperlink"/>
    <w:basedOn w:val="DefaultParagraphFont"/>
    <w:uiPriority w:val="99"/>
    <w:semiHidden/>
    <w:unhideWhenUsed/>
    <w:rsid w:val="00A84A21"/>
    <w:rPr>
      <w:color w:val="954F72" w:themeColor="followedHyperlink"/>
      <w:u w:val="single"/>
    </w:rPr>
  </w:style>
  <w:style w:type="paragraph" w:styleId="DocumentMap">
    <w:name w:val="Document Map"/>
    <w:basedOn w:val="Normal"/>
    <w:link w:val="DocumentMapChar"/>
    <w:uiPriority w:val="99"/>
    <w:semiHidden/>
    <w:unhideWhenUsed/>
    <w:rsid w:val="00FF1765"/>
    <w:pPr>
      <w:spacing w:after="0" w:line="240" w:lineRule="auto"/>
    </w:pPr>
    <w:rPr>
      <w:rFonts w:cs="Times New Roman"/>
      <w:szCs w:val="24"/>
    </w:rPr>
  </w:style>
  <w:style w:type="character" w:customStyle="1" w:styleId="DocumentMapChar">
    <w:name w:val="Document Map Char"/>
    <w:basedOn w:val="DefaultParagraphFont"/>
    <w:link w:val="DocumentMap"/>
    <w:uiPriority w:val="99"/>
    <w:semiHidden/>
    <w:rsid w:val="00FF1765"/>
    <w:rPr>
      <w:rFonts w:ascii="Times New Roman" w:hAnsi="Times New Roman" w:cs="Times New Roman"/>
      <w:sz w:val="24"/>
      <w:szCs w:val="24"/>
    </w:rPr>
  </w:style>
  <w:style w:type="table" w:styleId="TableGrid">
    <w:name w:val="Table Grid"/>
    <w:basedOn w:val="TableNormal"/>
    <w:uiPriority w:val="39"/>
    <w:rsid w:val="002B4A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921887">
      <w:bodyDiv w:val="1"/>
      <w:marLeft w:val="0"/>
      <w:marRight w:val="0"/>
      <w:marTop w:val="0"/>
      <w:marBottom w:val="0"/>
      <w:divBdr>
        <w:top w:val="none" w:sz="0" w:space="0" w:color="auto"/>
        <w:left w:val="none" w:sz="0" w:space="0" w:color="auto"/>
        <w:bottom w:val="none" w:sz="0" w:space="0" w:color="auto"/>
        <w:right w:val="none" w:sz="0" w:space="0" w:color="auto"/>
      </w:divBdr>
    </w:div>
    <w:div w:id="337511078">
      <w:bodyDiv w:val="1"/>
      <w:marLeft w:val="0"/>
      <w:marRight w:val="0"/>
      <w:marTop w:val="0"/>
      <w:marBottom w:val="0"/>
      <w:divBdr>
        <w:top w:val="none" w:sz="0" w:space="0" w:color="auto"/>
        <w:left w:val="none" w:sz="0" w:space="0" w:color="auto"/>
        <w:bottom w:val="none" w:sz="0" w:space="0" w:color="auto"/>
        <w:right w:val="none" w:sz="0" w:space="0" w:color="auto"/>
      </w:divBdr>
    </w:div>
    <w:div w:id="1872961213">
      <w:bodyDiv w:val="1"/>
      <w:marLeft w:val="0"/>
      <w:marRight w:val="0"/>
      <w:marTop w:val="0"/>
      <w:marBottom w:val="0"/>
      <w:divBdr>
        <w:top w:val="none" w:sz="0" w:space="0" w:color="auto"/>
        <w:left w:val="none" w:sz="0" w:space="0" w:color="auto"/>
        <w:bottom w:val="none" w:sz="0" w:space="0" w:color="auto"/>
        <w:right w:val="none" w:sz="0" w:space="0" w:color="auto"/>
      </w:divBdr>
      <w:divsChild>
        <w:div w:id="197163868">
          <w:marLeft w:val="0"/>
          <w:marRight w:val="0"/>
          <w:marTop w:val="0"/>
          <w:marBottom w:val="0"/>
          <w:divBdr>
            <w:top w:val="none" w:sz="0" w:space="0" w:color="auto"/>
            <w:left w:val="none" w:sz="0" w:space="0" w:color="auto"/>
            <w:bottom w:val="none" w:sz="0" w:space="0" w:color="auto"/>
            <w:right w:val="none" w:sz="0" w:space="0" w:color="auto"/>
          </w:divBdr>
        </w:div>
        <w:div w:id="228006746">
          <w:marLeft w:val="0"/>
          <w:marRight w:val="0"/>
          <w:marTop w:val="0"/>
          <w:marBottom w:val="0"/>
          <w:divBdr>
            <w:top w:val="none" w:sz="0" w:space="0" w:color="auto"/>
            <w:left w:val="none" w:sz="0" w:space="0" w:color="auto"/>
            <w:bottom w:val="none" w:sz="0" w:space="0" w:color="auto"/>
            <w:right w:val="none" w:sz="0" w:space="0" w:color="auto"/>
          </w:divBdr>
        </w:div>
        <w:div w:id="283081496">
          <w:marLeft w:val="0"/>
          <w:marRight w:val="0"/>
          <w:marTop w:val="0"/>
          <w:marBottom w:val="0"/>
          <w:divBdr>
            <w:top w:val="none" w:sz="0" w:space="0" w:color="auto"/>
            <w:left w:val="none" w:sz="0" w:space="0" w:color="auto"/>
            <w:bottom w:val="none" w:sz="0" w:space="0" w:color="auto"/>
            <w:right w:val="none" w:sz="0" w:space="0" w:color="auto"/>
          </w:divBdr>
        </w:div>
        <w:div w:id="308560856">
          <w:marLeft w:val="0"/>
          <w:marRight w:val="0"/>
          <w:marTop w:val="0"/>
          <w:marBottom w:val="0"/>
          <w:divBdr>
            <w:top w:val="none" w:sz="0" w:space="0" w:color="auto"/>
            <w:left w:val="none" w:sz="0" w:space="0" w:color="auto"/>
            <w:bottom w:val="none" w:sz="0" w:space="0" w:color="auto"/>
            <w:right w:val="none" w:sz="0" w:space="0" w:color="auto"/>
          </w:divBdr>
        </w:div>
        <w:div w:id="361441105">
          <w:marLeft w:val="0"/>
          <w:marRight w:val="0"/>
          <w:marTop w:val="0"/>
          <w:marBottom w:val="0"/>
          <w:divBdr>
            <w:top w:val="none" w:sz="0" w:space="0" w:color="auto"/>
            <w:left w:val="none" w:sz="0" w:space="0" w:color="auto"/>
            <w:bottom w:val="none" w:sz="0" w:space="0" w:color="auto"/>
            <w:right w:val="none" w:sz="0" w:space="0" w:color="auto"/>
          </w:divBdr>
        </w:div>
        <w:div w:id="430978667">
          <w:marLeft w:val="0"/>
          <w:marRight w:val="0"/>
          <w:marTop w:val="0"/>
          <w:marBottom w:val="0"/>
          <w:divBdr>
            <w:top w:val="none" w:sz="0" w:space="0" w:color="auto"/>
            <w:left w:val="none" w:sz="0" w:space="0" w:color="auto"/>
            <w:bottom w:val="none" w:sz="0" w:space="0" w:color="auto"/>
            <w:right w:val="none" w:sz="0" w:space="0" w:color="auto"/>
          </w:divBdr>
        </w:div>
        <w:div w:id="489055113">
          <w:marLeft w:val="0"/>
          <w:marRight w:val="0"/>
          <w:marTop w:val="0"/>
          <w:marBottom w:val="0"/>
          <w:divBdr>
            <w:top w:val="none" w:sz="0" w:space="0" w:color="auto"/>
            <w:left w:val="none" w:sz="0" w:space="0" w:color="auto"/>
            <w:bottom w:val="none" w:sz="0" w:space="0" w:color="auto"/>
            <w:right w:val="none" w:sz="0" w:space="0" w:color="auto"/>
          </w:divBdr>
        </w:div>
        <w:div w:id="529994802">
          <w:marLeft w:val="0"/>
          <w:marRight w:val="0"/>
          <w:marTop w:val="0"/>
          <w:marBottom w:val="0"/>
          <w:divBdr>
            <w:top w:val="none" w:sz="0" w:space="0" w:color="auto"/>
            <w:left w:val="none" w:sz="0" w:space="0" w:color="auto"/>
            <w:bottom w:val="none" w:sz="0" w:space="0" w:color="auto"/>
            <w:right w:val="none" w:sz="0" w:space="0" w:color="auto"/>
          </w:divBdr>
        </w:div>
        <w:div w:id="564995230">
          <w:marLeft w:val="0"/>
          <w:marRight w:val="0"/>
          <w:marTop w:val="0"/>
          <w:marBottom w:val="0"/>
          <w:divBdr>
            <w:top w:val="none" w:sz="0" w:space="0" w:color="auto"/>
            <w:left w:val="none" w:sz="0" w:space="0" w:color="auto"/>
            <w:bottom w:val="none" w:sz="0" w:space="0" w:color="auto"/>
            <w:right w:val="none" w:sz="0" w:space="0" w:color="auto"/>
          </w:divBdr>
        </w:div>
        <w:div w:id="610282719">
          <w:marLeft w:val="0"/>
          <w:marRight w:val="0"/>
          <w:marTop w:val="0"/>
          <w:marBottom w:val="0"/>
          <w:divBdr>
            <w:top w:val="none" w:sz="0" w:space="0" w:color="auto"/>
            <w:left w:val="none" w:sz="0" w:space="0" w:color="auto"/>
            <w:bottom w:val="none" w:sz="0" w:space="0" w:color="auto"/>
            <w:right w:val="none" w:sz="0" w:space="0" w:color="auto"/>
          </w:divBdr>
        </w:div>
        <w:div w:id="677780110">
          <w:marLeft w:val="0"/>
          <w:marRight w:val="0"/>
          <w:marTop w:val="0"/>
          <w:marBottom w:val="0"/>
          <w:divBdr>
            <w:top w:val="none" w:sz="0" w:space="0" w:color="auto"/>
            <w:left w:val="none" w:sz="0" w:space="0" w:color="auto"/>
            <w:bottom w:val="none" w:sz="0" w:space="0" w:color="auto"/>
            <w:right w:val="none" w:sz="0" w:space="0" w:color="auto"/>
          </w:divBdr>
        </w:div>
        <w:div w:id="688458242">
          <w:marLeft w:val="0"/>
          <w:marRight w:val="0"/>
          <w:marTop w:val="0"/>
          <w:marBottom w:val="0"/>
          <w:divBdr>
            <w:top w:val="none" w:sz="0" w:space="0" w:color="auto"/>
            <w:left w:val="none" w:sz="0" w:space="0" w:color="auto"/>
            <w:bottom w:val="none" w:sz="0" w:space="0" w:color="auto"/>
            <w:right w:val="none" w:sz="0" w:space="0" w:color="auto"/>
          </w:divBdr>
        </w:div>
        <w:div w:id="698511031">
          <w:marLeft w:val="0"/>
          <w:marRight w:val="0"/>
          <w:marTop w:val="0"/>
          <w:marBottom w:val="0"/>
          <w:divBdr>
            <w:top w:val="none" w:sz="0" w:space="0" w:color="auto"/>
            <w:left w:val="none" w:sz="0" w:space="0" w:color="auto"/>
            <w:bottom w:val="none" w:sz="0" w:space="0" w:color="auto"/>
            <w:right w:val="none" w:sz="0" w:space="0" w:color="auto"/>
          </w:divBdr>
        </w:div>
        <w:div w:id="806894016">
          <w:marLeft w:val="0"/>
          <w:marRight w:val="0"/>
          <w:marTop w:val="0"/>
          <w:marBottom w:val="0"/>
          <w:divBdr>
            <w:top w:val="none" w:sz="0" w:space="0" w:color="auto"/>
            <w:left w:val="none" w:sz="0" w:space="0" w:color="auto"/>
            <w:bottom w:val="none" w:sz="0" w:space="0" w:color="auto"/>
            <w:right w:val="none" w:sz="0" w:space="0" w:color="auto"/>
          </w:divBdr>
        </w:div>
        <w:div w:id="884486403">
          <w:marLeft w:val="0"/>
          <w:marRight w:val="0"/>
          <w:marTop w:val="0"/>
          <w:marBottom w:val="0"/>
          <w:divBdr>
            <w:top w:val="none" w:sz="0" w:space="0" w:color="auto"/>
            <w:left w:val="none" w:sz="0" w:space="0" w:color="auto"/>
            <w:bottom w:val="none" w:sz="0" w:space="0" w:color="auto"/>
            <w:right w:val="none" w:sz="0" w:space="0" w:color="auto"/>
          </w:divBdr>
        </w:div>
        <w:div w:id="1034113378">
          <w:marLeft w:val="0"/>
          <w:marRight w:val="0"/>
          <w:marTop w:val="0"/>
          <w:marBottom w:val="0"/>
          <w:divBdr>
            <w:top w:val="none" w:sz="0" w:space="0" w:color="auto"/>
            <w:left w:val="none" w:sz="0" w:space="0" w:color="auto"/>
            <w:bottom w:val="none" w:sz="0" w:space="0" w:color="auto"/>
            <w:right w:val="none" w:sz="0" w:space="0" w:color="auto"/>
          </w:divBdr>
        </w:div>
        <w:div w:id="1225339094">
          <w:marLeft w:val="0"/>
          <w:marRight w:val="0"/>
          <w:marTop w:val="0"/>
          <w:marBottom w:val="0"/>
          <w:divBdr>
            <w:top w:val="none" w:sz="0" w:space="0" w:color="auto"/>
            <w:left w:val="none" w:sz="0" w:space="0" w:color="auto"/>
            <w:bottom w:val="none" w:sz="0" w:space="0" w:color="auto"/>
            <w:right w:val="none" w:sz="0" w:space="0" w:color="auto"/>
          </w:divBdr>
        </w:div>
        <w:div w:id="1393384641">
          <w:marLeft w:val="0"/>
          <w:marRight w:val="0"/>
          <w:marTop w:val="0"/>
          <w:marBottom w:val="0"/>
          <w:divBdr>
            <w:top w:val="none" w:sz="0" w:space="0" w:color="auto"/>
            <w:left w:val="none" w:sz="0" w:space="0" w:color="auto"/>
            <w:bottom w:val="none" w:sz="0" w:space="0" w:color="auto"/>
            <w:right w:val="none" w:sz="0" w:space="0" w:color="auto"/>
          </w:divBdr>
        </w:div>
        <w:div w:id="1449202767">
          <w:marLeft w:val="0"/>
          <w:marRight w:val="0"/>
          <w:marTop w:val="0"/>
          <w:marBottom w:val="0"/>
          <w:divBdr>
            <w:top w:val="none" w:sz="0" w:space="0" w:color="auto"/>
            <w:left w:val="none" w:sz="0" w:space="0" w:color="auto"/>
            <w:bottom w:val="none" w:sz="0" w:space="0" w:color="auto"/>
            <w:right w:val="none" w:sz="0" w:space="0" w:color="auto"/>
          </w:divBdr>
        </w:div>
        <w:div w:id="1551528411">
          <w:marLeft w:val="0"/>
          <w:marRight w:val="0"/>
          <w:marTop w:val="0"/>
          <w:marBottom w:val="0"/>
          <w:divBdr>
            <w:top w:val="none" w:sz="0" w:space="0" w:color="auto"/>
            <w:left w:val="none" w:sz="0" w:space="0" w:color="auto"/>
            <w:bottom w:val="none" w:sz="0" w:space="0" w:color="auto"/>
            <w:right w:val="none" w:sz="0" w:space="0" w:color="auto"/>
          </w:divBdr>
        </w:div>
        <w:div w:id="1624266652">
          <w:marLeft w:val="0"/>
          <w:marRight w:val="0"/>
          <w:marTop w:val="0"/>
          <w:marBottom w:val="0"/>
          <w:divBdr>
            <w:top w:val="none" w:sz="0" w:space="0" w:color="auto"/>
            <w:left w:val="none" w:sz="0" w:space="0" w:color="auto"/>
            <w:bottom w:val="none" w:sz="0" w:space="0" w:color="auto"/>
            <w:right w:val="none" w:sz="0" w:space="0" w:color="auto"/>
          </w:divBdr>
        </w:div>
        <w:div w:id="1626503498">
          <w:marLeft w:val="0"/>
          <w:marRight w:val="0"/>
          <w:marTop w:val="0"/>
          <w:marBottom w:val="0"/>
          <w:divBdr>
            <w:top w:val="none" w:sz="0" w:space="0" w:color="auto"/>
            <w:left w:val="none" w:sz="0" w:space="0" w:color="auto"/>
            <w:bottom w:val="none" w:sz="0" w:space="0" w:color="auto"/>
            <w:right w:val="none" w:sz="0" w:space="0" w:color="auto"/>
          </w:divBdr>
        </w:div>
        <w:div w:id="1654606183">
          <w:marLeft w:val="0"/>
          <w:marRight w:val="0"/>
          <w:marTop w:val="0"/>
          <w:marBottom w:val="0"/>
          <w:divBdr>
            <w:top w:val="none" w:sz="0" w:space="0" w:color="auto"/>
            <w:left w:val="none" w:sz="0" w:space="0" w:color="auto"/>
            <w:bottom w:val="none" w:sz="0" w:space="0" w:color="auto"/>
            <w:right w:val="none" w:sz="0" w:space="0" w:color="auto"/>
          </w:divBdr>
        </w:div>
        <w:div w:id="1670599516">
          <w:marLeft w:val="0"/>
          <w:marRight w:val="0"/>
          <w:marTop w:val="0"/>
          <w:marBottom w:val="0"/>
          <w:divBdr>
            <w:top w:val="none" w:sz="0" w:space="0" w:color="auto"/>
            <w:left w:val="none" w:sz="0" w:space="0" w:color="auto"/>
            <w:bottom w:val="none" w:sz="0" w:space="0" w:color="auto"/>
            <w:right w:val="none" w:sz="0" w:space="0" w:color="auto"/>
          </w:divBdr>
        </w:div>
        <w:div w:id="1787043531">
          <w:marLeft w:val="0"/>
          <w:marRight w:val="0"/>
          <w:marTop w:val="0"/>
          <w:marBottom w:val="0"/>
          <w:divBdr>
            <w:top w:val="none" w:sz="0" w:space="0" w:color="auto"/>
            <w:left w:val="none" w:sz="0" w:space="0" w:color="auto"/>
            <w:bottom w:val="none" w:sz="0" w:space="0" w:color="auto"/>
            <w:right w:val="none" w:sz="0" w:space="0" w:color="auto"/>
          </w:divBdr>
        </w:div>
        <w:div w:id="19282727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regulationbodyofknowledge.org/glossary/e/efficiency/" TargetMode="External"/><Relationship Id="rId18" Type="http://schemas.openxmlformats.org/officeDocument/2006/relationships/hyperlink" Target="http://regulationbodyofknowledge.org/glossary/c/competition/" TargetMode="External"/><Relationship Id="rId26" Type="http://schemas.openxmlformats.org/officeDocument/2006/relationships/hyperlink" Target="https://en.wikipedia.org/wiki/United_Kingdom" TargetMode="External"/><Relationship Id="rId21" Type="http://schemas.openxmlformats.org/officeDocument/2006/relationships/hyperlink" Target="https://en.wikipedia.org/wiki/State_of_nature" TargetMode="External"/><Relationship Id="rId34" Type="http://schemas.openxmlformats.org/officeDocument/2006/relationships/hyperlink" Target="https://www.google.com/amp/s/www.standardmedia.co.ke/amp/business/article/2000167545/what-kenyan-youth-look-into-before-choosing-a-bank" TargetMode="External"/><Relationship Id="rId7" Type="http://schemas.openxmlformats.org/officeDocument/2006/relationships/endnotes" Target="endnotes.xml"/><Relationship Id="rId12" Type="http://schemas.openxmlformats.org/officeDocument/2006/relationships/hyperlink" Target="http://regulationbodyofknowledge.org/glossary/o/opportunism/" TargetMode="External"/><Relationship Id="rId17" Type="http://schemas.openxmlformats.org/officeDocument/2006/relationships/hyperlink" Target="http://regulationbodyofknowledge.org/glossary/m/market-power/" TargetMode="External"/><Relationship Id="rId25" Type="http://schemas.openxmlformats.org/officeDocument/2006/relationships/hyperlink" Target="https://en.wikipedia.org/wiki/South_Africa" TargetMode="External"/><Relationship Id="rId33" Type="http://schemas.openxmlformats.org/officeDocument/2006/relationships/hyperlink" Target="https://www.mumakanjama.com/index.php/team/64-legal-framework-for-mergers-in-kenya"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regulationbodyofknowledge.org/glossary/c/customer/" TargetMode="External"/><Relationship Id="rId20" Type="http://schemas.openxmlformats.org/officeDocument/2006/relationships/hyperlink" Target="https://en.wikipedia.org/wiki/Social_contract" TargetMode="External"/><Relationship Id="rId29" Type="http://schemas.openxmlformats.org/officeDocument/2006/relationships/hyperlink" Target="https://www.the-star.co.ke/business/kenya/2019-09-29-cbk-treasury-green-light-cba-nic-merg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gulationbodyofknowledge.org/glossary/r/regulation/" TargetMode="External"/><Relationship Id="rId24" Type="http://schemas.openxmlformats.org/officeDocument/2006/relationships/hyperlink" Target="https://en.wikipedia.org/wiki/Standard_Bank_(historic)" TargetMode="External"/><Relationship Id="rId32" Type="http://schemas.openxmlformats.org/officeDocument/2006/relationships/hyperlink" Target="https://www.lexology.com/library/detail.aspx?g=42e12f87-5438-4ed7-94dc-93b7a64a76a9"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regulationbodyofknowledge.org/glossary/r/regulation/" TargetMode="External"/><Relationship Id="rId23" Type="http://schemas.openxmlformats.org/officeDocument/2006/relationships/hyperlink" Target="https://en.wikipedia.org/wiki/Joint_venture" TargetMode="External"/><Relationship Id="rId28" Type="http://schemas.openxmlformats.org/officeDocument/2006/relationships/hyperlink" Target="https://www.centralbank.go.ke/commercial-banks/mergers-and-acquisitions/" TargetMode="External"/><Relationship Id="rId36" Type="http://schemas.openxmlformats.org/officeDocument/2006/relationships/footer" Target="footer1.xml"/><Relationship Id="rId10" Type="http://schemas.openxmlformats.org/officeDocument/2006/relationships/hyperlink" Target="http://regulationbodyofknowledge.org/glossary/m/market-power/" TargetMode="External"/><Relationship Id="rId19" Type="http://schemas.openxmlformats.org/officeDocument/2006/relationships/hyperlink" Target="http://regulationbodyofknowledge.org/glossary/o/opportunism/" TargetMode="External"/><Relationship Id="rId31" Type="http://schemas.openxmlformats.org/officeDocument/2006/relationships/hyperlink" Target="https://www.un.org/africarenewal/magazine/january-2021/afcfta-africa-now-open-business" TargetMode="External"/><Relationship Id="rId4" Type="http://schemas.openxmlformats.org/officeDocument/2006/relationships/settings" Target="settings.xml"/><Relationship Id="rId9" Type="http://schemas.openxmlformats.org/officeDocument/2006/relationships/hyperlink" Target="http://regulationbodyofknowledge.org/glossary/r/regulation/" TargetMode="External"/><Relationship Id="rId14" Type="http://schemas.openxmlformats.org/officeDocument/2006/relationships/hyperlink" Target="http://regulationbodyofknowledge.org/glossary/c/customer/" TargetMode="External"/><Relationship Id="rId22" Type="http://schemas.openxmlformats.org/officeDocument/2006/relationships/hyperlink" Target="https://en.wikipedia.org/wiki/Leviathan_(Hobbes_book)" TargetMode="External"/><Relationship Id="rId27" Type="http://schemas.openxmlformats.org/officeDocument/2006/relationships/hyperlink" Target="https://en.wikipedia.org/wiki/Non-bank_financial_institution" TargetMode="External"/><Relationship Id="rId30" Type="http://schemas.openxmlformats.org/officeDocument/2006/relationships/hyperlink" Target="https://khusoko.com/2019/09/27/central-bank-of-kenya-treasury-approves-name-change-of-nic-and-cba-following-bank-merger/" TargetMode="External"/><Relationship Id="rId35" Type="http://schemas.openxmlformats.org/officeDocument/2006/relationships/hyperlink" Target="https://www.google.com/amp/s/citizentv.co.ke/business/troubled-kq-gets-ksh-4-2-billion-from-government-99682/%3famp" TargetMode="External"/><Relationship Id="rId8" Type="http://schemas.openxmlformats.org/officeDocument/2006/relationships/hyperlink" Target="http://regulationbodyofknowledge.org/glossary/r/regulation/"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www.centralbank.go.ke/commercial-banks/mergers-and-acquisitions/" TargetMode="External"/><Relationship Id="rId13" Type="http://schemas.openxmlformats.org/officeDocument/2006/relationships/hyperlink" Target="https://www.google.com/amp/s/www.standardmedia.co.ke/amp/business/article/2000167545/what-kenyan-youth-look-into-before-choosing-a-bank" TargetMode="External"/><Relationship Id="rId3" Type="http://schemas.openxmlformats.org/officeDocument/2006/relationships/hyperlink" Target="https://papers.ssrn.com/sol3/papers.cfm?abstract_id=3523035" TargetMode="External"/><Relationship Id="rId7" Type="http://schemas.openxmlformats.org/officeDocument/2006/relationships/hyperlink" Target="https://scholar.google.com/scholar?hl=en&amp;as_sdt=0%2C5&amp;q=Mergers+and+creation+of+Too+big+too+Fail&amp;btnG=" TargetMode="External"/><Relationship Id="rId12" Type="http://schemas.openxmlformats.org/officeDocument/2006/relationships/hyperlink" Target="https://khusoko.com/2019/09/27/central-bank-of-kenya-treasury-approves-name-change-of-nic-and-cba-following-bank-merger/" TargetMode="External"/><Relationship Id="rId2" Type="http://schemas.openxmlformats.org/officeDocument/2006/relationships/hyperlink" Target="https://www.lexology.com/library/detail.aspx?g=42e12f87-5438-4ed7-94dc-93b7a64a76a9" TargetMode="External"/><Relationship Id="rId1" Type="http://schemas.openxmlformats.org/officeDocument/2006/relationships/hyperlink" Target="https://www.google.com/amp/s/citizentv.co.ke/business/troubled-kq-gets-ksh-4-2-billion-from-government-99682/%3famp" TargetMode="External"/><Relationship Id="rId6" Type="http://schemas.openxmlformats.org/officeDocument/2006/relationships/hyperlink" Target="https://www.econstor.eu/bitstream/10419/57000/1/629700370.pdf" TargetMode="External"/><Relationship Id="rId11" Type="http://schemas.openxmlformats.org/officeDocument/2006/relationships/hyperlink" Target="https://www.the-star.co.ke/business/kenya/2019-09-29-cbk-treasury-green-light-cba-nic-merger/" TargetMode="External"/><Relationship Id="rId5" Type="http://schemas.openxmlformats.org/officeDocument/2006/relationships/hyperlink" Target="https://www.un.org/africarenewal/magazine/january-2021/afcfta-africa-now-open-business" TargetMode="External"/><Relationship Id="rId10" Type="http://schemas.openxmlformats.org/officeDocument/2006/relationships/hyperlink" Target="https://www.centralbank.go.ke/commercial-banks/mergers-and-acquisitions/" TargetMode="External"/><Relationship Id="rId4" Type="http://schemas.openxmlformats.org/officeDocument/2006/relationships/hyperlink" Target="https://papers.ssrn.com/sol3/papers.cfm?abstract_id=3523035" TargetMode="External"/><Relationship Id="rId9" Type="http://schemas.openxmlformats.org/officeDocument/2006/relationships/hyperlink" Target="https://www.centralbank.go.ke/commercial-banks/mergers-and-acquisitions/" TargetMode="External"/><Relationship Id="rId14" Type="http://schemas.openxmlformats.org/officeDocument/2006/relationships/hyperlink" Target="https://www.mumakanjama.com/index.php/team/64-legal-framework-for-mergers-in-keny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0390F9-7985-4A1E-8A60-341259632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10064</Words>
  <Characters>57365</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2021-01-24T17:21:00Z</cp:lastPrinted>
  <dcterms:created xsi:type="dcterms:W3CDTF">2021-03-03T17:24:00Z</dcterms:created>
  <dcterms:modified xsi:type="dcterms:W3CDTF">2021-03-03T17:25:00Z</dcterms:modified>
</cp:coreProperties>
</file>